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5F45E">
      <w:pPr>
        <w:adjustRightInd w:val="0"/>
        <w:snapToGrid w:val="0"/>
        <w:spacing w:line="288" w:lineRule="auto"/>
        <w:jc w:val="left"/>
        <w:rPr>
          <w:rFonts w:hint="eastAsia" w:eastAsia="楷体_GB2312"/>
          <w:color w:val="auto"/>
          <w:sz w:val="28"/>
          <w:szCs w:val="28"/>
          <w:lang w:eastAsia="zh-CN"/>
        </w:rPr>
      </w:pPr>
      <w:r>
        <w:rPr>
          <w:rFonts w:hint="eastAsia" w:eastAsia="楷体_GB2312"/>
          <w:color w:val="auto"/>
          <w:sz w:val="28"/>
          <w:szCs w:val="28"/>
          <w:lang w:eastAsia="zh-CN"/>
        </w:rPr>
        <w:drawing>
          <wp:inline distT="0" distB="0" distL="114300" distR="114300">
            <wp:extent cx="5610860" cy="7931785"/>
            <wp:effectExtent l="0" t="0" r="8890" b="12065"/>
            <wp:docPr id="115" name="图片 115" descr="环评材料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环评材料_页面_3"/>
                    <pic:cNvPicPr>
                      <a:picLocks noChangeAspect="1"/>
                    </pic:cNvPicPr>
                  </pic:nvPicPr>
                  <pic:blipFill>
                    <a:blip r:embed="rId11"/>
                    <a:stretch>
                      <a:fillRect/>
                    </a:stretch>
                  </pic:blipFill>
                  <pic:spPr>
                    <a:xfrm>
                      <a:off x="0" y="0"/>
                      <a:ext cx="5610860" cy="7931785"/>
                    </a:xfrm>
                    <a:prstGeom prst="rect">
                      <a:avLst/>
                    </a:prstGeom>
                  </pic:spPr>
                </pic:pic>
              </a:graphicData>
            </a:graphic>
          </wp:inline>
        </w:drawing>
      </w:r>
    </w:p>
    <w:p w14:paraId="1860E905">
      <w:pPr>
        <w:pageBreakBefore w:val="0"/>
        <w:bidi w:val="0"/>
        <w:adjustRightInd/>
        <w:snapToGrid/>
        <w:ind w:left="0" w:leftChars="0" w:right="0" w:rightChars="0" w:firstLine="720"/>
        <w:rPr>
          <w:rFonts w:eastAsia="仿宋_GB2312"/>
          <w:snapToGrid/>
          <w:color w:val="auto"/>
          <w:spacing w:val="0"/>
          <w:w w:val="100"/>
          <w:kern w:val="21"/>
          <w:position w:val="0"/>
          <w:sz w:val="36"/>
          <w:szCs w:val="36"/>
        </w:rPr>
      </w:pPr>
    </w:p>
    <w:p w14:paraId="07FDE423">
      <w:pPr>
        <w:pageBreakBefore w:val="0"/>
        <w:bidi w:val="0"/>
        <w:adjustRightInd/>
        <w:snapToGrid/>
        <w:ind w:left="0" w:leftChars="0" w:right="0" w:rightChars="0" w:firstLine="720"/>
        <w:rPr>
          <w:rFonts w:eastAsia="仿宋_GB2312"/>
          <w:snapToGrid/>
          <w:color w:val="auto"/>
          <w:spacing w:val="0"/>
          <w:w w:val="100"/>
          <w:kern w:val="21"/>
          <w:position w:val="0"/>
          <w:sz w:val="36"/>
          <w:szCs w:val="36"/>
        </w:rPr>
      </w:pPr>
    </w:p>
    <w:p w14:paraId="3BCAF825">
      <w:pPr>
        <w:adjustRightInd w:val="0"/>
        <w:snapToGrid w:val="0"/>
        <w:spacing w:line="288" w:lineRule="auto"/>
        <w:jc w:val="left"/>
        <w:rPr>
          <w:rFonts w:hint="eastAsia" w:eastAsia="楷体_GB2312"/>
          <w:color w:val="auto"/>
          <w:sz w:val="28"/>
          <w:szCs w:val="28"/>
          <w:lang w:eastAsia="zh-CN"/>
        </w:rPr>
      </w:pPr>
      <w:r>
        <w:rPr>
          <w:rFonts w:hint="eastAsia" w:eastAsia="楷体_GB2312"/>
          <w:color w:val="auto"/>
          <w:sz w:val="28"/>
          <w:szCs w:val="28"/>
          <w:lang w:eastAsia="zh-CN"/>
        </w:rPr>
        <w:drawing>
          <wp:inline distT="0" distB="0" distL="114300" distR="114300">
            <wp:extent cx="5292725" cy="7486015"/>
            <wp:effectExtent l="0" t="0" r="3175" b="635"/>
            <wp:docPr id="111" name="图片 111" descr="资质材料-艾迪恩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资质材料-艾迪恩_页面_2"/>
                    <pic:cNvPicPr>
                      <a:picLocks noChangeAspect="1"/>
                    </pic:cNvPicPr>
                  </pic:nvPicPr>
                  <pic:blipFill>
                    <a:blip r:embed="rId12"/>
                    <a:stretch>
                      <a:fillRect/>
                    </a:stretch>
                  </pic:blipFill>
                  <pic:spPr>
                    <a:xfrm>
                      <a:off x="0" y="0"/>
                      <a:ext cx="5292725" cy="7486015"/>
                    </a:xfrm>
                    <a:prstGeom prst="rect">
                      <a:avLst/>
                    </a:prstGeom>
                  </pic:spPr>
                </pic:pic>
              </a:graphicData>
            </a:graphic>
          </wp:inline>
        </w:drawing>
      </w:r>
    </w:p>
    <w:p w14:paraId="6C6E6B64">
      <w:pPr>
        <w:adjustRightInd w:val="0"/>
        <w:snapToGrid w:val="0"/>
        <w:spacing w:line="288" w:lineRule="auto"/>
        <w:jc w:val="left"/>
        <w:rPr>
          <w:rFonts w:hint="eastAsia" w:eastAsia="楷体_GB2312"/>
          <w:color w:val="auto"/>
          <w:sz w:val="28"/>
          <w:szCs w:val="28"/>
          <w:lang w:eastAsia="zh-CN"/>
        </w:rPr>
      </w:pPr>
    </w:p>
    <w:p w14:paraId="6B557564">
      <w:pPr>
        <w:adjustRightInd w:val="0"/>
        <w:snapToGrid w:val="0"/>
        <w:spacing w:line="288" w:lineRule="auto"/>
        <w:jc w:val="left"/>
        <w:rPr>
          <w:rFonts w:hint="eastAsia" w:eastAsia="楷体_GB2312"/>
          <w:color w:val="auto"/>
          <w:sz w:val="28"/>
          <w:szCs w:val="28"/>
          <w:lang w:eastAsia="zh-CN"/>
        </w:rPr>
      </w:pPr>
    </w:p>
    <w:p w14:paraId="4E020356">
      <w:pPr>
        <w:adjustRightInd w:val="0"/>
        <w:snapToGrid w:val="0"/>
        <w:spacing w:line="288" w:lineRule="auto"/>
        <w:jc w:val="left"/>
        <w:rPr>
          <w:rFonts w:hint="eastAsia" w:eastAsia="楷体_GB2312"/>
          <w:color w:val="auto"/>
          <w:sz w:val="28"/>
          <w:szCs w:val="28"/>
          <w:lang w:eastAsia="zh-CN"/>
        </w:rPr>
      </w:pPr>
    </w:p>
    <w:p w14:paraId="02B79512">
      <w:pPr>
        <w:adjustRightInd w:val="0"/>
        <w:snapToGrid w:val="0"/>
        <w:spacing w:line="288" w:lineRule="auto"/>
        <w:jc w:val="left"/>
        <w:rPr>
          <w:rFonts w:hint="eastAsia" w:eastAsia="楷体_GB2312"/>
          <w:color w:val="auto"/>
          <w:sz w:val="28"/>
          <w:szCs w:val="28"/>
          <w:lang w:eastAsia="zh-CN"/>
        </w:rPr>
      </w:pPr>
    </w:p>
    <w:p w14:paraId="446B1BF3">
      <w:pPr>
        <w:adjustRightInd w:val="0"/>
        <w:snapToGrid w:val="0"/>
        <w:spacing w:line="288" w:lineRule="auto"/>
        <w:jc w:val="left"/>
        <w:rPr>
          <w:rFonts w:hint="eastAsia" w:eastAsia="楷体_GB2312"/>
          <w:color w:val="auto"/>
          <w:sz w:val="28"/>
          <w:szCs w:val="28"/>
          <w:lang w:eastAsia="zh-CN"/>
        </w:rPr>
      </w:pPr>
      <w:r>
        <w:rPr>
          <w:rFonts w:hint="eastAsia" w:eastAsia="楷体_GB2312"/>
          <w:color w:val="auto"/>
          <w:sz w:val="28"/>
          <w:szCs w:val="28"/>
          <w:lang w:eastAsia="zh-CN"/>
        </w:rPr>
        <w:drawing>
          <wp:inline distT="0" distB="0" distL="114300" distR="114300">
            <wp:extent cx="5596255" cy="7916545"/>
            <wp:effectExtent l="0" t="0" r="4445" b="8255"/>
            <wp:docPr id="113" name="图片 113" descr="446582e481a2fb997fdaf087a0c954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446582e481a2fb997fdaf087a0c9548e"/>
                    <pic:cNvPicPr>
                      <a:picLocks noChangeAspect="1"/>
                    </pic:cNvPicPr>
                  </pic:nvPicPr>
                  <pic:blipFill>
                    <a:blip r:embed="rId13"/>
                    <a:stretch>
                      <a:fillRect/>
                    </a:stretch>
                  </pic:blipFill>
                  <pic:spPr>
                    <a:xfrm>
                      <a:off x="0" y="0"/>
                      <a:ext cx="5596255" cy="7916545"/>
                    </a:xfrm>
                    <a:prstGeom prst="rect">
                      <a:avLst/>
                    </a:prstGeom>
                  </pic:spPr>
                </pic:pic>
              </a:graphicData>
            </a:graphic>
          </wp:inline>
        </w:drawing>
      </w:r>
    </w:p>
    <w:p w14:paraId="78D6F957">
      <w:pPr>
        <w:adjustRightInd w:val="0"/>
        <w:snapToGrid w:val="0"/>
        <w:spacing w:line="288" w:lineRule="auto"/>
        <w:jc w:val="left"/>
        <w:rPr>
          <w:rFonts w:hint="eastAsia" w:eastAsia="楷体_GB2312"/>
          <w:color w:val="auto"/>
          <w:sz w:val="28"/>
          <w:szCs w:val="28"/>
          <w:lang w:eastAsia="zh-CN"/>
        </w:rPr>
      </w:pPr>
    </w:p>
    <w:p w14:paraId="4EC6FAEB">
      <w:pPr>
        <w:adjustRightInd w:val="0"/>
        <w:snapToGrid w:val="0"/>
        <w:spacing w:line="288" w:lineRule="auto"/>
        <w:jc w:val="left"/>
        <w:rPr>
          <w:rFonts w:hint="eastAsia" w:eastAsia="楷体_GB2312"/>
          <w:color w:val="auto"/>
          <w:sz w:val="28"/>
          <w:szCs w:val="28"/>
          <w:lang w:eastAsia="zh-CN"/>
        </w:rPr>
      </w:pPr>
    </w:p>
    <w:p w14:paraId="1C04A822">
      <w:pPr>
        <w:adjustRightInd w:val="0"/>
        <w:snapToGrid w:val="0"/>
        <w:spacing w:line="288" w:lineRule="auto"/>
        <w:jc w:val="left"/>
        <w:rPr>
          <w:rFonts w:hint="eastAsia" w:eastAsia="楷体_GB2312"/>
          <w:color w:val="auto"/>
          <w:sz w:val="28"/>
          <w:szCs w:val="28"/>
          <w:lang w:eastAsia="zh-CN"/>
        </w:rPr>
      </w:pPr>
      <w:r>
        <w:rPr>
          <w:rFonts w:hint="eastAsia" w:eastAsia="楷体_GB2312"/>
          <w:color w:val="auto"/>
          <w:sz w:val="28"/>
          <w:szCs w:val="28"/>
          <w:lang w:eastAsia="zh-CN"/>
        </w:rPr>
        <w:drawing>
          <wp:inline distT="0" distB="0" distL="114300" distR="114300">
            <wp:extent cx="5574665" cy="7884795"/>
            <wp:effectExtent l="0" t="0" r="6985" b="1905"/>
            <wp:docPr id="107" name="图片 107" descr="0c0ecf19a6c59887f8352b667e80ea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0c0ecf19a6c59887f8352b667e80ea2e"/>
                    <pic:cNvPicPr>
                      <a:picLocks noChangeAspect="1"/>
                    </pic:cNvPicPr>
                  </pic:nvPicPr>
                  <pic:blipFill>
                    <a:blip r:embed="rId14"/>
                    <a:stretch>
                      <a:fillRect/>
                    </a:stretch>
                  </pic:blipFill>
                  <pic:spPr>
                    <a:xfrm>
                      <a:off x="0" y="0"/>
                      <a:ext cx="5574665" cy="7884795"/>
                    </a:xfrm>
                    <a:prstGeom prst="rect">
                      <a:avLst/>
                    </a:prstGeom>
                  </pic:spPr>
                </pic:pic>
              </a:graphicData>
            </a:graphic>
          </wp:inline>
        </w:drawing>
      </w:r>
    </w:p>
    <w:p w14:paraId="76B62435">
      <w:pPr>
        <w:adjustRightInd w:val="0"/>
        <w:snapToGrid w:val="0"/>
        <w:spacing w:line="288" w:lineRule="auto"/>
        <w:jc w:val="left"/>
        <w:rPr>
          <w:rFonts w:hint="eastAsia" w:eastAsia="楷体_GB2312"/>
          <w:color w:val="auto"/>
          <w:sz w:val="28"/>
          <w:szCs w:val="28"/>
          <w:lang w:eastAsia="zh-CN"/>
        </w:rPr>
      </w:pPr>
    </w:p>
    <w:p w14:paraId="77AC2A01">
      <w:pPr>
        <w:adjustRightInd w:val="0"/>
        <w:snapToGrid w:val="0"/>
        <w:spacing w:line="288" w:lineRule="auto"/>
        <w:jc w:val="left"/>
        <w:rPr>
          <w:rFonts w:hint="eastAsia" w:eastAsia="楷体_GB2312"/>
          <w:color w:val="auto"/>
          <w:sz w:val="28"/>
          <w:szCs w:val="28"/>
          <w:lang w:eastAsia="zh-CN"/>
        </w:rPr>
      </w:pPr>
    </w:p>
    <w:p w14:paraId="0DA40F75">
      <w:pPr>
        <w:adjustRightInd w:val="0"/>
        <w:snapToGrid w:val="0"/>
        <w:spacing w:line="288" w:lineRule="auto"/>
        <w:jc w:val="left"/>
        <w:rPr>
          <w:rFonts w:hint="eastAsia" w:eastAsia="楷体_GB2312"/>
          <w:color w:val="auto"/>
          <w:sz w:val="28"/>
          <w:szCs w:val="28"/>
          <w:lang w:eastAsia="zh-CN"/>
        </w:rPr>
      </w:pPr>
      <w:r>
        <w:rPr>
          <w:rFonts w:hint="eastAsia" w:eastAsia="楷体_GB2312"/>
          <w:color w:val="auto"/>
          <w:sz w:val="28"/>
          <w:szCs w:val="28"/>
          <w:lang w:eastAsia="zh-CN"/>
        </w:rPr>
        <w:drawing>
          <wp:inline distT="0" distB="0" distL="114300" distR="114300">
            <wp:extent cx="5608320" cy="7927975"/>
            <wp:effectExtent l="0" t="0" r="11430" b="15875"/>
            <wp:docPr id="110" name="图片 110" descr="2f22d708bd053fcb2daebd2fa63dcb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2f22d708bd053fcb2daebd2fa63dcb6f"/>
                    <pic:cNvPicPr>
                      <a:picLocks noChangeAspect="1"/>
                    </pic:cNvPicPr>
                  </pic:nvPicPr>
                  <pic:blipFill>
                    <a:blip r:embed="rId15"/>
                    <a:stretch>
                      <a:fillRect/>
                    </a:stretch>
                  </pic:blipFill>
                  <pic:spPr>
                    <a:xfrm>
                      <a:off x="0" y="0"/>
                      <a:ext cx="5608320" cy="7927975"/>
                    </a:xfrm>
                    <a:prstGeom prst="rect">
                      <a:avLst/>
                    </a:prstGeom>
                  </pic:spPr>
                </pic:pic>
              </a:graphicData>
            </a:graphic>
          </wp:inline>
        </w:drawing>
      </w:r>
    </w:p>
    <w:p w14:paraId="58C33B61">
      <w:pPr>
        <w:adjustRightInd w:val="0"/>
        <w:snapToGrid w:val="0"/>
        <w:spacing w:line="288" w:lineRule="auto"/>
        <w:jc w:val="left"/>
        <w:rPr>
          <w:rFonts w:hint="eastAsia" w:eastAsia="楷体_GB2312"/>
          <w:color w:val="auto"/>
          <w:sz w:val="28"/>
          <w:szCs w:val="28"/>
          <w:lang w:eastAsia="zh-CN"/>
        </w:rPr>
      </w:pPr>
    </w:p>
    <w:p w14:paraId="2AF36A90">
      <w:pPr>
        <w:adjustRightInd w:val="0"/>
        <w:snapToGrid w:val="0"/>
        <w:spacing w:line="288" w:lineRule="auto"/>
        <w:jc w:val="left"/>
        <w:rPr>
          <w:rFonts w:hint="eastAsia" w:eastAsia="楷体_GB2312"/>
          <w:color w:val="auto"/>
          <w:sz w:val="28"/>
          <w:szCs w:val="28"/>
          <w:lang w:eastAsia="zh-CN"/>
        </w:rPr>
      </w:pPr>
    </w:p>
    <w:p w14:paraId="3E44FCDF">
      <w:pPr>
        <w:adjustRightInd w:val="0"/>
        <w:snapToGrid w:val="0"/>
        <w:spacing w:line="288" w:lineRule="auto"/>
        <w:jc w:val="left"/>
        <w:rPr>
          <w:rFonts w:hint="eastAsia" w:eastAsia="楷体_GB2312"/>
          <w:color w:val="auto"/>
          <w:sz w:val="28"/>
          <w:szCs w:val="28"/>
          <w:lang w:eastAsia="zh-CN"/>
        </w:rPr>
      </w:pPr>
      <w:r>
        <w:rPr>
          <w:rFonts w:hint="eastAsia" w:eastAsia="楷体_GB2312"/>
          <w:color w:val="auto"/>
          <w:sz w:val="28"/>
          <w:szCs w:val="28"/>
          <w:lang w:eastAsia="zh-CN"/>
        </w:rPr>
        <w:drawing>
          <wp:inline distT="0" distB="0" distL="114300" distR="114300">
            <wp:extent cx="5574665" cy="7884795"/>
            <wp:effectExtent l="0" t="0" r="6985" b="1905"/>
            <wp:docPr id="114" name="图片 114" descr="5635eec79e1ad6940e66a45a61069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5635eec79e1ad6940e66a45a61069794"/>
                    <pic:cNvPicPr>
                      <a:picLocks noChangeAspect="1"/>
                    </pic:cNvPicPr>
                  </pic:nvPicPr>
                  <pic:blipFill>
                    <a:blip r:embed="rId16"/>
                    <a:stretch>
                      <a:fillRect/>
                    </a:stretch>
                  </pic:blipFill>
                  <pic:spPr>
                    <a:xfrm>
                      <a:off x="0" y="0"/>
                      <a:ext cx="5574665" cy="7884795"/>
                    </a:xfrm>
                    <a:prstGeom prst="rect">
                      <a:avLst/>
                    </a:prstGeom>
                  </pic:spPr>
                </pic:pic>
              </a:graphicData>
            </a:graphic>
          </wp:inline>
        </w:drawing>
      </w:r>
    </w:p>
    <w:p w14:paraId="28F2F828">
      <w:pPr>
        <w:adjustRightInd w:val="0"/>
        <w:snapToGrid w:val="0"/>
        <w:spacing w:line="288" w:lineRule="auto"/>
        <w:jc w:val="left"/>
        <w:rPr>
          <w:rFonts w:hint="eastAsia" w:eastAsia="楷体_GB2312"/>
          <w:color w:val="auto"/>
          <w:sz w:val="28"/>
          <w:szCs w:val="28"/>
          <w:lang w:eastAsia="zh-CN"/>
        </w:rPr>
      </w:pPr>
    </w:p>
    <w:p w14:paraId="70EB59A7">
      <w:pPr>
        <w:adjustRightInd w:val="0"/>
        <w:snapToGrid w:val="0"/>
        <w:spacing w:line="288" w:lineRule="auto"/>
        <w:jc w:val="left"/>
        <w:rPr>
          <w:rFonts w:hint="eastAsia" w:eastAsia="楷体_GB2312"/>
          <w:color w:val="auto"/>
          <w:sz w:val="28"/>
          <w:szCs w:val="28"/>
          <w:lang w:eastAsia="zh-CN"/>
        </w:rPr>
      </w:pPr>
    </w:p>
    <w:p w14:paraId="18C6935F">
      <w:pPr>
        <w:adjustRightInd w:val="0"/>
        <w:snapToGrid w:val="0"/>
        <w:spacing w:line="288" w:lineRule="auto"/>
        <w:jc w:val="left"/>
        <w:rPr>
          <w:rFonts w:hint="eastAsia" w:eastAsia="楷体_GB2312"/>
          <w:color w:val="auto"/>
          <w:sz w:val="28"/>
          <w:szCs w:val="28"/>
          <w:lang w:eastAsia="zh-CN"/>
        </w:rPr>
      </w:pPr>
      <w:r>
        <w:rPr>
          <w:rFonts w:hint="eastAsia" w:eastAsia="楷体_GB2312"/>
          <w:color w:val="auto"/>
          <w:sz w:val="28"/>
          <w:szCs w:val="28"/>
          <w:lang w:eastAsia="zh-CN"/>
        </w:rPr>
        <w:drawing>
          <wp:inline distT="0" distB="0" distL="114300" distR="114300">
            <wp:extent cx="5467350" cy="7733030"/>
            <wp:effectExtent l="0" t="0" r="0" b="1270"/>
            <wp:docPr id="14" name="图片 14" descr="资质材料-艾迪恩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资质材料-艾迪恩_页面_5"/>
                    <pic:cNvPicPr>
                      <a:picLocks noChangeAspect="1"/>
                    </pic:cNvPicPr>
                  </pic:nvPicPr>
                  <pic:blipFill>
                    <a:blip r:embed="rId17"/>
                    <a:stretch>
                      <a:fillRect/>
                    </a:stretch>
                  </pic:blipFill>
                  <pic:spPr>
                    <a:xfrm>
                      <a:off x="0" y="0"/>
                      <a:ext cx="5467350" cy="7733030"/>
                    </a:xfrm>
                    <a:prstGeom prst="rect">
                      <a:avLst/>
                    </a:prstGeom>
                  </pic:spPr>
                </pic:pic>
              </a:graphicData>
            </a:graphic>
          </wp:inline>
        </w:drawing>
      </w:r>
    </w:p>
    <w:p w14:paraId="6D5CB601">
      <w:pPr>
        <w:adjustRightInd w:val="0"/>
        <w:snapToGrid w:val="0"/>
        <w:spacing w:line="288" w:lineRule="auto"/>
        <w:jc w:val="left"/>
        <w:rPr>
          <w:rFonts w:hint="eastAsia" w:eastAsia="楷体_GB2312"/>
          <w:color w:val="auto"/>
          <w:sz w:val="28"/>
          <w:szCs w:val="28"/>
          <w:lang w:eastAsia="zh-CN"/>
        </w:rPr>
      </w:pPr>
    </w:p>
    <w:p w14:paraId="5B7DB1FF">
      <w:pPr>
        <w:adjustRightInd w:val="0"/>
        <w:snapToGrid w:val="0"/>
        <w:spacing w:line="288" w:lineRule="auto"/>
        <w:jc w:val="left"/>
        <w:rPr>
          <w:rFonts w:hint="eastAsia" w:eastAsia="楷体_GB2312"/>
          <w:color w:val="auto"/>
          <w:sz w:val="28"/>
          <w:szCs w:val="28"/>
          <w:lang w:eastAsia="zh-CN"/>
        </w:rPr>
      </w:pPr>
    </w:p>
    <w:p w14:paraId="57E93AD5">
      <w:pPr>
        <w:adjustRightInd w:val="0"/>
        <w:snapToGrid w:val="0"/>
        <w:spacing w:line="288" w:lineRule="auto"/>
        <w:jc w:val="left"/>
        <w:rPr>
          <w:rFonts w:hint="eastAsia" w:eastAsia="楷体_GB2312"/>
          <w:color w:val="auto"/>
          <w:sz w:val="28"/>
          <w:szCs w:val="28"/>
          <w:lang w:eastAsia="zh-CN"/>
        </w:rPr>
      </w:pPr>
    </w:p>
    <w:p w14:paraId="0AC38CBA">
      <w:pPr>
        <w:adjustRightInd w:val="0"/>
        <w:snapToGrid w:val="0"/>
        <w:spacing w:line="288" w:lineRule="auto"/>
        <w:jc w:val="left"/>
        <w:rPr>
          <w:rFonts w:hint="eastAsia" w:eastAsia="楷体_GB2312"/>
          <w:color w:val="auto"/>
          <w:sz w:val="28"/>
          <w:szCs w:val="28"/>
          <w:lang w:eastAsia="zh-CN"/>
        </w:rPr>
      </w:pPr>
    </w:p>
    <w:p w14:paraId="3EE60F73">
      <w:pPr>
        <w:adjustRightInd w:val="0"/>
        <w:snapToGrid w:val="0"/>
        <w:spacing w:line="288" w:lineRule="auto"/>
        <w:jc w:val="left"/>
        <w:rPr>
          <w:rFonts w:hint="eastAsia" w:eastAsia="楷体_GB2312"/>
          <w:color w:val="auto"/>
          <w:sz w:val="28"/>
          <w:szCs w:val="28"/>
          <w:lang w:eastAsia="zh-CN"/>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eastAsia="楷体_GB2312"/>
          <w:color w:val="auto"/>
          <w:sz w:val="28"/>
          <w:szCs w:val="28"/>
          <w:lang w:eastAsia="zh-CN"/>
        </w:rPr>
        <w:drawing>
          <wp:inline distT="0" distB="0" distL="114300" distR="114300">
            <wp:extent cx="5574665" cy="7884795"/>
            <wp:effectExtent l="0" t="0" r="6985" b="1905"/>
            <wp:docPr id="116" name="图片 116" descr="0d7d228801de0b63625b077465350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0d7d228801de0b63625b077465350434"/>
                    <pic:cNvPicPr>
                      <a:picLocks noChangeAspect="1"/>
                    </pic:cNvPicPr>
                  </pic:nvPicPr>
                  <pic:blipFill>
                    <a:blip r:embed="rId18"/>
                    <a:stretch>
                      <a:fillRect/>
                    </a:stretch>
                  </pic:blipFill>
                  <pic:spPr>
                    <a:xfrm>
                      <a:off x="0" y="0"/>
                      <a:ext cx="5574665" cy="7884795"/>
                    </a:xfrm>
                    <a:prstGeom prst="rect">
                      <a:avLst/>
                    </a:prstGeom>
                  </pic:spPr>
                </pic:pic>
              </a:graphicData>
            </a:graphic>
          </wp:inline>
        </w:drawing>
      </w:r>
    </w:p>
    <w:p w14:paraId="6F19EE99">
      <w:pPr>
        <w:pStyle w:val="61"/>
        <w:rPr>
          <w:rFonts w:ascii="Times New Roman" w:hAnsi="Times New Roman"/>
          <w:color w:val="auto"/>
        </w:rPr>
      </w:pPr>
      <w:r>
        <w:rPr>
          <w:rFonts w:ascii="Times New Roman" w:hAnsi="Times New Roman"/>
          <w:color w:val="auto"/>
        </w:rPr>
        <w:t>建设项目基本情况</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678"/>
        <w:gridCol w:w="2205"/>
        <w:gridCol w:w="2145"/>
        <w:gridCol w:w="2842"/>
      </w:tblGrid>
      <w:tr w14:paraId="237E9F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8" w:type="dxa"/>
            <w:noWrap w:val="0"/>
            <w:tcMar>
              <w:top w:w="16" w:type="dxa"/>
              <w:left w:w="16" w:type="dxa"/>
              <w:right w:w="16" w:type="dxa"/>
            </w:tcMar>
            <w:vAlign w:val="center"/>
          </w:tcPr>
          <w:p w14:paraId="434ECB2C">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建设项目</w:t>
            </w:r>
          </w:p>
          <w:p w14:paraId="7BEC9894">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名称</w:t>
            </w:r>
          </w:p>
        </w:tc>
        <w:tc>
          <w:tcPr>
            <w:tcW w:w="7192" w:type="dxa"/>
            <w:gridSpan w:val="3"/>
            <w:noWrap w:val="0"/>
            <w:vAlign w:val="center"/>
          </w:tcPr>
          <w:p w14:paraId="54878AB2">
            <w:pPr>
              <w:adjustRightInd w:val="0"/>
              <w:snapToGrid w:val="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福建艾迪恩环保科技有限公司年产750万方塑料板材，300万套塑料户外家具项目</w:t>
            </w:r>
          </w:p>
        </w:tc>
      </w:tr>
      <w:tr w14:paraId="684189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8" w:type="dxa"/>
            <w:noWrap w:val="0"/>
            <w:tcMar>
              <w:top w:w="16" w:type="dxa"/>
              <w:left w:w="16" w:type="dxa"/>
              <w:right w:w="16" w:type="dxa"/>
            </w:tcMar>
            <w:vAlign w:val="center"/>
          </w:tcPr>
          <w:p w14:paraId="1DABD271">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项目代码</w:t>
            </w:r>
          </w:p>
        </w:tc>
        <w:tc>
          <w:tcPr>
            <w:tcW w:w="7192" w:type="dxa"/>
            <w:gridSpan w:val="3"/>
            <w:noWrap w:val="0"/>
            <w:vAlign w:val="center"/>
          </w:tcPr>
          <w:p w14:paraId="131CCFFC">
            <w:pPr>
              <w:adjustRightInd w:val="0"/>
              <w:snapToGrid w:val="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2605-350121-04-01-633006</w:t>
            </w:r>
          </w:p>
        </w:tc>
      </w:tr>
      <w:tr w14:paraId="27610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8" w:type="dxa"/>
            <w:noWrap w:val="0"/>
            <w:tcMar>
              <w:top w:w="16" w:type="dxa"/>
              <w:left w:w="16" w:type="dxa"/>
              <w:right w:w="16" w:type="dxa"/>
            </w:tcMar>
            <w:vAlign w:val="center"/>
          </w:tcPr>
          <w:p w14:paraId="027DAA53">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建设单位</w:t>
            </w:r>
          </w:p>
          <w:p w14:paraId="73741997">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联系人</w:t>
            </w:r>
          </w:p>
        </w:tc>
        <w:tc>
          <w:tcPr>
            <w:tcW w:w="2205" w:type="dxa"/>
            <w:noWrap w:val="0"/>
            <w:vAlign w:val="center"/>
          </w:tcPr>
          <w:p w14:paraId="54CFD6B8">
            <w:pPr>
              <w:adjustRightInd w:val="0"/>
              <w:snapToGrid w:val="0"/>
              <w:jc w:val="center"/>
              <w:rPr>
                <w:color w:val="000000" w:themeColor="text1"/>
                <w:sz w:val="24"/>
                <w:szCs w:val="24"/>
                <w14:textFill>
                  <w14:solidFill>
                    <w14:schemeClr w14:val="tx1"/>
                  </w14:solidFill>
                </w14:textFill>
              </w:rPr>
            </w:pPr>
          </w:p>
        </w:tc>
        <w:tc>
          <w:tcPr>
            <w:tcW w:w="2145" w:type="dxa"/>
            <w:noWrap w:val="0"/>
            <w:vAlign w:val="center"/>
          </w:tcPr>
          <w:p w14:paraId="0C091E24">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联系方式</w:t>
            </w:r>
          </w:p>
        </w:tc>
        <w:tc>
          <w:tcPr>
            <w:tcW w:w="2842" w:type="dxa"/>
            <w:noWrap w:val="0"/>
            <w:vAlign w:val="center"/>
          </w:tcPr>
          <w:p w14:paraId="2AF4F6A8">
            <w:pPr>
              <w:adjustRightInd w:val="0"/>
              <w:snapToGrid w:val="0"/>
              <w:jc w:val="center"/>
              <w:rPr>
                <w:rFonts w:hint="default" w:eastAsia="宋体"/>
                <w:color w:val="000000" w:themeColor="text1"/>
                <w:sz w:val="24"/>
                <w:szCs w:val="24"/>
                <w:lang w:val="en-US" w:eastAsia="zh-CN"/>
                <w14:textFill>
                  <w14:solidFill>
                    <w14:schemeClr w14:val="tx1"/>
                  </w14:solidFill>
                </w14:textFill>
              </w:rPr>
            </w:pPr>
          </w:p>
        </w:tc>
      </w:tr>
      <w:tr w14:paraId="3F68D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8" w:type="dxa"/>
            <w:noWrap w:val="0"/>
            <w:tcMar>
              <w:top w:w="16" w:type="dxa"/>
              <w:left w:w="16" w:type="dxa"/>
              <w:right w:w="16" w:type="dxa"/>
            </w:tcMar>
            <w:vAlign w:val="center"/>
          </w:tcPr>
          <w:p w14:paraId="3638572D">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建设地点</w:t>
            </w:r>
          </w:p>
        </w:tc>
        <w:tc>
          <w:tcPr>
            <w:tcW w:w="7192" w:type="dxa"/>
            <w:gridSpan w:val="3"/>
            <w:noWrap w:val="0"/>
            <w:vAlign w:val="center"/>
          </w:tcPr>
          <w:p w14:paraId="7E5A696A">
            <w:pPr>
              <w:adjustRightInd w:val="0"/>
              <w:snapToGrid w:val="0"/>
              <w:jc w:val="center"/>
              <w:rPr>
                <w:rFonts w:hint="default" w:eastAsia="宋体"/>
                <w:color w:val="000000" w:themeColor="text1"/>
                <w:sz w:val="24"/>
                <w:szCs w:val="24"/>
                <w:lang w:val="en-US" w:eastAsia="zh-CN"/>
                <w14:textFill>
                  <w14:solidFill>
                    <w14:schemeClr w14:val="tx1"/>
                  </w14:solidFill>
                </w14:textFill>
              </w:rPr>
            </w:pPr>
            <w:bookmarkStart w:id="0" w:name="_Hlk91150409"/>
            <w:r>
              <w:rPr>
                <w:rFonts w:hint="eastAsia"/>
                <w:color w:val="000000" w:themeColor="text1"/>
                <w:sz w:val="24"/>
                <w:szCs w:val="24"/>
                <w14:textFill>
                  <w14:solidFill>
                    <w14:schemeClr w14:val="tx1"/>
                  </w14:solidFill>
                </w14:textFill>
              </w:rPr>
              <w:t>福州市闽侯县</w:t>
            </w:r>
            <w:bookmarkEnd w:id="0"/>
            <w:r>
              <w:rPr>
                <w:rFonts w:hint="eastAsia"/>
                <w:color w:val="000000" w:themeColor="text1"/>
                <w:sz w:val="24"/>
                <w:szCs w:val="24"/>
                <w:lang w:val="en-US" w:eastAsia="zh-CN"/>
                <w14:textFill>
                  <w14:solidFill>
                    <w14:schemeClr w14:val="tx1"/>
                  </w14:solidFill>
                </w14:textFill>
              </w:rPr>
              <w:t>经济技术开发区二期南岭路1号3#楼</w:t>
            </w:r>
          </w:p>
        </w:tc>
      </w:tr>
      <w:tr w14:paraId="7F0236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8" w:type="dxa"/>
            <w:noWrap w:val="0"/>
            <w:tcMar>
              <w:top w:w="16" w:type="dxa"/>
              <w:left w:w="16" w:type="dxa"/>
              <w:right w:w="16" w:type="dxa"/>
            </w:tcMar>
            <w:vAlign w:val="center"/>
          </w:tcPr>
          <w:p w14:paraId="092881C5">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地理坐标</w:t>
            </w:r>
          </w:p>
        </w:tc>
        <w:tc>
          <w:tcPr>
            <w:tcW w:w="7192" w:type="dxa"/>
            <w:gridSpan w:val="3"/>
            <w:noWrap w:val="0"/>
            <w:vAlign w:val="center"/>
          </w:tcPr>
          <w:p w14:paraId="7C9BC3B4">
            <w:pPr>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color w:val="000000" w:themeColor="text1"/>
                <w:sz w:val="24"/>
                <w:szCs w:val="24"/>
                <w:u w:val="single"/>
                <w14:textFill>
                  <w14:solidFill>
                    <w14:schemeClr w14:val="tx1"/>
                  </w14:solidFill>
                </w14:textFill>
              </w:rPr>
              <w:t>119</w:t>
            </w:r>
            <w:r>
              <w:rPr>
                <w:color w:val="000000" w:themeColor="text1"/>
                <w:sz w:val="24"/>
                <w:szCs w:val="24"/>
                <w14:textFill>
                  <w14:solidFill>
                    <w14:schemeClr w14:val="tx1"/>
                  </w14:solidFill>
                </w14:textFill>
              </w:rPr>
              <w:t>度</w:t>
            </w:r>
            <w:r>
              <w:rPr>
                <w:rFonts w:hint="eastAsia"/>
                <w:color w:val="000000" w:themeColor="text1"/>
                <w:sz w:val="24"/>
                <w:szCs w:val="24"/>
                <w:u w:val="single"/>
                <w:lang w:val="en-US" w:eastAsia="zh-CN"/>
                <w14:textFill>
                  <w14:solidFill>
                    <w14:schemeClr w14:val="tx1"/>
                  </w14:solidFill>
                </w14:textFill>
              </w:rPr>
              <w:t>09</w:t>
            </w:r>
            <w:r>
              <w:rPr>
                <w:color w:val="000000" w:themeColor="text1"/>
                <w:sz w:val="24"/>
                <w:szCs w:val="24"/>
                <w14:textFill>
                  <w14:solidFill>
                    <w14:schemeClr w14:val="tx1"/>
                  </w14:solidFill>
                </w14:textFill>
              </w:rPr>
              <w:t>分</w:t>
            </w:r>
            <w:r>
              <w:rPr>
                <w:rFonts w:hint="eastAsia"/>
                <w:color w:val="000000" w:themeColor="text1"/>
                <w:sz w:val="24"/>
                <w:szCs w:val="24"/>
                <w:u w:val="single"/>
                <w:lang w:val="en-US" w:eastAsia="zh-CN"/>
                <w14:textFill>
                  <w14:solidFill>
                    <w14:schemeClr w14:val="tx1"/>
                  </w14:solidFill>
                </w14:textFill>
              </w:rPr>
              <w:t>27.46</w:t>
            </w:r>
            <w:r>
              <w:rPr>
                <w:color w:val="000000" w:themeColor="text1"/>
                <w:sz w:val="24"/>
                <w:szCs w:val="24"/>
                <w14:textFill>
                  <w14:solidFill>
                    <w14:schemeClr w14:val="tx1"/>
                  </w14:solidFill>
                </w14:textFill>
              </w:rPr>
              <w:t>秒，</w:t>
            </w:r>
            <w:r>
              <w:rPr>
                <w:color w:val="000000" w:themeColor="text1"/>
                <w:sz w:val="24"/>
                <w:szCs w:val="24"/>
                <w:u w:val="single"/>
                <w14:textFill>
                  <w14:solidFill>
                    <w14:schemeClr w14:val="tx1"/>
                  </w14:solidFill>
                </w14:textFill>
              </w:rPr>
              <w:t>2</w:t>
            </w:r>
            <w:r>
              <w:rPr>
                <w:rFonts w:hint="eastAsia"/>
                <w:color w:val="000000" w:themeColor="text1"/>
                <w:sz w:val="24"/>
                <w:szCs w:val="24"/>
                <w:u w:val="single"/>
                <w:lang w:val="en-US" w:eastAsia="zh-CN"/>
                <w14:textFill>
                  <w14:solidFill>
                    <w14:schemeClr w14:val="tx1"/>
                  </w14:solidFill>
                </w14:textFill>
              </w:rPr>
              <w:t>6</w:t>
            </w:r>
            <w:r>
              <w:rPr>
                <w:color w:val="000000" w:themeColor="text1"/>
                <w:sz w:val="24"/>
                <w:szCs w:val="24"/>
                <w14:textFill>
                  <w14:solidFill>
                    <w14:schemeClr w14:val="tx1"/>
                  </w14:solidFill>
                </w14:textFill>
              </w:rPr>
              <w:t>度</w:t>
            </w:r>
            <w:r>
              <w:rPr>
                <w:rFonts w:hint="eastAsia"/>
                <w:color w:val="000000" w:themeColor="text1"/>
                <w:sz w:val="24"/>
                <w:szCs w:val="24"/>
                <w:u w:val="single"/>
                <w:lang w:val="en-US" w:eastAsia="zh-CN"/>
                <w14:textFill>
                  <w14:solidFill>
                    <w14:schemeClr w14:val="tx1"/>
                  </w14:solidFill>
                </w14:textFill>
              </w:rPr>
              <w:t>09</w:t>
            </w:r>
            <w:r>
              <w:rPr>
                <w:color w:val="000000" w:themeColor="text1"/>
                <w:sz w:val="24"/>
                <w:szCs w:val="24"/>
                <w14:textFill>
                  <w14:solidFill>
                    <w14:schemeClr w14:val="tx1"/>
                  </w14:solidFill>
                </w14:textFill>
              </w:rPr>
              <w:t>分</w:t>
            </w:r>
            <w:r>
              <w:rPr>
                <w:rFonts w:hint="eastAsia"/>
                <w:color w:val="000000" w:themeColor="text1"/>
                <w:sz w:val="24"/>
                <w:szCs w:val="24"/>
                <w:u w:val="single"/>
                <w:lang w:val="en-US" w:eastAsia="zh-CN"/>
                <w14:textFill>
                  <w14:solidFill>
                    <w14:schemeClr w14:val="tx1"/>
                  </w14:solidFill>
                </w14:textFill>
              </w:rPr>
              <w:t>0</w:t>
            </w:r>
            <w:r>
              <w:rPr>
                <w:color w:val="000000" w:themeColor="text1"/>
                <w:sz w:val="24"/>
                <w:szCs w:val="24"/>
                <w:u w:val="single"/>
                <w14:textFill>
                  <w14:solidFill>
                    <w14:schemeClr w14:val="tx1"/>
                  </w14:solidFill>
                </w14:textFill>
              </w:rPr>
              <w:t>9.</w:t>
            </w:r>
            <w:r>
              <w:rPr>
                <w:rFonts w:hint="eastAsia"/>
                <w:color w:val="000000" w:themeColor="text1"/>
                <w:sz w:val="24"/>
                <w:szCs w:val="24"/>
                <w:u w:val="single"/>
                <w:lang w:val="en-US" w:eastAsia="zh-CN"/>
                <w14:textFill>
                  <w14:solidFill>
                    <w14:schemeClr w14:val="tx1"/>
                  </w14:solidFill>
                </w14:textFill>
              </w:rPr>
              <w:t>24</w:t>
            </w:r>
            <w:r>
              <w:rPr>
                <w:color w:val="000000" w:themeColor="text1"/>
                <w:sz w:val="24"/>
                <w:szCs w:val="24"/>
                <w14:textFill>
                  <w14:solidFill>
                    <w14:schemeClr w14:val="tx1"/>
                  </w14:solidFill>
                </w14:textFill>
              </w:rPr>
              <w:t>秒）</w:t>
            </w:r>
          </w:p>
        </w:tc>
      </w:tr>
      <w:tr w14:paraId="291BDE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678" w:type="dxa"/>
            <w:noWrap w:val="0"/>
            <w:tcMar>
              <w:top w:w="16" w:type="dxa"/>
              <w:left w:w="16" w:type="dxa"/>
              <w:right w:w="16" w:type="dxa"/>
            </w:tcMar>
            <w:vAlign w:val="center"/>
          </w:tcPr>
          <w:p w14:paraId="7538DDB7">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国民经济</w:t>
            </w:r>
          </w:p>
          <w:p w14:paraId="6F1CEC35">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行业类别</w:t>
            </w:r>
          </w:p>
        </w:tc>
        <w:tc>
          <w:tcPr>
            <w:tcW w:w="2205" w:type="dxa"/>
            <w:noWrap w:val="0"/>
            <w:vAlign w:val="center"/>
          </w:tcPr>
          <w:p w14:paraId="6A635488">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C2922</w:t>
            </w:r>
            <w:r>
              <w:rPr>
                <w:rFonts w:hint="eastAsia"/>
                <w:color w:val="000000" w:themeColor="text1"/>
                <w:sz w:val="24"/>
                <w:szCs w:val="24"/>
                <w14:textFill>
                  <w14:solidFill>
                    <w14:schemeClr w14:val="tx1"/>
                  </w14:solidFill>
                </w14:textFill>
              </w:rPr>
              <w:t>塑料板、管、型材制造</w:t>
            </w:r>
          </w:p>
        </w:tc>
        <w:tc>
          <w:tcPr>
            <w:tcW w:w="2145" w:type="dxa"/>
            <w:noWrap w:val="0"/>
            <w:vAlign w:val="center"/>
          </w:tcPr>
          <w:p w14:paraId="751200EE">
            <w:pPr>
              <w:adjustRightInd w:val="0"/>
              <w:snapToGrid w:val="0"/>
              <w:jc w:val="center"/>
              <w:rPr>
                <w:color w:val="000000" w:themeColor="text1"/>
                <w:sz w:val="24"/>
                <w:szCs w:val="24"/>
                <w14:textFill>
                  <w14:solidFill>
                    <w14:schemeClr w14:val="tx1"/>
                  </w14:solidFill>
                </w14:textFill>
              </w:rPr>
            </w:pPr>
            <w:bookmarkStart w:id="1" w:name="_Hlk49843745"/>
            <w:r>
              <w:rPr>
                <w:color w:val="000000" w:themeColor="text1"/>
                <w:sz w:val="24"/>
                <w:szCs w:val="24"/>
                <w14:textFill>
                  <w14:solidFill>
                    <w14:schemeClr w14:val="tx1"/>
                  </w14:solidFill>
                </w14:textFill>
              </w:rPr>
              <w:t>建设项目</w:t>
            </w:r>
          </w:p>
          <w:p w14:paraId="125CDA4F">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行业类别</w:t>
            </w:r>
            <w:bookmarkEnd w:id="1"/>
          </w:p>
        </w:tc>
        <w:tc>
          <w:tcPr>
            <w:tcW w:w="2842" w:type="dxa"/>
            <w:noWrap w:val="0"/>
            <w:vAlign w:val="center"/>
          </w:tcPr>
          <w:p w14:paraId="35ADFFB3">
            <w:pPr>
              <w:adjustRightInd w:val="0"/>
              <w:snapToGrid w:val="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二十六橡胶和塑料制品业29</w:t>
            </w:r>
          </w:p>
        </w:tc>
      </w:tr>
      <w:tr w14:paraId="3255D1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678" w:type="dxa"/>
            <w:noWrap w:val="0"/>
            <w:tcMar>
              <w:top w:w="16" w:type="dxa"/>
              <w:left w:w="16" w:type="dxa"/>
              <w:right w:w="16" w:type="dxa"/>
            </w:tcMar>
            <w:vAlign w:val="center"/>
          </w:tcPr>
          <w:p w14:paraId="6679E024">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建设性质</w:t>
            </w:r>
          </w:p>
        </w:tc>
        <w:tc>
          <w:tcPr>
            <w:tcW w:w="2205" w:type="dxa"/>
            <w:noWrap w:val="0"/>
            <w:vAlign w:val="center"/>
          </w:tcPr>
          <w:p w14:paraId="5DA57379">
            <w:pPr>
              <w:jc w:val="left"/>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新建（迁建）</w:t>
            </w:r>
          </w:p>
          <w:p w14:paraId="7FA83497">
            <w:pPr>
              <w:jc w:val="left"/>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改建</w:t>
            </w:r>
          </w:p>
          <w:p w14:paraId="3A16D27A">
            <w:pPr>
              <w:jc w:val="left"/>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扩建</w:t>
            </w:r>
          </w:p>
          <w:p w14:paraId="00A79875">
            <w:pPr>
              <w:jc w:val="left"/>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技术改造</w:t>
            </w:r>
          </w:p>
        </w:tc>
        <w:tc>
          <w:tcPr>
            <w:tcW w:w="2145" w:type="dxa"/>
            <w:noWrap w:val="0"/>
            <w:vAlign w:val="center"/>
          </w:tcPr>
          <w:p w14:paraId="55DD1ED1">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建设项目</w:t>
            </w:r>
          </w:p>
          <w:p w14:paraId="58BC4186">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申报情形</w:t>
            </w:r>
          </w:p>
        </w:tc>
        <w:tc>
          <w:tcPr>
            <w:tcW w:w="2842" w:type="dxa"/>
            <w:noWrap w:val="0"/>
            <w:vAlign w:val="center"/>
          </w:tcPr>
          <w:p w14:paraId="2740AF6F">
            <w:pPr>
              <w:jc w:val="left"/>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 xml:space="preserve">首次申报项目             </w:t>
            </w:r>
          </w:p>
          <w:p w14:paraId="6863E629">
            <w:pPr>
              <w:jc w:val="left"/>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不予批准后再次申报项目</w:t>
            </w:r>
          </w:p>
          <w:p w14:paraId="28A23EDA">
            <w:pPr>
              <w:jc w:val="left"/>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 xml:space="preserve">超五年重新审核项目     </w:t>
            </w:r>
          </w:p>
          <w:p w14:paraId="1F312EA6">
            <w:pPr>
              <w:jc w:val="left"/>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重大变动重新报批项目</w:t>
            </w:r>
          </w:p>
        </w:tc>
      </w:tr>
      <w:tr w14:paraId="2A859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678" w:type="dxa"/>
            <w:noWrap w:val="0"/>
            <w:tcMar>
              <w:top w:w="16" w:type="dxa"/>
              <w:left w:w="16" w:type="dxa"/>
              <w:right w:w="16" w:type="dxa"/>
            </w:tcMar>
            <w:vAlign w:val="center"/>
          </w:tcPr>
          <w:p w14:paraId="1504C39D">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项目审批（核准/备案）部门（选填）</w:t>
            </w:r>
          </w:p>
        </w:tc>
        <w:tc>
          <w:tcPr>
            <w:tcW w:w="2205" w:type="dxa"/>
            <w:noWrap w:val="0"/>
            <w:vAlign w:val="center"/>
          </w:tcPr>
          <w:p w14:paraId="6E468033">
            <w:pPr>
              <w:adjustRightInd w:val="0"/>
              <w:snapToGrid w:val="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闽侯县发展和改革局</w:t>
            </w:r>
          </w:p>
        </w:tc>
        <w:tc>
          <w:tcPr>
            <w:tcW w:w="2145" w:type="dxa"/>
            <w:noWrap w:val="0"/>
            <w:vAlign w:val="center"/>
          </w:tcPr>
          <w:p w14:paraId="1B775965">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项目审批（核准/</w:t>
            </w:r>
          </w:p>
          <w:p w14:paraId="0F42EA34">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备案）文号（选填）</w:t>
            </w:r>
          </w:p>
        </w:tc>
        <w:tc>
          <w:tcPr>
            <w:tcW w:w="2842" w:type="dxa"/>
            <w:noWrap w:val="0"/>
            <w:vAlign w:val="center"/>
          </w:tcPr>
          <w:p w14:paraId="784BC3C2">
            <w:pPr>
              <w:adjustRightInd w:val="0"/>
              <w:snapToGrid w:val="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闽发改备</w:t>
            </w:r>
            <w:r>
              <w:rPr>
                <w:rFonts w:hint="eastAsia" w:ascii="宋体" w:hAnsi="宋体" w:eastAsia="宋体" w:cs="宋体"/>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A080</w:t>
            </w:r>
            <w:r>
              <w:rPr>
                <w:rFonts w:hint="eastAsia"/>
                <w:color w:val="000000" w:themeColor="text1"/>
                <w:sz w:val="24"/>
                <w:szCs w:val="24"/>
                <w:lang w:val="en-US" w:eastAsia="zh-CN"/>
                <w14:textFill>
                  <w14:solidFill>
                    <w14:schemeClr w14:val="tx1"/>
                  </w14:solidFill>
                </w14:textFill>
              </w:rPr>
              <w:t>382</w:t>
            </w:r>
            <w:r>
              <w:rPr>
                <w:rFonts w:hint="eastAsia"/>
                <w:color w:val="000000" w:themeColor="text1"/>
                <w:sz w:val="24"/>
                <w:szCs w:val="24"/>
                <w14:textFill>
                  <w14:solidFill>
                    <w14:schemeClr w14:val="tx1"/>
                  </w14:solidFill>
                </w14:textFill>
              </w:rPr>
              <w:t>号</w:t>
            </w:r>
          </w:p>
        </w:tc>
      </w:tr>
      <w:tr w14:paraId="04E78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8" w:type="dxa"/>
            <w:noWrap w:val="0"/>
            <w:tcMar>
              <w:top w:w="16" w:type="dxa"/>
              <w:left w:w="16" w:type="dxa"/>
              <w:right w:w="16" w:type="dxa"/>
            </w:tcMar>
            <w:vAlign w:val="center"/>
          </w:tcPr>
          <w:p w14:paraId="7CD8FA3A">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总投资</w:t>
            </w:r>
          </w:p>
          <w:p w14:paraId="44EE9195">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（万元）</w:t>
            </w:r>
          </w:p>
        </w:tc>
        <w:tc>
          <w:tcPr>
            <w:tcW w:w="2205" w:type="dxa"/>
            <w:noWrap w:val="0"/>
            <w:vAlign w:val="center"/>
          </w:tcPr>
          <w:p w14:paraId="5291DC65">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500</w:t>
            </w:r>
          </w:p>
        </w:tc>
        <w:tc>
          <w:tcPr>
            <w:tcW w:w="2145" w:type="dxa"/>
            <w:noWrap w:val="0"/>
            <w:tcMar>
              <w:top w:w="16" w:type="dxa"/>
              <w:left w:w="16" w:type="dxa"/>
              <w:right w:w="16" w:type="dxa"/>
            </w:tcMar>
            <w:vAlign w:val="center"/>
          </w:tcPr>
          <w:p w14:paraId="3CDB725A">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环保投资（万元）</w:t>
            </w:r>
          </w:p>
        </w:tc>
        <w:tc>
          <w:tcPr>
            <w:tcW w:w="2842" w:type="dxa"/>
            <w:noWrap w:val="0"/>
            <w:vAlign w:val="center"/>
          </w:tcPr>
          <w:p w14:paraId="321F9C4F">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20</w:t>
            </w:r>
          </w:p>
        </w:tc>
      </w:tr>
      <w:tr w14:paraId="00008E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8" w:type="dxa"/>
            <w:noWrap w:val="0"/>
            <w:tcMar>
              <w:top w:w="16" w:type="dxa"/>
              <w:left w:w="16" w:type="dxa"/>
              <w:right w:w="16" w:type="dxa"/>
            </w:tcMar>
            <w:vAlign w:val="center"/>
          </w:tcPr>
          <w:p w14:paraId="3C7ED2AC">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环保投资</w:t>
            </w:r>
          </w:p>
          <w:p w14:paraId="142A14E9">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占比（%）</w:t>
            </w:r>
          </w:p>
        </w:tc>
        <w:tc>
          <w:tcPr>
            <w:tcW w:w="2205" w:type="dxa"/>
            <w:noWrap w:val="0"/>
            <w:vAlign w:val="center"/>
          </w:tcPr>
          <w:p w14:paraId="4BAEF568">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w:t>
            </w:r>
            <w:r>
              <w:rPr>
                <w:rFonts w:hint="eastAsia"/>
                <w:color w:val="000000" w:themeColor="text1"/>
                <w:sz w:val="24"/>
                <w:szCs w:val="24"/>
                <w14:textFill>
                  <w14:solidFill>
                    <w14:schemeClr w14:val="tx1"/>
                  </w14:solidFill>
                </w14:textFill>
              </w:rPr>
              <w:t>%</w:t>
            </w:r>
          </w:p>
        </w:tc>
        <w:tc>
          <w:tcPr>
            <w:tcW w:w="2145" w:type="dxa"/>
            <w:noWrap w:val="0"/>
            <w:tcMar>
              <w:top w:w="16" w:type="dxa"/>
              <w:left w:w="16" w:type="dxa"/>
              <w:right w:w="16" w:type="dxa"/>
            </w:tcMar>
            <w:vAlign w:val="center"/>
          </w:tcPr>
          <w:p w14:paraId="4FBD7B61">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施工工期</w:t>
            </w:r>
          </w:p>
        </w:tc>
        <w:tc>
          <w:tcPr>
            <w:tcW w:w="2842" w:type="dxa"/>
            <w:noWrap w:val="0"/>
            <w:vAlign w:val="center"/>
          </w:tcPr>
          <w:p w14:paraId="3B1F993C">
            <w:pPr>
              <w:adjustRightInd w:val="0"/>
              <w:snapToGrid w:val="0"/>
              <w:jc w:val="center"/>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14:textFill>
                  <w14:solidFill>
                    <w14:schemeClr w14:val="tx1"/>
                  </w14:solidFill>
                </w14:textFill>
              </w:rPr>
              <w:t>个月</w:t>
            </w:r>
          </w:p>
        </w:tc>
      </w:tr>
      <w:tr w14:paraId="630B77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8" w:type="dxa"/>
            <w:noWrap w:val="0"/>
            <w:tcMar>
              <w:top w:w="16" w:type="dxa"/>
              <w:left w:w="16" w:type="dxa"/>
              <w:right w:w="16" w:type="dxa"/>
            </w:tcMar>
            <w:vAlign w:val="center"/>
          </w:tcPr>
          <w:p w14:paraId="30073F82">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是否开工建设</w:t>
            </w:r>
          </w:p>
        </w:tc>
        <w:tc>
          <w:tcPr>
            <w:tcW w:w="2205" w:type="dxa"/>
            <w:noWrap w:val="0"/>
            <w:vAlign w:val="center"/>
          </w:tcPr>
          <w:p w14:paraId="301FFAC9">
            <w:pPr>
              <w:adjustRightInd w:val="0"/>
              <w:snapToGrid w:val="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√否</w:t>
            </w:r>
          </w:p>
          <w:p w14:paraId="5F50CBDB">
            <w:pPr>
              <w:adjustRightInd w:val="0"/>
              <w:snapToGrid w:val="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sym w:font="Wingdings 2" w:char="00A3"/>
            </w:r>
            <w:r>
              <w:rPr>
                <w:color w:val="000000" w:themeColor="text1"/>
                <w:sz w:val="24"/>
                <w:szCs w:val="24"/>
                <w14:textFill>
                  <w14:solidFill>
                    <w14:schemeClr w14:val="tx1"/>
                  </w14:solidFill>
                </w14:textFill>
              </w:rPr>
              <w:t>是：</w:t>
            </w:r>
            <w:r>
              <w:rPr>
                <w:color w:val="000000" w:themeColor="text1"/>
                <w:sz w:val="24"/>
                <w:szCs w:val="24"/>
                <w:u w:val="single"/>
                <w14:textFill>
                  <w14:solidFill>
                    <w14:schemeClr w14:val="tx1"/>
                  </w14:solidFill>
                </w14:textFill>
              </w:rPr>
              <w:t xml:space="preserve">             </w:t>
            </w:r>
          </w:p>
        </w:tc>
        <w:tc>
          <w:tcPr>
            <w:tcW w:w="2145" w:type="dxa"/>
            <w:noWrap w:val="0"/>
            <w:tcMar>
              <w:top w:w="16" w:type="dxa"/>
              <w:left w:w="16" w:type="dxa"/>
              <w:right w:w="16" w:type="dxa"/>
            </w:tcMar>
            <w:vAlign w:val="center"/>
          </w:tcPr>
          <w:p w14:paraId="46876A1A">
            <w:pPr>
              <w:adjustRightInd w:val="0"/>
              <w:snapToGrid w:val="0"/>
              <w:jc w:val="center"/>
              <w:rPr>
                <w:color w:val="000000" w:themeColor="text1"/>
                <w:spacing w:val="-6"/>
                <w:sz w:val="24"/>
                <w:szCs w:val="24"/>
                <w14:textFill>
                  <w14:solidFill>
                    <w14:schemeClr w14:val="tx1"/>
                  </w14:solidFill>
                </w14:textFill>
              </w:rPr>
            </w:pPr>
            <w:r>
              <w:rPr>
                <w:color w:val="000000" w:themeColor="text1"/>
                <w:spacing w:val="-6"/>
                <w:sz w:val="24"/>
                <w:szCs w:val="24"/>
                <w14:textFill>
                  <w14:solidFill>
                    <w14:schemeClr w14:val="tx1"/>
                  </w14:solidFill>
                </w14:textFill>
              </w:rPr>
              <w:t>用地（用海）</w:t>
            </w:r>
          </w:p>
          <w:p w14:paraId="719F7FB4">
            <w:pPr>
              <w:adjustRightInd w:val="0"/>
              <w:snapToGrid w:val="0"/>
              <w:jc w:val="center"/>
              <w:rPr>
                <w:color w:val="000000" w:themeColor="text1"/>
                <w:sz w:val="24"/>
                <w:szCs w:val="24"/>
                <w14:textFill>
                  <w14:solidFill>
                    <w14:schemeClr w14:val="tx1"/>
                  </w14:solidFill>
                </w14:textFill>
              </w:rPr>
            </w:pPr>
            <w:r>
              <w:rPr>
                <w:color w:val="000000" w:themeColor="text1"/>
                <w:spacing w:val="-6"/>
                <w:sz w:val="24"/>
                <w:szCs w:val="24"/>
                <w14:textFill>
                  <w14:solidFill>
                    <w14:schemeClr w14:val="tx1"/>
                  </w14:solidFill>
                </w14:textFill>
              </w:rPr>
              <w:t>面积（m</w:t>
            </w:r>
            <w:r>
              <w:rPr>
                <w:color w:val="000000" w:themeColor="text1"/>
                <w:spacing w:val="-6"/>
                <w:sz w:val="24"/>
                <w:szCs w:val="24"/>
                <w:vertAlign w:val="superscript"/>
                <w14:textFill>
                  <w14:solidFill>
                    <w14:schemeClr w14:val="tx1"/>
                  </w14:solidFill>
                </w14:textFill>
              </w:rPr>
              <w:t>2</w:t>
            </w:r>
            <w:r>
              <w:rPr>
                <w:color w:val="000000" w:themeColor="text1"/>
                <w:spacing w:val="-6"/>
                <w:sz w:val="24"/>
                <w:szCs w:val="24"/>
                <w14:textFill>
                  <w14:solidFill>
                    <w14:schemeClr w14:val="tx1"/>
                  </w14:solidFill>
                </w14:textFill>
              </w:rPr>
              <w:t>）</w:t>
            </w:r>
          </w:p>
        </w:tc>
        <w:tc>
          <w:tcPr>
            <w:tcW w:w="2842" w:type="dxa"/>
            <w:noWrap w:val="0"/>
            <w:vAlign w:val="center"/>
          </w:tcPr>
          <w:p w14:paraId="7C603EF2">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租赁工业厂房面积</w:t>
            </w:r>
            <w:r>
              <w:rPr>
                <w:rFonts w:hint="eastAsia"/>
                <w:color w:val="000000" w:themeColor="text1"/>
                <w:sz w:val="24"/>
                <w:szCs w:val="24"/>
                <w:lang w:val="en-US" w:eastAsia="zh-CN"/>
                <w14:textFill>
                  <w14:solidFill>
                    <w14:schemeClr w14:val="tx1"/>
                  </w14:solidFill>
                </w14:textFill>
              </w:rPr>
              <w:t>9750</w:t>
            </w:r>
            <w:r>
              <w:rPr>
                <w:color w:val="000000" w:themeColor="text1"/>
                <w:spacing w:val="-6"/>
                <w:sz w:val="24"/>
                <w:szCs w:val="24"/>
                <w14:textFill>
                  <w14:solidFill>
                    <w14:schemeClr w14:val="tx1"/>
                  </w14:solidFill>
                </w14:textFill>
              </w:rPr>
              <w:t>m</w:t>
            </w:r>
            <w:r>
              <w:rPr>
                <w:color w:val="000000" w:themeColor="text1"/>
                <w:spacing w:val="-6"/>
                <w:sz w:val="24"/>
                <w:szCs w:val="24"/>
                <w:vertAlign w:val="superscript"/>
                <w14:textFill>
                  <w14:solidFill>
                    <w14:schemeClr w14:val="tx1"/>
                  </w14:solidFill>
                </w14:textFill>
              </w:rPr>
              <w:t>2</w:t>
            </w:r>
          </w:p>
        </w:tc>
      </w:tr>
      <w:tr w14:paraId="1C581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678" w:type="dxa"/>
            <w:noWrap w:val="0"/>
            <w:vAlign w:val="center"/>
          </w:tcPr>
          <w:p w14:paraId="28D93A80">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 w:val="24"/>
                <w:szCs w:val="24"/>
                <w14:textFill>
                  <w14:solidFill>
                    <w14:schemeClr w14:val="tx1"/>
                  </w14:solidFill>
                </w14:textFill>
              </w:rPr>
              <w:t>专项评价设置情况</w:t>
            </w:r>
          </w:p>
        </w:tc>
        <w:tc>
          <w:tcPr>
            <w:tcW w:w="7192" w:type="dxa"/>
            <w:gridSpan w:val="3"/>
            <w:noWrap w:val="0"/>
            <w:vAlign w:val="center"/>
          </w:tcPr>
          <w:p w14:paraId="27DC19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根据</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建设项目环境影响报告表编制技术指南（污染影响类）（试行）》要求，建设项目产生的环境影响需要深入论证的，应按照环境影响评价相关技术导则开展专项评价工作。根据建设项目排污情况所涉及环境敏感程度，确定专项评价的类别。大气、地表水、环境风险、生态和海洋专项评价具体设置</w:t>
            </w:r>
            <w:r>
              <w:rPr>
                <w:rFonts w:hint="eastAsia"/>
                <w:color w:val="000000" w:themeColor="text1"/>
                <w:sz w:val="24"/>
                <w:szCs w:val="24"/>
                <w:lang w:eastAsia="zh-CN"/>
                <w14:textFill>
                  <w14:solidFill>
                    <w14:schemeClr w14:val="tx1"/>
                  </w14:solidFill>
                </w14:textFill>
              </w:rPr>
              <w:t>情况</w:t>
            </w:r>
            <w:r>
              <w:rPr>
                <w:rFonts w:hint="eastAsia"/>
                <w:color w:val="000000" w:themeColor="text1"/>
                <w:sz w:val="24"/>
                <w:szCs w:val="24"/>
                <w14:textFill>
                  <w14:solidFill>
                    <w14:schemeClr w14:val="tx1"/>
                  </w14:solidFill>
                </w14:textFill>
              </w:rPr>
              <w:t>见表</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1-1</w:t>
            </w:r>
            <w:r>
              <w:rPr>
                <w:rFonts w:hint="eastAsia"/>
                <w:color w:val="000000" w:themeColor="text1"/>
                <w:sz w:val="24"/>
                <w:szCs w:val="24"/>
                <w:lang w:eastAsia="zh-CN"/>
                <w14:textFill>
                  <w14:solidFill>
                    <w14:schemeClr w14:val="tx1"/>
                  </w14:solidFill>
                </w14:textFill>
              </w:rPr>
              <w:t>。</w:t>
            </w:r>
          </w:p>
          <w:p w14:paraId="672072FC">
            <w:pPr>
              <w:pStyle w:val="105"/>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color w:val="000000" w:themeColor="text1"/>
                <w:kern w:val="0"/>
                <w:sz w:val="24"/>
                <w:szCs w:val="24"/>
                <w:lang w:val="en-US" w:eastAsia="zh-CN" w:bidi="ar-SA"/>
                <w14:textFill>
                  <w14:solidFill>
                    <w14:schemeClr w14:val="tx1"/>
                  </w14:solidFill>
                </w14:textFill>
              </w:rPr>
              <w:t>表1.1-1专项评价设置原则表</w:t>
            </w:r>
          </w:p>
          <w:tbl>
            <w:tblPr>
              <w:tblStyle w:val="2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07"/>
              <w:gridCol w:w="2203"/>
              <w:gridCol w:w="2549"/>
              <w:gridCol w:w="914"/>
            </w:tblGrid>
            <w:tr w14:paraId="65C166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tcBorders>
                    <w:tl2br w:val="nil"/>
                    <w:tr2bl w:val="nil"/>
                  </w:tcBorders>
                  <w:noWrap w:val="0"/>
                  <w:vAlign w:val="center"/>
                </w:tcPr>
                <w:p w14:paraId="69F67012">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专项评价的类别</w:t>
                  </w:r>
                </w:p>
              </w:tc>
              <w:tc>
                <w:tcPr>
                  <w:tcW w:w="1580" w:type="pct"/>
                  <w:tcBorders>
                    <w:tl2br w:val="nil"/>
                    <w:tr2bl w:val="nil"/>
                  </w:tcBorders>
                  <w:noWrap w:val="0"/>
                  <w:vAlign w:val="center"/>
                </w:tcPr>
                <w:p w14:paraId="02717A7B">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设置原则</w:t>
                  </w:r>
                </w:p>
              </w:tc>
              <w:tc>
                <w:tcPr>
                  <w:tcW w:w="1828" w:type="pct"/>
                  <w:tcBorders>
                    <w:tl2br w:val="nil"/>
                    <w:tr2bl w:val="nil"/>
                  </w:tcBorders>
                  <w:noWrap w:val="0"/>
                  <w:vAlign w:val="center"/>
                </w:tcPr>
                <w:p w14:paraId="27AA7FCF">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本项目情况</w:t>
                  </w:r>
                </w:p>
              </w:tc>
              <w:tc>
                <w:tcPr>
                  <w:tcW w:w="653" w:type="pct"/>
                  <w:tcBorders>
                    <w:tl2br w:val="nil"/>
                    <w:tr2bl w:val="nil"/>
                  </w:tcBorders>
                  <w:noWrap w:val="0"/>
                  <w:vAlign w:val="center"/>
                </w:tcPr>
                <w:p w14:paraId="3ECF220B">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是否设置专项</w:t>
                  </w:r>
                </w:p>
              </w:tc>
            </w:tr>
            <w:tr w14:paraId="70F6F5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tcBorders>
                    <w:tl2br w:val="nil"/>
                    <w:tr2bl w:val="nil"/>
                  </w:tcBorders>
                  <w:noWrap w:val="0"/>
                  <w:vAlign w:val="center"/>
                </w:tcPr>
                <w:p w14:paraId="5264E5E3">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大气</w:t>
                  </w:r>
                </w:p>
              </w:tc>
              <w:tc>
                <w:tcPr>
                  <w:tcW w:w="1580" w:type="pct"/>
                  <w:tcBorders>
                    <w:tl2br w:val="nil"/>
                    <w:tr2bl w:val="nil"/>
                  </w:tcBorders>
                  <w:noWrap w:val="0"/>
                  <w:vAlign w:val="center"/>
                </w:tcPr>
                <w:p w14:paraId="2A91EAB7">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排放废气含有毒有害污染物</w:t>
                  </w:r>
                  <w:r>
                    <w:rPr>
                      <w:rFonts w:hint="eastAsia" w:ascii="Times New Roman" w:hAnsi="Times New Roman" w:eastAsia="宋体" w:cs="Times New Roman"/>
                      <w:iCs/>
                      <w:color w:val="000000" w:themeColor="text1"/>
                      <w:kern w:val="0"/>
                      <w:sz w:val="21"/>
                      <w:szCs w:val="21"/>
                      <w:vertAlign w:val="superscript"/>
                      <w:lang w:val="en-US" w:eastAsia="zh-CN" w:bidi="ar-SA"/>
                      <w14:textFill>
                        <w14:solidFill>
                          <w14:schemeClr w14:val="tx1"/>
                        </w14:solidFill>
                      </w14:textFill>
                    </w:rPr>
                    <w:t>1</w:t>
                  </w: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、二噁英、苯并[a]芘、氰化物、氯气且厂界外500米范围内有环境空气保护目标的建设项目</w:t>
                  </w:r>
                  <w:r>
                    <w:rPr>
                      <w:rFonts w:hint="eastAsia" w:ascii="Times New Roman" w:hAnsi="Times New Roman" w:eastAsia="宋体" w:cs="Times New Roman"/>
                      <w:iCs/>
                      <w:color w:val="000000" w:themeColor="text1"/>
                      <w:kern w:val="0"/>
                      <w:sz w:val="21"/>
                      <w:szCs w:val="21"/>
                      <w:vertAlign w:val="superscript"/>
                      <w:lang w:val="en-US" w:eastAsia="zh-CN" w:bidi="ar-SA"/>
                      <w14:textFill>
                        <w14:solidFill>
                          <w14:schemeClr w14:val="tx1"/>
                        </w14:solidFill>
                      </w14:textFill>
                    </w:rPr>
                    <w:t>2</w:t>
                  </w: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的建设项目</w:t>
                  </w:r>
                </w:p>
              </w:tc>
              <w:tc>
                <w:tcPr>
                  <w:tcW w:w="1828" w:type="pct"/>
                  <w:tcBorders>
                    <w:tl2br w:val="nil"/>
                    <w:tr2bl w:val="nil"/>
                  </w:tcBorders>
                  <w:noWrap w:val="0"/>
                  <w:vAlign w:val="center"/>
                </w:tcPr>
                <w:p w14:paraId="14E663D1">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本项目厂界外500米范围内有环境空气保护目标，但不涉及排放含有毒有害污染物、二噁英、苯并[a]芘、氰化物、氯气的废气，因此</w:t>
                  </w:r>
                  <w:r>
                    <w:rPr>
                      <w:rFonts w:hint="eastAsia" w:cs="Times New Roman"/>
                      <w:iCs/>
                      <w:color w:val="000000" w:themeColor="text1"/>
                      <w:kern w:val="0"/>
                      <w:sz w:val="21"/>
                      <w:szCs w:val="21"/>
                      <w:lang w:val="en-US" w:eastAsia="zh-CN" w:bidi="ar-SA"/>
                      <w14:textFill>
                        <w14:solidFill>
                          <w14:schemeClr w14:val="tx1"/>
                        </w14:solidFill>
                      </w14:textFill>
                    </w:rPr>
                    <w:t>无须设置</w:t>
                  </w: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大气专项</w:t>
                  </w:r>
                </w:p>
              </w:tc>
              <w:tc>
                <w:tcPr>
                  <w:tcW w:w="653" w:type="pct"/>
                  <w:tcBorders>
                    <w:tl2br w:val="nil"/>
                    <w:tr2bl w:val="nil"/>
                  </w:tcBorders>
                  <w:noWrap w:val="0"/>
                  <w:vAlign w:val="center"/>
                </w:tcPr>
                <w:p w14:paraId="5B445300">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否</w:t>
                  </w:r>
                </w:p>
              </w:tc>
            </w:tr>
            <w:tr w14:paraId="01BD6C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tcBorders>
                    <w:tl2br w:val="nil"/>
                    <w:tr2bl w:val="nil"/>
                  </w:tcBorders>
                  <w:noWrap w:val="0"/>
                  <w:vAlign w:val="center"/>
                </w:tcPr>
                <w:p w14:paraId="22E8B111">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地表水</w:t>
                  </w:r>
                </w:p>
              </w:tc>
              <w:tc>
                <w:tcPr>
                  <w:tcW w:w="1580" w:type="pct"/>
                  <w:tcBorders>
                    <w:tl2br w:val="nil"/>
                    <w:tr2bl w:val="nil"/>
                  </w:tcBorders>
                  <w:noWrap w:val="0"/>
                  <w:vAlign w:val="center"/>
                </w:tcPr>
                <w:p w14:paraId="23485991">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新增工业废水直排建设项目（槽罐车外送污水处理厂的除外）；新增废水直排的污水集中处理厂</w:t>
                  </w:r>
                </w:p>
              </w:tc>
              <w:tc>
                <w:tcPr>
                  <w:tcW w:w="1828" w:type="pct"/>
                  <w:tcBorders>
                    <w:tl2br w:val="nil"/>
                    <w:tr2bl w:val="nil"/>
                  </w:tcBorders>
                  <w:noWrap w:val="0"/>
                  <w:vAlign w:val="center"/>
                </w:tcPr>
                <w:p w14:paraId="3AC267AA">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本项目不属于工业废水直排建设项目和新增废水直排的污水集中处理厂，项目生活污水经预处理后排入市政污水管网，送往闽侯县城关污水处理厂处理。因此</w:t>
                  </w:r>
                  <w:r>
                    <w:rPr>
                      <w:rFonts w:hint="eastAsia" w:cs="Times New Roman"/>
                      <w:iCs/>
                      <w:color w:val="000000" w:themeColor="text1"/>
                      <w:kern w:val="0"/>
                      <w:sz w:val="21"/>
                      <w:szCs w:val="21"/>
                      <w:lang w:val="en-US" w:eastAsia="zh-CN" w:bidi="ar-SA"/>
                      <w14:textFill>
                        <w14:solidFill>
                          <w14:schemeClr w14:val="tx1"/>
                        </w14:solidFill>
                      </w14:textFill>
                    </w:rPr>
                    <w:t>无须设置</w:t>
                  </w: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地表水专项</w:t>
                  </w:r>
                </w:p>
              </w:tc>
              <w:tc>
                <w:tcPr>
                  <w:tcW w:w="653" w:type="pct"/>
                  <w:tcBorders>
                    <w:tl2br w:val="nil"/>
                    <w:tr2bl w:val="nil"/>
                  </w:tcBorders>
                  <w:noWrap w:val="0"/>
                  <w:vAlign w:val="center"/>
                </w:tcPr>
                <w:p w14:paraId="515D6258">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否</w:t>
                  </w:r>
                </w:p>
              </w:tc>
            </w:tr>
            <w:tr w14:paraId="49CD9B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tcBorders>
                    <w:tl2br w:val="nil"/>
                    <w:tr2bl w:val="nil"/>
                  </w:tcBorders>
                  <w:noWrap w:val="0"/>
                  <w:vAlign w:val="center"/>
                </w:tcPr>
                <w:p w14:paraId="4B428DA8">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环境风险</w:t>
                  </w:r>
                </w:p>
              </w:tc>
              <w:tc>
                <w:tcPr>
                  <w:tcW w:w="1580" w:type="pct"/>
                  <w:tcBorders>
                    <w:tl2br w:val="nil"/>
                    <w:tr2bl w:val="nil"/>
                  </w:tcBorders>
                  <w:noWrap w:val="0"/>
                  <w:vAlign w:val="center"/>
                </w:tcPr>
                <w:p w14:paraId="4D104A40">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有毒有害和易燃易爆危险物质存储量超过临界量</w:t>
                  </w:r>
                  <w:r>
                    <w:rPr>
                      <w:rFonts w:hint="eastAsia" w:ascii="Times New Roman" w:hAnsi="Times New Roman" w:eastAsia="宋体" w:cs="Times New Roman"/>
                      <w:iCs/>
                      <w:color w:val="000000" w:themeColor="text1"/>
                      <w:kern w:val="0"/>
                      <w:sz w:val="21"/>
                      <w:szCs w:val="21"/>
                      <w:vertAlign w:val="superscript"/>
                      <w:lang w:val="en-US" w:eastAsia="zh-CN" w:bidi="ar-SA"/>
                      <w14:textFill>
                        <w14:solidFill>
                          <w14:schemeClr w14:val="tx1"/>
                        </w14:solidFill>
                      </w14:textFill>
                    </w:rPr>
                    <w:t>3</w:t>
                  </w: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的建设项目</w:t>
                  </w:r>
                </w:p>
              </w:tc>
              <w:tc>
                <w:tcPr>
                  <w:tcW w:w="1828" w:type="pct"/>
                  <w:tcBorders>
                    <w:tl2br w:val="nil"/>
                    <w:tr2bl w:val="nil"/>
                  </w:tcBorders>
                  <w:noWrap w:val="0"/>
                  <w:vAlign w:val="center"/>
                </w:tcPr>
                <w:p w14:paraId="1D1E70B4">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本项目涉及的危险物质存储量不超过临界量（Q&lt;1），因此</w:t>
                  </w:r>
                  <w:r>
                    <w:rPr>
                      <w:rFonts w:hint="eastAsia" w:cs="Times New Roman"/>
                      <w:iCs/>
                      <w:color w:val="000000" w:themeColor="text1"/>
                      <w:kern w:val="0"/>
                      <w:sz w:val="21"/>
                      <w:szCs w:val="21"/>
                      <w:lang w:val="en-US" w:eastAsia="zh-CN" w:bidi="ar-SA"/>
                      <w14:textFill>
                        <w14:solidFill>
                          <w14:schemeClr w14:val="tx1"/>
                        </w14:solidFill>
                      </w14:textFill>
                    </w:rPr>
                    <w:t>无须设置</w:t>
                  </w: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环境风险专项</w:t>
                  </w:r>
                </w:p>
              </w:tc>
              <w:tc>
                <w:tcPr>
                  <w:tcW w:w="653" w:type="pct"/>
                  <w:tcBorders>
                    <w:tl2br w:val="nil"/>
                    <w:tr2bl w:val="nil"/>
                  </w:tcBorders>
                  <w:noWrap w:val="0"/>
                  <w:vAlign w:val="center"/>
                </w:tcPr>
                <w:p w14:paraId="5EF51699">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否</w:t>
                  </w:r>
                </w:p>
              </w:tc>
            </w:tr>
            <w:tr w14:paraId="4D0CAE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937" w:type="pct"/>
                  <w:tcBorders>
                    <w:tl2br w:val="nil"/>
                    <w:tr2bl w:val="nil"/>
                  </w:tcBorders>
                  <w:noWrap w:val="0"/>
                  <w:vAlign w:val="center"/>
                </w:tcPr>
                <w:p w14:paraId="420B46D6">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生态</w:t>
                  </w:r>
                </w:p>
              </w:tc>
              <w:tc>
                <w:tcPr>
                  <w:tcW w:w="1580" w:type="pct"/>
                  <w:tcBorders>
                    <w:tl2br w:val="nil"/>
                    <w:tr2bl w:val="nil"/>
                  </w:tcBorders>
                  <w:noWrap w:val="0"/>
                  <w:vAlign w:val="center"/>
                </w:tcPr>
                <w:p w14:paraId="4063D03A">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取水口下游500米范围内有重要水生生物的自然产卵场、索饵场、越冬场和洄游通道的新增河道取水的污染类建设项目</w:t>
                  </w:r>
                </w:p>
              </w:tc>
              <w:tc>
                <w:tcPr>
                  <w:tcW w:w="1828" w:type="pct"/>
                  <w:tcBorders>
                    <w:tl2br w:val="nil"/>
                    <w:tr2bl w:val="nil"/>
                  </w:tcBorders>
                  <w:noWrap w:val="0"/>
                  <w:vAlign w:val="center"/>
                </w:tcPr>
                <w:p w14:paraId="74166D21">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本项目位于福州市闽侯县经济技术开发区二期南岭路1号3#楼，依托园区供水，不涉及取水工程，因此</w:t>
                  </w:r>
                  <w:r>
                    <w:rPr>
                      <w:rFonts w:hint="eastAsia" w:cs="Times New Roman"/>
                      <w:iCs/>
                      <w:color w:val="000000" w:themeColor="text1"/>
                      <w:kern w:val="0"/>
                      <w:sz w:val="21"/>
                      <w:szCs w:val="21"/>
                      <w:lang w:val="en-US" w:eastAsia="zh-CN" w:bidi="ar-SA"/>
                      <w14:textFill>
                        <w14:solidFill>
                          <w14:schemeClr w14:val="tx1"/>
                        </w14:solidFill>
                      </w14:textFill>
                    </w:rPr>
                    <w:t>无须设置</w:t>
                  </w: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生态专项</w:t>
                  </w:r>
                </w:p>
              </w:tc>
              <w:tc>
                <w:tcPr>
                  <w:tcW w:w="653" w:type="pct"/>
                  <w:tcBorders>
                    <w:tl2br w:val="nil"/>
                    <w:tr2bl w:val="nil"/>
                  </w:tcBorders>
                  <w:noWrap w:val="0"/>
                  <w:vAlign w:val="center"/>
                </w:tcPr>
                <w:p w14:paraId="025F69AE">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否</w:t>
                  </w:r>
                </w:p>
              </w:tc>
            </w:tr>
            <w:tr w14:paraId="7A5637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tcBorders>
                    <w:tl2br w:val="nil"/>
                    <w:tr2bl w:val="nil"/>
                  </w:tcBorders>
                  <w:noWrap w:val="0"/>
                  <w:vAlign w:val="center"/>
                </w:tcPr>
                <w:p w14:paraId="1E81BDED">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海洋</w:t>
                  </w:r>
                </w:p>
              </w:tc>
              <w:tc>
                <w:tcPr>
                  <w:tcW w:w="1580" w:type="pct"/>
                  <w:tcBorders>
                    <w:tl2br w:val="nil"/>
                    <w:tr2bl w:val="nil"/>
                  </w:tcBorders>
                  <w:noWrap w:val="0"/>
                  <w:vAlign w:val="center"/>
                </w:tcPr>
                <w:p w14:paraId="37390DAC">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直接向海排放污染物的海洋工程建设项目</w:t>
                  </w:r>
                </w:p>
              </w:tc>
              <w:tc>
                <w:tcPr>
                  <w:tcW w:w="1828" w:type="pct"/>
                  <w:tcBorders>
                    <w:tl2br w:val="nil"/>
                    <w:tr2bl w:val="nil"/>
                  </w:tcBorders>
                  <w:noWrap w:val="0"/>
                  <w:vAlign w:val="center"/>
                </w:tcPr>
                <w:p w14:paraId="34A4890C">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本项目生活污水经预处理后排入市政污水管网，送往闽侯县城关污水处理厂处理。不属于直接向海排放污染物的海洋工程建设项目，因此</w:t>
                  </w:r>
                  <w:r>
                    <w:rPr>
                      <w:rFonts w:hint="eastAsia" w:cs="Times New Roman"/>
                      <w:iCs/>
                      <w:color w:val="000000" w:themeColor="text1"/>
                      <w:kern w:val="0"/>
                      <w:sz w:val="21"/>
                      <w:szCs w:val="21"/>
                      <w:lang w:val="en-US" w:eastAsia="zh-CN" w:bidi="ar-SA"/>
                      <w14:textFill>
                        <w14:solidFill>
                          <w14:schemeClr w14:val="tx1"/>
                        </w14:solidFill>
                      </w14:textFill>
                    </w:rPr>
                    <w:t>无须设置</w:t>
                  </w: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海洋专项</w:t>
                  </w:r>
                </w:p>
              </w:tc>
              <w:tc>
                <w:tcPr>
                  <w:tcW w:w="653" w:type="pct"/>
                  <w:tcBorders>
                    <w:tl2br w:val="nil"/>
                    <w:tr2bl w:val="nil"/>
                  </w:tcBorders>
                  <w:noWrap w:val="0"/>
                  <w:vAlign w:val="center"/>
                </w:tcPr>
                <w:p w14:paraId="2D265496">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否</w:t>
                  </w:r>
                </w:p>
              </w:tc>
            </w:tr>
            <w:tr w14:paraId="753F1E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l2br w:val="nil"/>
                    <w:tr2bl w:val="nil"/>
                  </w:tcBorders>
                  <w:noWrap w:val="0"/>
                  <w:vAlign w:val="center"/>
                </w:tcPr>
                <w:p w14:paraId="3F294A7A">
                  <w:pPr>
                    <w:bidi w:val="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注：</w:t>
                  </w:r>
                </w:p>
                <w:p w14:paraId="752AC7DA">
                  <w:pPr>
                    <w:bidi w:val="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1.废气中有毒有害污染物指纳入《有毒有害大气污染物名录》的污染物（不包括无排放标准的污染物）。</w:t>
                  </w:r>
                </w:p>
                <w:p w14:paraId="71AD1EE4">
                  <w:pPr>
                    <w:bidi w:val="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2.环境空气保护目标指自然保护区、风景名胜区、居住区、文化区和农村地区中人群较集中的区域。</w:t>
                  </w:r>
                </w:p>
                <w:p w14:paraId="0F9D1238">
                  <w:pPr>
                    <w:bidi w:val="0"/>
                    <w:rPr>
                      <w:rFonts w:hint="eastAsia" w:ascii="宋体" w:hAnsi="宋体" w:eastAsia="宋体" w:cs="宋体"/>
                      <w:color w:val="000000" w:themeColor="text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3.临界量及其计算方法可参考《建设项目环境风险评价技术导则》（HJ169）附录B、附录C。</w:t>
                  </w:r>
                </w:p>
              </w:tc>
            </w:tr>
          </w:tbl>
          <w:p w14:paraId="2965DDF7">
            <w:pPr>
              <w:autoSpaceDE w:val="0"/>
              <w:autoSpaceDN w:val="0"/>
              <w:adjustRightInd w:val="0"/>
              <w:snapToGrid w:val="0"/>
              <w:jc w:val="center"/>
              <w:rPr>
                <w:color w:val="000000" w:themeColor="text1"/>
                <w:kern w:val="0"/>
                <w:szCs w:val="21"/>
                <w14:textFill>
                  <w14:solidFill>
                    <w14:schemeClr w14:val="tx1"/>
                  </w14:solidFill>
                </w14:textFill>
              </w:rPr>
            </w:pPr>
          </w:p>
        </w:tc>
      </w:tr>
      <w:tr w14:paraId="0B0ACD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678" w:type="dxa"/>
            <w:noWrap w:val="0"/>
            <w:vAlign w:val="center"/>
          </w:tcPr>
          <w:p w14:paraId="6DFB9FC8">
            <w:pPr>
              <w:autoSpaceDE w:val="0"/>
              <w:autoSpaceDN w:val="0"/>
              <w:adjustRightInd w:val="0"/>
              <w:snapToGrid w:val="0"/>
              <w:jc w:val="center"/>
              <w:rPr>
                <w:color w:val="000000" w:themeColor="text1"/>
                <w:kern w:val="0"/>
                <w:sz w:val="24"/>
                <w:szCs w:val="24"/>
                <w14:textFill>
                  <w14:solidFill>
                    <w14:schemeClr w14:val="tx1"/>
                  </w14:solidFill>
                </w14:textFill>
              </w:rPr>
            </w:pPr>
            <w:r>
              <w:rPr>
                <w:color w:val="000000" w:themeColor="text1"/>
                <w:sz w:val="24"/>
                <w:szCs w:val="24"/>
                <w14:textFill>
                  <w14:solidFill>
                    <w14:schemeClr w14:val="tx1"/>
                  </w14:solidFill>
                </w14:textFill>
              </w:rPr>
              <w:t>规划情况</w:t>
            </w:r>
          </w:p>
        </w:tc>
        <w:tc>
          <w:tcPr>
            <w:tcW w:w="7192" w:type="dxa"/>
            <w:gridSpan w:val="3"/>
            <w:noWrap w:val="0"/>
            <w:vAlign w:val="center"/>
          </w:tcPr>
          <w:p w14:paraId="2F4DD29E">
            <w:pPr>
              <w:bidi w:val="0"/>
              <w:spacing w:line="360" w:lineRule="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规划名称：《闽侯经济技术开发区控制性详细规划提升方案（甘蔗片区）》</w:t>
            </w:r>
          </w:p>
          <w:p w14:paraId="7E02E1A8">
            <w:pPr>
              <w:bidi w:val="0"/>
              <w:spacing w:line="360" w:lineRule="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审批机关：</w:t>
            </w:r>
            <w:r>
              <w:rPr>
                <w:rFonts w:hint="default" w:cs="Times New Roman"/>
                <w:color w:val="000000" w:themeColor="text1"/>
                <w:sz w:val="24"/>
                <w:szCs w:val="24"/>
                <w:lang w:val="en-US" w:eastAsia="zh-CN"/>
                <w14:textFill>
                  <w14:solidFill>
                    <w14:schemeClr w14:val="tx1"/>
                  </w14:solidFill>
                </w14:textFill>
              </w:rPr>
              <w:t>闽侯县自然资源和规划局</w:t>
            </w:r>
          </w:p>
          <w:p w14:paraId="0DCBA441">
            <w:pPr>
              <w:bidi w:val="0"/>
              <w:spacing w:line="360" w:lineRule="auto"/>
              <w:rPr>
                <w:rFonts w:hint="eastAsia"/>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审查文件名称及文号</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《闽侯经济技术开发区控制性详细规划提升方案（甘蔗片区）的批复》（候政文〔2022〕2号）</w:t>
            </w:r>
          </w:p>
        </w:tc>
      </w:tr>
      <w:tr w14:paraId="47C8CC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78" w:type="dxa"/>
            <w:noWrap w:val="0"/>
            <w:vAlign w:val="center"/>
          </w:tcPr>
          <w:p w14:paraId="73151C33">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规划环境影响</w:t>
            </w:r>
          </w:p>
          <w:p w14:paraId="122CA517">
            <w:pPr>
              <w:adjustRightInd w:val="0"/>
              <w:snapToGrid w:val="0"/>
              <w:jc w:val="center"/>
              <w:rPr>
                <w:color w:val="000000" w:themeColor="text1"/>
                <w:kern w:val="0"/>
                <w:sz w:val="24"/>
                <w:szCs w:val="24"/>
                <w14:textFill>
                  <w14:solidFill>
                    <w14:schemeClr w14:val="tx1"/>
                  </w14:solidFill>
                </w14:textFill>
              </w:rPr>
            </w:pPr>
            <w:r>
              <w:rPr>
                <w:color w:val="000000" w:themeColor="text1"/>
                <w:sz w:val="24"/>
                <w:szCs w:val="24"/>
                <w14:textFill>
                  <w14:solidFill>
                    <w14:schemeClr w14:val="tx1"/>
                  </w14:solidFill>
                </w14:textFill>
              </w:rPr>
              <w:t>评价情况</w:t>
            </w:r>
          </w:p>
        </w:tc>
        <w:tc>
          <w:tcPr>
            <w:tcW w:w="7192" w:type="dxa"/>
            <w:gridSpan w:val="3"/>
            <w:noWrap w:val="0"/>
            <w:vAlign w:val="center"/>
          </w:tcPr>
          <w:p w14:paraId="758A37DD">
            <w:pPr>
              <w:bidi w:val="0"/>
              <w:spacing w:line="360" w:lineRule="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规划名称：《闽侯县经济技术开发区一期延伸区控制性详细规划环境影响报告书》</w:t>
            </w:r>
          </w:p>
          <w:p w14:paraId="3BF5F77C">
            <w:pPr>
              <w:bidi w:val="0"/>
              <w:spacing w:line="360" w:lineRule="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审批机关：闽侯县环境保护局（现福州市生态环境局闽侯分局）</w:t>
            </w:r>
          </w:p>
          <w:p w14:paraId="126DA14D">
            <w:pPr>
              <w:keepNext w:val="0"/>
              <w:keepLines w:val="0"/>
              <w:widowControl/>
              <w:suppressLineNumbers w:val="0"/>
              <w:spacing w:line="360" w:lineRule="auto"/>
              <w:ind w:left="0" w:leftChars="0" w:firstLine="0" w:firstLineChars="0"/>
              <w:jc w:val="left"/>
              <w:rPr>
                <w:rFonts w:hint="eastAsia"/>
                <w:color w:val="000000" w:themeColor="text1"/>
                <w:kern w:val="0"/>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审查文件名称及文号：《闽侯县经济技术开发区一期延伸区控制性详细规划环境影响报告书的批复》（侯环保〔2014〕140号）</w:t>
            </w:r>
          </w:p>
        </w:tc>
      </w:tr>
      <w:tr w14:paraId="313E2E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678" w:type="dxa"/>
            <w:noWrap w:val="0"/>
            <w:vAlign w:val="center"/>
          </w:tcPr>
          <w:p w14:paraId="354FFEB9">
            <w:pPr>
              <w:autoSpaceDE w:val="0"/>
              <w:autoSpaceDN w:val="0"/>
              <w:adjustRightInd w:val="0"/>
              <w:snapToGrid w:val="0"/>
              <w:jc w:val="center"/>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规划及规划环境影响评价符合性分析</w:t>
            </w:r>
          </w:p>
        </w:tc>
        <w:tc>
          <w:tcPr>
            <w:tcW w:w="7192" w:type="dxa"/>
            <w:gridSpan w:val="3"/>
            <w:noWrap w:val="0"/>
            <w:vAlign w:val="center"/>
          </w:tcPr>
          <w:p w14:paraId="43CE719D">
            <w:pPr>
              <w:keepNext w:val="0"/>
              <w:keepLines w:val="0"/>
              <w:pageBreakBefore w:val="0"/>
              <w:widowControl/>
              <w:kinsoku/>
              <w:wordWrap/>
              <w:overflowPunct/>
              <w:topLinePunct w:val="0"/>
              <w:bidi w:val="0"/>
              <w:adjustRightInd/>
              <w:snapToGrid/>
              <w:spacing w:before="0" w:beforeLines="0" w:beforeAutospacing="0" w:after="0" w:afterLines="0" w:afterAutospacing="0" w:line="360" w:lineRule="auto"/>
              <w:ind w:leftChars="0" w:firstLineChars="0"/>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kern w:val="0"/>
                <w:sz w:val="24"/>
                <w:szCs w:val="24"/>
                <w:lang w:eastAsia="zh-CN"/>
              </w:rPr>
              <w:t>（</w:t>
            </w:r>
            <w:r>
              <w:rPr>
                <w:rFonts w:hint="default" w:ascii="Times New Roman" w:hAnsi="Times New Roman" w:eastAsia="宋体" w:cs="Times New Roman"/>
                <w:b/>
                <w:bCs/>
                <w:color w:val="auto"/>
                <w:kern w:val="0"/>
                <w:sz w:val="24"/>
                <w:szCs w:val="24"/>
                <w:lang w:val="en-US" w:eastAsia="zh-CN"/>
              </w:rPr>
              <w:t>1）</w:t>
            </w:r>
            <w:r>
              <w:rPr>
                <w:rFonts w:hint="default" w:ascii="Times New Roman" w:hAnsi="Times New Roman" w:eastAsia="宋体" w:cs="Times New Roman"/>
                <w:b/>
                <w:bCs/>
                <w:color w:val="auto"/>
                <w:kern w:val="0"/>
                <w:sz w:val="24"/>
                <w:szCs w:val="24"/>
              </w:rPr>
              <w:t>与</w:t>
            </w:r>
            <w:r>
              <w:rPr>
                <w:rFonts w:hint="default" w:ascii="Times New Roman" w:hAnsi="Times New Roman" w:eastAsia="宋体" w:cs="Times New Roman"/>
                <w:b/>
                <w:bCs/>
                <w:color w:val="auto"/>
                <w:kern w:val="0"/>
                <w:sz w:val="24"/>
                <w:szCs w:val="24"/>
                <w:lang w:val="en-US" w:eastAsia="zh-CN"/>
              </w:rPr>
              <w:t>《闽侯经济技术开发区控制性详细规划提升方案（甘蔗片区）》</w:t>
            </w:r>
            <w:r>
              <w:rPr>
                <w:rFonts w:hint="default" w:ascii="Times New Roman" w:hAnsi="Times New Roman" w:eastAsia="宋体" w:cs="Times New Roman"/>
                <w:b/>
                <w:bCs/>
                <w:color w:val="auto"/>
                <w:sz w:val="24"/>
                <w:szCs w:val="24"/>
              </w:rPr>
              <w:t>符合性分析</w:t>
            </w:r>
          </w:p>
          <w:p w14:paraId="002F3B7A">
            <w:pPr>
              <w:pStyle w:val="20"/>
              <w:keepNext w:val="0"/>
              <w:keepLines w:val="0"/>
              <w:pageBreakBefore w:val="0"/>
              <w:widowControl/>
              <w:suppressLineNumbers w:val="0"/>
              <w:shd w:val="clear" w:color="auto" w:fill="FFFFFF"/>
              <w:kinsoku/>
              <w:wordWrap/>
              <w:overflowPunct/>
              <w:topLinePunct w:val="0"/>
              <w:bidi w:val="0"/>
              <w:spacing w:before="0" w:beforeAutospacing="0" w:after="0" w:afterAutospacing="0" w:line="360" w:lineRule="auto"/>
              <w:ind w:lef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规划范围：闽侯县城北部、峰福铁路以北，涉及甘蔗、荆溪两街道，总用地912公顷（约13680亩）。</w:t>
            </w:r>
          </w:p>
          <w:p w14:paraId="70C77940">
            <w:pPr>
              <w:pStyle w:val="20"/>
              <w:keepNext w:val="0"/>
              <w:keepLines w:val="0"/>
              <w:pageBreakBefore w:val="0"/>
              <w:widowControl/>
              <w:suppressLineNumbers w:val="0"/>
              <w:shd w:val="clear" w:color="auto" w:fill="FFFFFF"/>
              <w:kinsoku/>
              <w:wordWrap/>
              <w:overflowPunct/>
              <w:topLinePunct w:val="0"/>
              <w:bidi w:val="0"/>
              <w:spacing w:before="0" w:beforeAutospacing="0" w:after="0" w:afterAutospacing="0" w:line="360" w:lineRule="auto"/>
              <w:ind w:lef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主导产业：高端装备制造、光学光电、生物医药、绿色食品。</w:t>
            </w:r>
          </w:p>
          <w:p w14:paraId="6A340FEA">
            <w:pPr>
              <w:keepNext w:val="0"/>
              <w:keepLines w:val="0"/>
              <w:pageBreakBefore w:val="0"/>
              <w:widowControl/>
              <w:kinsoku/>
              <w:wordWrap/>
              <w:overflowPunct/>
              <w:topLinePunct w:val="0"/>
              <w:bidi w:val="0"/>
              <w:adjustRightInd/>
              <w:snapToGrid/>
              <w:spacing w:before="0" w:beforeLines="0" w:beforeAutospacing="0" w:after="0" w:afterLines="0" w:afterAutospacing="0" w:line="360" w:lineRule="auto"/>
              <w:ind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本项目位于闽侯经济技术开发区铁岭二期都市型工业集聚区内</w:t>
            </w:r>
            <w:r>
              <w:rPr>
                <w:rFonts w:hint="eastAsia" w:cs="Times New Roman"/>
                <w:color w:val="auto"/>
                <w:sz w:val="24"/>
                <w:szCs w:val="24"/>
                <w:lang w:val="en-US" w:eastAsia="zh-CN"/>
              </w:rPr>
              <w:t>（详见附图6）</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kern w:val="2"/>
                <w:sz w:val="24"/>
                <w:szCs w:val="24"/>
                <w:lang w:val="en-US" w:eastAsia="zh-CN" w:bidi="ar-SA"/>
              </w:rPr>
              <w:t>该区域已规划为工业用地，工业区近中期重点发展机械、电子、食品、工艺品、包装和纺织服装等工</w:t>
            </w:r>
            <w:r>
              <w:rPr>
                <w:rFonts w:hint="eastAsia" w:cs="Times New Roman"/>
                <w:color w:val="auto"/>
                <w:kern w:val="2"/>
                <w:sz w:val="24"/>
                <w:szCs w:val="24"/>
                <w:lang w:val="en-US" w:eastAsia="zh-CN" w:bidi="ar-SA"/>
              </w:rPr>
              <w:t>业</w:t>
            </w:r>
            <w:r>
              <w:rPr>
                <w:rFonts w:hint="default" w:ascii="Times New Roman" w:hAnsi="Times New Roman" w:eastAsia="宋体" w:cs="Times New Roman"/>
                <w:color w:val="auto"/>
                <w:kern w:val="2"/>
                <w:sz w:val="24"/>
                <w:szCs w:val="24"/>
                <w:lang w:val="en-US" w:eastAsia="zh-CN" w:bidi="ar-SA"/>
              </w:rPr>
              <w:t>项目</w:t>
            </w:r>
            <w:r>
              <w:rPr>
                <w:rFonts w:hint="default" w:ascii="Times New Roman" w:hAnsi="Times New Roman" w:eastAsia="宋体" w:cs="Times New Roman"/>
                <w:color w:val="auto"/>
                <w:sz w:val="24"/>
                <w:szCs w:val="24"/>
                <w:lang w:val="en-US" w:eastAsia="zh-CN"/>
              </w:rPr>
              <w:t>。本项目主要从事</w:t>
            </w:r>
            <w:r>
              <w:rPr>
                <w:rFonts w:hint="default" w:ascii="Times New Roman" w:hAnsi="Times New Roman" w:eastAsia="宋体" w:cs="Times New Roman"/>
                <w:color w:val="auto"/>
                <w:sz w:val="24"/>
                <w:szCs w:val="24"/>
              </w:rPr>
              <w:t>塑料板材、塑料户外家具生产</w:t>
            </w:r>
            <w:r>
              <w:rPr>
                <w:rFonts w:hint="default" w:ascii="Times New Roman" w:hAnsi="Times New Roman" w:eastAsia="宋体" w:cs="Times New Roman"/>
                <w:color w:val="auto"/>
                <w:sz w:val="24"/>
                <w:szCs w:val="24"/>
                <w:lang w:val="en-US" w:eastAsia="zh-CN"/>
              </w:rPr>
              <w:t>，本项目入驻不会造成与规划相冲突。</w:t>
            </w:r>
          </w:p>
          <w:p w14:paraId="0AD81E91">
            <w:pPr>
              <w:keepNext w:val="0"/>
              <w:keepLines w:val="0"/>
              <w:pageBreakBefore w:val="0"/>
              <w:widowControl/>
              <w:numPr>
                <w:ilvl w:val="0"/>
                <w:numId w:val="3"/>
              </w:numPr>
              <w:kinsoku/>
              <w:wordWrap/>
              <w:overflowPunct/>
              <w:topLinePunct w:val="0"/>
              <w:bidi w:val="0"/>
              <w:adjustRightInd/>
              <w:snapToGrid/>
              <w:spacing w:before="0" w:beforeLines="0" w:beforeAutospacing="0" w:after="0" w:afterLines="0" w:afterAutospacing="0" w:line="360" w:lineRule="auto"/>
              <w:ind w:leftChars="0" w:firstLineChars="0"/>
              <w:jc w:val="both"/>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eastAsia="zh-CN"/>
              </w:rPr>
              <w:t>与</w:t>
            </w:r>
            <w:r>
              <w:rPr>
                <w:rFonts w:hint="default" w:ascii="Times New Roman" w:hAnsi="Times New Roman" w:eastAsia="宋体" w:cs="Times New Roman"/>
                <w:b/>
                <w:bCs/>
                <w:color w:val="auto"/>
                <w:kern w:val="0"/>
                <w:sz w:val="24"/>
                <w:szCs w:val="24"/>
                <w:lang w:val="en-US" w:eastAsia="zh-CN"/>
              </w:rPr>
              <w:t>《闽侯县经济技术开发区一期延伸区控制性详细规划环境影响报告书》</w:t>
            </w:r>
            <w:r>
              <w:rPr>
                <w:rFonts w:hint="default" w:ascii="Times New Roman" w:hAnsi="Times New Roman" w:eastAsia="宋体" w:cs="Times New Roman"/>
                <w:b/>
                <w:bCs/>
                <w:color w:val="auto"/>
                <w:sz w:val="24"/>
                <w:szCs w:val="24"/>
                <w:lang w:eastAsia="zh-CN"/>
              </w:rPr>
              <w:t>符合性分析</w:t>
            </w:r>
          </w:p>
          <w:p w14:paraId="6019BD80">
            <w:pPr>
              <w:keepNext w:val="0"/>
              <w:keepLines w:val="0"/>
              <w:pageBreakBefore w:val="0"/>
              <w:widowControl/>
              <w:kinsoku/>
              <w:wordWrap/>
              <w:overflowPunct/>
              <w:topLinePunct w:val="0"/>
              <w:bidi w:val="0"/>
              <w:adjustRightInd/>
              <w:snapToGrid/>
              <w:spacing w:before="0" w:beforeLines="0" w:beforeAutospacing="0" w:after="0" w:afterLines="0" w:afterAutospacing="0" w:line="360" w:lineRule="auto"/>
              <w:ind w:leftChars="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eastAsia="zh-CN"/>
              </w:rPr>
              <w:t>用地布局：工业用地</w:t>
            </w:r>
            <w:r>
              <w:rPr>
                <w:rFonts w:hint="default" w:ascii="Times New Roman" w:hAnsi="Times New Roman" w:eastAsia="宋体" w:cs="Times New Roman"/>
                <w:b w:val="0"/>
                <w:bCs w:val="0"/>
                <w:color w:val="auto"/>
                <w:sz w:val="24"/>
                <w:szCs w:val="24"/>
                <w:lang w:val="en-US" w:eastAsia="zh-CN"/>
              </w:rPr>
              <w:t>48.5hm</w:t>
            </w:r>
            <w:r>
              <w:rPr>
                <w:rFonts w:hint="default" w:ascii="Times New Roman" w:hAnsi="Times New Roman" w:eastAsia="宋体" w:cs="Times New Roman"/>
                <w:b w:val="0"/>
                <w:bCs w:val="0"/>
                <w:color w:val="auto"/>
                <w:sz w:val="24"/>
                <w:szCs w:val="24"/>
                <w:vertAlign w:val="superscript"/>
                <w:lang w:val="en-US" w:eastAsia="zh-CN"/>
              </w:rPr>
              <w:t>2</w:t>
            </w:r>
            <w:r>
              <w:rPr>
                <w:rFonts w:hint="default" w:ascii="Times New Roman" w:hAnsi="Times New Roman" w:eastAsia="宋体" w:cs="Times New Roman"/>
                <w:b w:val="0"/>
                <w:bCs w:val="0"/>
                <w:color w:val="auto"/>
                <w:sz w:val="24"/>
                <w:szCs w:val="24"/>
                <w:vertAlign w:val="baseline"/>
                <w:lang w:val="en-US" w:eastAsia="zh-CN"/>
              </w:rPr>
              <w:t>（69.2%），主导机械制造、电子信息、轻工食品等低污染产业</w:t>
            </w:r>
            <w:r>
              <w:rPr>
                <w:rFonts w:hint="eastAsia" w:ascii="Times New Roman" w:hAnsi="Times New Roman" w:eastAsia="宋体" w:cs="Times New Roman"/>
                <w:b w:val="0"/>
                <w:bCs w:val="0"/>
                <w:color w:val="auto"/>
                <w:sz w:val="24"/>
                <w:szCs w:val="24"/>
                <w:vertAlign w:val="baseline"/>
                <w:lang w:val="en-US" w:eastAsia="zh-CN"/>
              </w:rPr>
              <w:t>。</w:t>
            </w:r>
          </w:p>
          <w:p w14:paraId="2043245E">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ascii="Times New Roman" w:hAnsi="Times New Roman" w:eastAsia="宋体" w:cs="Times New Roman"/>
                <w:color w:val="auto"/>
                <w:kern w:val="2"/>
                <w:sz w:val="24"/>
                <w:szCs w:val="24"/>
              </w:rPr>
            </w:pPr>
            <w:r>
              <w:rPr>
                <w:rFonts w:hint="default" w:ascii="Times New Roman" w:hAnsi="Times New Roman" w:eastAsia="宋体" w:cs="Times New Roman"/>
                <w:b w:val="0"/>
                <w:bCs w:val="0"/>
                <w:color w:val="auto"/>
                <w:kern w:val="2"/>
                <w:sz w:val="24"/>
                <w:szCs w:val="24"/>
                <w:lang w:val="en-US" w:eastAsia="zh-CN" w:bidi="ar-SA"/>
              </w:rPr>
              <w:t>项目属于园区适度发展产业类型，不产生含重金属、有毒有害持久性污染物，符合园区空间布局要求；生产过程产生的废气可达标排放，不属于增加氨氮、总磷等主要污染物排放的项目，不涉及第一类水污染物，符合园区生态环境准入要求。因此，本项目符合园区规划环评要求。</w:t>
            </w:r>
          </w:p>
          <w:p w14:paraId="0428D12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color w:val="000000" w:themeColor="text1"/>
                <w:kern w:val="0"/>
                <w:sz w:val="24"/>
                <w:szCs w:val="24"/>
                <w:lang w:val="en-US" w:eastAsia="zh-CN" w:bidi="ar-SA"/>
                <w14:textFill>
                  <w14:solidFill>
                    <w14:schemeClr w14:val="tx1"/>
                  </w14:solidFill>
                </w14:textFill>
              </w:rPr>
            </w:pPr>
          </w:p>
        </w:tc>
      </w:tr>
      <w:tr w14:paraId="20231A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678" w:type="dxa"/>
            <w:noWrap w:val="0"/>
            <w:vAlign w:val="center"/>
          </w:tcPr>
          <w:p w14:paraId="2EAE863F">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 w:val="24"/>
                <w:szCs w:val="24"/>
                <w14:textFill>
                  <w14:solidFill>
                    <w14:schemeClr w14:val="tx1"/>
                  </w14:solidFill>
                </w14:textFill>
              </w:rPr>
              <w:t>其他符合性分析</w:t>
            </w:r>
          </w:p>
        </w:tc>
        <w:tc>
          <w:tcPr>
            <w:tcW w:w="7192" w:type="dxa"/>
            <w:gridSpan w:val="3"/>
            <w:noWrap w:val="0"/>
            <w:vAlign w:val="center"/>
          </w:tcPr>
          <w:p w14:paraId="491DFCE5">
            <w:pPr>
              <w:pStyle w:val="55"/>
              <w:numPr>
                <w:ilvl w:val="0"/>
                <w:numId w:val="4"/>
              </w:numPr>
              <w:ind w:firstLine="422"/>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产业政策符合性</w:t>
            </w:r>
          </w:p>
          <w:p w14:paraId="0143E058">
            <w:pPr>
              <w:pStyle w:val="55"/>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w:t>
            </w:r>
            <w:r>
              <w:rPr>
                <w:color w:val="000000" w:themeColor="text1"/>
                <w:sz w:val="24"/>
                <w:szCs w:val="24"/>
                <w14:textFill>
                  <w14:solidFill>
                    <w14:schemeClr w14:val="tx1"/>
                  </w14:solidFill>
                </w14:textFill>
              </w:rPr>
              <w:t>主要</w:t>
            </w:r>
            <w:r>
              <w:rPr>
                <w:rFonts w:hint="eastAsia"/>
                <w:color w:val="000000" w:themeColor="text1"/>
                <w:sz w:val="24"/>
                <w:szCs w:val="24"/>
                <w:lang w:eastAsia="zh-CN"/>
                <w14:textFill>
                  <w14:solidFill>
                    <w14:schemeClr w14:val="tx1"/>
                  </w14:solidFill>
                </w14:textFill>
              </w:rPr>
              <w:t>从事</w:t>
            </w:r>
            <w:r>
              <w:rPr>
                <w:rFonts w:hint="eastAsia"/>
                <w:color w:val="000000" w:themeColor="text1"/>
                <w:sz w:val="24"/>
                <w:szCs w:val="24"/>
                <w14:textFill>
                  <w14:solidFill>
                    <w14:schemeClr w14:val="tx1"/>
                  </w14:solidFill>
                </w14:textFill>
              </w:rPr>
              <w:t>塑料板材、塑料户外家具生产</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不</w:t>
            </w:r>
            <w:r>
              <w:rPr>
                <w:color w:val="000000" w:themeColor="text1"/>
                <w:sz w:val="24"/>
                <w:szCs w:val="24"/>
                <w14:textFill>
                  <w14:solidFill>
                    <w14:schemeClr w14:val="tx1"/>
                  </w14:solidFill>
                </w14:textFill>
              </w:rPr>
              <w:t>属于</w:t>
            </w:r>
            <w:r>
              <w:rPr>
                <w:rFonts w:hint="eastAsia"/>
                <w:color w:val="000000" w:themeColor="text1"/>
                <w:sz w:val="24"/>
                <w:szCs w:val="24"/>
                <w14:textFill>
                  <w14:solidFill>
                    <w14:schemeClr w14:val="tx1"/>
                  </w14:solidFill>
                </w14:textFill>
              </w:rPr>
              <w:t>《产业结构调整指导目录（2024年本）》</w:t>
            </w:r>
            <w:r>
              <w:rPr>
                <w:color w:val="000000" w:themeColor="text1"/>
                <w:sz w:val="24"/>
                <w:szCs w:val="24"/>
                <w14:textFill>
                  <w14:solidFill>
                    <w14:schemeClr w14:val="tx1"/>
                  </w14:solidFill>
                </w14:textFill>
              </w:rPr>
              <w:t>中</w:t>
            </w:r>
            <w:r>
              <w:rPr>
                <w:rFonts w:hint="eastAsia"/>
                <w:color w:val="000000" w:themeColor="text1"/>
                <w:sz w:val="24"/>
                <w:szCs w:val="24"/>
                <w14:textFill>
                  <w14:solidFill>
                    <w14:schemeClr w14:val="tx1"/>
                  </w14:solidFill>
                </w14:textFill>
              </w:rPr>
              <w:t>“鼓励类、限制类、淘汰类”项目，符合国家有关法律、法规和政策规定的，为允许类。</w:t>
            </w:r>
            <w:r>
              <w:rPr>
                <w:color w:val="000000" w:themeColor="text1"/>
                <w:sz w:val="24"/>
                <w:szCs w:val="24"/>
                <w14:textFill>
                  <w14:solidFill>
                    <w14:schemeClr w14:val="tx1"/>
                  </w14:solidFill>
                </w14:textFill>
              </w:rPr>
              <w:t>该项目已在</w:t>
            </w:r>
            <w:r>
              <w:rPr>
                <w:rFonts w:hint="eastAsia"/>
                <w:color w:val="000000" w:themeColor="text1"/>
                <w:sz w:val="24"/>
                <w:szCs w:val="24"/>
                <w14:textFill>
                  <w14:solidFill>
                    <w14:schemeClr w14:val="tx1"/>
                  </w14:solidFill>
                </w14:textFill>
              </w:rPr>
              <w:t>闽侯县发展和改革局</w:t>
            </w:r>
            <w:r>
              <w:rPr>
                <w:color w:val="000000" w:themeColor="text1"/>
                <w:sz w:val="24"/>
                <w:szCs w:val="24"/>
                <w14:textFill>
                  <w14:solidFill>
                    <w14:schemeClr w14:val="tx1"/>
                  </w14:solidFill>
                </w14:textFill>
              </w:rPr>
              <w:t>备案（</w:t>
            </w:r>
            <w:r>
              <w:rPr>
                <w:rFonts w:hint="eastAsia"/>
                <w:color w:val="000000" w:themeColor="text1"/>
                <w:sz w:val="24"/>
                <w:szCs w:val="24"/>
                <w:lang w:eastAsia="zh-CN"/>
                <w14:textFill>
                  <w14:solidFill>
                    <w14:schemeClr w14:val="tx1"/>
                  </w14:solidFill>
                </w14:textFill>
              </w:rPr>
              <w:t>闽发改备〔2026〕A080382号</w:t>
            </w:r>
            <w:r>
              <w:rPr>
                <w:color w:val="000000" w:themeColor="text1"/>
                <w:sz w:val="24"/>
                <w:szCs w:val="24"/>
                <w14:textFill>
                  <w14:solidFill>
                    <w14:schemeClr w14:val="tx1"/>
                  </w14:solidFill>
                </w14:textFill>
              </w:rPr>
              <w:t>），详见</w:t>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REF _Ref69415180 \r \h  \* MERGEFORMAT </w:instrText>
            </w:r>
            <w:r>
              <w:rPr>
                <w:color w:val="000000" w:themeColor="text1"/>
                <w:sz w:val="24"/>
                <w:szCs w:val="24"/>
                <w14:textFill>
                  <w14:solidFill>
                    <w14:schemeClr w14:val="tx1"/>
                  </w14:solidFill>
                </w14:textFill>
              </w:rPr>
              <w:fldChar w:fldCharType="separate"/>
            </w:r>
            <w:r>
              <w:rPr>
                <w:rFonts w:hint="eastAsia"/>
                <w:color w:val="000000" w:themeColor="text1"/>
                <w:sz w:val="24"/>
                <w:szCs w:val="24"/>
                <w14:textFill>
                  <w14:solidFill>
                    <w14:schemeClr w14:val="tx1"/>
                  </w14:solidFill>
                </w14:textFill>
              </w:rPr>
              <w:t>附件2</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t>。</w:t>
            </w:r>
          </w:p>
          <w:p w14:paraId="235BE583">
            <w:pPr>
              <w:pStyle w:val="55"/>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本项目建设符合国家和地方相关产业政策要求。</w:t>
            </w:r>
          </w:p>
          <w:p w14:paraId="7E4431F6">
            <w:pPr>
              <w:pStyle w:val="55"/>
              <w:numPr>
                <w:ilvl w:val="0"/>
                <w:numId w:val="4"/>
              </w:numPr>
              <w:ind w:firstLine="422"/>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与</w:t>
            </w:r>
            <w:r>
              <w:rPr>
                <w:rFonts w:hint="eastAsia"/>
                <w:b/>
                <w:bCs/>
                <w:color w:val="000000" w:themeColor="text1"/>
                <w:sz w:val="24"/>
                <w:szCs w:val="24"/>
                <w:lang w:eastAsia="zh-CN"/>
                <w14:textFill>
                  <w14:solidFill>
                    <w14:schemeClr w14:val="tx1"/>
                  </w14:solidFill>
                </w14:textFill>
              </w:rPr>
              <w:t>生态环境分区管控</w:t>
            </w:r>
            <w:r>
              <w:rPr>
                <w:b/>
                <w:bCs/>
                <w:color w:val="000000" w:themeColor="text1"/>
                <w:sz w:val="24"/>
                <w:szCs w:val="24"/>
                <w14:textFill>
                  <w14:solidFill>
                    <w14:schemeClr w14:val="tx1"/>
                  </w14:solidFill>
                </w14:textFill>
              </w:rPr>
              <w:t>符合性分析</w:t>
            </w:r>
          </w:p>
          <w:p w14:paraId="178D3A30">
            <w:pPr>
              <w:pStyle w:val="4"/>
              <w:keepNext/>
              <w:keepLines/>
              <w:pageBreakBefore w:val="0"/>
              <w:widowControl w:val="0"/>
              <w:kinsoku/>
              <w:wordWrap/>
              <w:overflowPunct/>
              <w:topLinePunct w:val="0"/>
              <w:autoSpaceDE/>
              <w:autoSpaceDN/>
              <w:bidi w:val="0"/>
              <w:adjustRightInd/>
              <w:snapToGrid/>
              <w:ind w:firstLine="482" w:firstLineChars="200"/>
              <w:textAlignment w:val="auto"/>
              <w:rPr>
                <w:color w:val="000000" w:themeColor="text1"/>
                <w:sz w:val="24"/>
                <w:szCs w:val="24"/>
                <w14:textFill>
                  <w14:solidFill>
                    <w14:schemeClr w14:val="tx1"/>
                  </w14:solidFill>
                </w14:textFill>
              </w:rPr>
            </w:pPr>
            <w:bookmarkStart w:id="2" w:name="_Toc7228"/>
            <w:bookmarkStart w:id="3" w:name="_Toc16029"/>
            <w:bookmarkStart w:id="4" w:name="_Toc3067"/>
            <w:bookmarkStart w:id="5" w:name="_Toc27236"/>
            <w:bookmarkStart w:id="6" w:name="_Toc3746"/>
            <w:r>
              <w:rPr>
                <w:rFonts w:hint="eastAsia"/>
                <w:color w:val="000000" w:themeColor="text1"/>
                <w:sz w:val="24"/>
                <w:szCs w:val="24"/>
                <w:lang w:val="en-US" w:eastAsia="zh-CN"/>
                <w14:textFill>
                  <w14:solidFill>
                    <w14:schemeClr w14:val="tx1"/>
                  </w14:solidFill>
                </w14:textFill>
              </w:rPr>
              <w:t>（1）</w:t>
            </w:r>
            <w:r>
              <w:rPr>
                <w:color w:val="000000" w:themeColor="text1"/>
                <w:sz w:val="24"/>
                <w:szCs w:val="24"/>
                <w14:textFill>
                  <w14:solidFill>
                    <w14:schemeClr w14:val="tx1"/>
                  </w14:solidFill>
                </w14:textFill>
              </w:rPr>
              <w:t>生态</w:t>
            </w:r>
            <w:r>
              <w:rPr>
                <w:rFonts w:hint="eastAsia"/>
                <w:color w:val="000000" w:themeColor="text1"/>
                <w:sz w:val="24"/>
                <w:szCs w:val="24"/>
                <w:lang w:val="en-US" w:eastAsia="zh-CN"/>
                <w14:textFill>
                  <w14:solidFill>
                    <w14:schemeClr w14:val="tx1"/>
                  </w14:solidFill>
                </w14:textFill>
              </w:rPr>
              <w:t>保护</w:t>
            </w:r>
            <w:r>
              <w:rPr>
                <w:color w:val="000000" w:themeColor="text1"/>
                <w:sz w:val="24"/>
                <w:szCs w:val="24"/>
                <w14:textFill>
                  <w14:solidFill>
                    <w14:schemeClr w14:val="tx1"/>
                  </w14:solidFill>
                </w14:textFill>
              </w:rPr>
              <w:t>红线</w:t>
            </w:r>
          </w:p>
          <w:p w14:paraId="2B1602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00" w:themeColor="text1"/>
                <w:lang w:val="en-US" w:eastAsia="zh-CN"/>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t>对照</w:t>
            </w:r>
            <w:r>
              <w:rPr>
                <w:rFonts w:hint="default"/>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福建省生态保护红线划定方案</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报批稿</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闽政函〔2018〕70号</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本项目位于福州市闽侯县经济技术开发区二期南岭路1号3#楼。项目周边无国家公园、自然保护区、森林公园的生态保育区和核心景观区、风景名胜区的核心景区、地质公园的地质遗迹保护区、世界自然遗产的核心区和缓冲区、湿地公园的湿地保育区和恢复重建区、饮用水水源的一级保护区、水产种质资源保护区的核心区和其他需要特别保护或法律法规禁止开发建设的区域。因此，</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项目建设区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不</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涉及生</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态保护红线。</w:t>
            </w:r>
          </w:p>
          <w:p w14:paraId="47919E80">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ascii="Times New Roman" w:hAnsi="Times New Roman" w:eastAsia="宋体" w:cs="Times New Roman"/>
                <w:b/>
                <w:bCs/>
                <w:color w:val="000000" w:themeColor="text1"/>
                <w:sz w:val="24"/>
                <w:szCs w:val="24"/>
                <w14:textFill>
                  <w14:solidFill>
                    <w14:schemeClr w14:val="tx1"/>
                  </w14:solidFill>
                </w14:textFill>
              </w:rPr>
              <w:t>环境质量底线</w:t>
            </w:r>
          </w:p>
          <w:p w14:paraId="0175BE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①水环境质量底线</w:t>
            </w:r>
          </w:p>
          <w:p w14:paraId="47F90B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根据水环境质量现状可知，本项目附近主要地表水体为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南山溪，属于闽侯内河。</w:t>
            </w:r>
            <w:r>
              <w:rPr>
                <w:rFonts w:hint="default"/>
                <w:color w:val="000000" w:themeColor="text1"/>
                <w:sz w:val="24"/>
                <w:szCs w:val="24"/>
                <w:highlight w:val="none"/>
                <w14:textFill>
                  <w14:solidFill>
                    <w14:schemeClr w14:val="tx1"/>
                  </w14:solidFill>
                </w14:textFill>
              </w:rPr>
              <w:t>根据</w:t>
            </w:r>
            <w:r>
              <w:rPr>
                <w:rFonts w:hint="default"/>
                <w:color w:val="000000" w:themeColor="text1"/>
                <w:sz w:val="24"/>
                <w:szCs w:val="24"/>
                <w:highlight w:val="none"/>
                <w:lang w:eastAsia="zh-CN"/>
                <w14:textFill>
                  <w14:solidFill>
                    <w14:schemeClr w14:val="tx1"/>
                  </w14:solidFill>
                </w14:textFill>
              </w:rPr>
              <w:t>福州市人民</w:t>
            </w:r>
            <w:r>
              <w:rPr>
                <w:rFonts w:hint="default"/>
                <w:color w:val="000000" w:themeColor="text1"/>
                <w:sz w:val="24"/>
                <w:szCs w:val="24"/>
                <w:highlight w:val="none"/>
                <w14:textFill>
                  <w14:solidFill>
                    <w14:schemeClr w14:val="tx1"/>
                  </w14:solidFill>
                </w14:textFill>
              </w:rPr>
              <w:t>政府</w:t>
            </w:r>
            <w:r>
              <w:rPr>
                <w:rFonts w:hint="eastAsia"/>
                <w:color w:val="000000" w:themeColor="text1"/>
                <w:sz w:val="24"/>
                <w:szCs w:val="24"/>
                <w:highlight w:val="none"/>
                <w:lang w:val="en-US" w:eastAsia="zh-CN"/>
                <w14:textFill>
                  <w14:solidFill>
                    <w14:schemeClr w14:val="tx1"/>
                  </w14:solidFill>
                </w14:textFill>
              </w:rPr>
              <w:t>闽</w:t>
            </w:r>
            <w:r>
              <w:rPr>
                <w:rFonts w:hint="default"/>
                <w:color w:val="000000" w:themeColor="text1"/>
                <w:sz w:val="24"/>
                <w:szCs w:val="24"/>
                <w:highlight w:val="none"/>
                <w:lang w:eastAsia="zh-CN"/>
                <w14:textFill>
                  <w14:solidFill>
                    <w14:schemeClr w14:val="tx1"/>
                  </w14:solidFill>
                </w14:textFill>
              </w:rPr>
              <w:t>政文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default"/>
                <w:color w:val="000000" w:themeColor="text1"/>
                <w:sz w:val="24"/>
                <w:szCs w:val="24"/>
                <w:highlight w:val="none"/>
                <w14:textFill>
                  <w14:solidFill>
                    <w14:schemeClr w14:val="tx1"/>
                  </w14:solidFill>
                </w14:textFill>
              </w:rPr>
              <w:t>2</w:t>
            </w:r>
            <w:r>
              <w:rPr>
                <w:rFonts w:hint="default"/>
                <w:color w:val="000000" w:themeColor="text1"/>
                <w:sz w:val="24"/>
                <w:szCs w:val="24"/>
                <w:highlight w:val="none"/>
                <w:lang w:val="en-US" w:eastAsia="zh-CN"/>
                <w14:textFill>
                  <w14:solidFill>
                    <w14:schemeClr w14:val="tx1"/>
                  </w14:solidFill>
                </w14:textFill>
              </w:rPr>
              <w:t>006</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color w:val="000000" w:themeColor="text1"/>
                <w:sz w:val="24"/>
                <w:szCs w:val="24"/>
                <w:highlight w:val="none"/>
                <w:lang w:val="en-US" w:eastAsia="zh-CN"/>
                <w14:textFill>
                  <w14:solidFill>
                    <w14:schemeClr w14:val="tx1"/>
                  </w14:solidFill>
                </w14:textFill>
              </w:rPr>
              <w:t>133</w:t>
            </w:r>
            <w:r>
              <w:rPr>
                <w:rFonts w:hint="default"/>
                <w:color w:val="000000" w:themeColor="text1"/>
                <w:sz w:val="24"/>
                <w:szCs w:val="24"/>
                <w:highlight w:val="none"/>
                <w14:textFill>
                  <w14:solidFill>
                    <w14:schemeClr w14:val="tx1"/>
                  </w14:solidFill>
                </w14:textFill>
              </w:rPr>
              <w:t>号批准《福州市</w:t>
            </w:r>
            <w:r>
              <w:rPr>
                <w:rFonts w:hint="default"/>
                <w:color w:val="000000" w:themeColor="text1"/>
                <w:sz w:val="24"/>
                <w:szCs w:val="24"/>
                <w:highlight w:val="none"/>
                <w:lang w:eastAsia="zh-CN"/>
                <w14:textFill>
                  <w14:solidFill>
                    <w14:schemeClr w14:val="tx1"/>
                  </w14:solidFill>
                </w14:textFill>
              </w:rPr>
              <w:t>地表水环境</w:t>
            </w:r>
            <w:r>
              <w:rPr>
                <w:rFonts w:hint="default"/>
                <w:color w:val="000000" w:themeColor="text1"/>
                <w:sz w:val="24"/>
                <w:szCs w:val="24"/>
                <w:highlight w:val="none"/>
                <w14:textFill>
                  <w14:solidFill>
                    <w14:schemeClr w14:val="tx1"/>
                  </w14:solidFill>
                </w14:textFill>
              </w:rPr>
              <w:t>功能区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划定方案》，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闽江</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闽侯内河</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全河段”水体主要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功能</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一般景观用水</w:t>
            </w:r>
            <w:r>
              <w:rPr>
                <w:rFonts w:hint="default"/>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环境功能类别</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为Ⅴ类</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根据福州市人民政府网站发布</w:t>
            </w:r>
            <w:r>
              <w:rPr>
                <w:rFonts w:hint="default" w:ascii="Times New Roman" w:hAnsi="Times New Roman" w:eastAsia="宋体" w:cs="Times New Roman"/>
                <w:color w:val="000000" w:themeColor="text1"/>
                <w:sz w:val="24"/>
                <w:szCs w:val="24"/>
                <w14:textFill>
                  <w14:solidFill>
                    <w14:schemeClr w14:val="tx1"/>
                  </w14:solidFill>
                </w14:textFill>
              </w:rPr>
              <w:t>，2025年1</w:t>
            </w:r>
            <w:r>
              <w:rPr>
                <w:rFonts w:hint="eastAsia" w:ascii="宋体" w:hAnsi="宋体" w:eastAsia="宋体" w:cs="宋体"/>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12月，主要流域9个国控断面Ⅰ-Ⅲ类水质比例为100%，36个省控及以上断面Ⅰ-Ⅲ类水质比例为100%；小流域54个省控断面Ⅰ-Ⅲ类水质比例为100%。县级及以上集中式饮用水源地水质达标率为100%。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项目外排废水仅为生活污水，厂区生活污水经化粪池收集处理后，经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铁岭二期污水处理站</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的污水管网汇流后，送闽侯县城关污水处理厂进行处理，对区域水环境质量影响较小。项目建设不会突破区域水环境质量底线。</w:t>
            </w:r>
          </w:p>
          <w:p w14:paraId="16540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②大气环境质量底线</w:t>
            </w:r>
          </w:p>
          <w:p w14:paraId="1A22A2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根据《福州市人民政府关于实施生态分区管控的通知》，项目所在地为大气环境管控分区中的高排放重点管控区。大气环境质量底线目标为：到2025年，地级以上城市空气质量PM</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2.5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年平均浓度不高于23μg/m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。到2035年，县级以上地区空气质量PM</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2.5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年平均浓度不高于18μg/m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739F6A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根据福州市闽侯县人民政府网站公布的《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闽侯县202</w:t>
            </w:r>
            <w:r>
              <w:rPr>
                <w:rFonts w:hint="eastAsia" w:cs="Times New Roman"/>
                <w:color w:val="000000" w:themeColor="text1"/>
                <w:sz w:val="24"/>
                <w:szCs w:val="24"/>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年</w:t>
            </w:r>
            <w:r>
              <w:rPr>
                <w:rFonts w:hint="eastAsia" w:cs="Times New Roman"/>
                <w:color w:val="000000" w:themeColor="text1"/>
                <w:sz w:val="24"/>
                <w:szCs w:val="24"/>
                <w:lang w:val="en-US" w:eastAsia="zh-CN"/>
                <w14:textFill>
                  <w14:solidFill>
                    <w14:schemeClr w14:val="tx1"/>
                  </w14:solidFill>
                </w14:textFill>
              </w:rPr>
              <w:t>全年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空气质量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》，闽侯县202</w:t>
            </w:r>
            <w:r>
              <w:rPr>
                <w:rFonts w:hint="eastAsia"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年</w:t>
            </w:r>
            <w:r>
              <w:rPr>
                <w:rFonts w:hint="eastAsia" w:cs="Times New Roman"/>
                <w:color w:val="000000" w:themeColor="text1"/>
                <w:sz w:val="24"/>
                <w:szCs w:val="24"/>
                <w:lang w:val="en-US" w:eastAsia="zh-CN"/>
                <w14:textFill>
                  <w14:solidFill>
                    <w14:schemeClr w14:val="tx1"/>
                  </w14:solidFill>
                </w14:textFill>
              </w:rPr>
              <w:t>全年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县城空</w:t>
            </w:r>
            <w:r>
              <w:rPr>
                <w:rFonts w:hint="default" w:ascii="Times New Roman" w:hAnsi="Times New Roman" w:eastAsia="宋体" w:cs="Times New Roman"/>
                <w:color w:val="000000" w:themeColor="text1"/>
                <w:sz w:val="24"/>
                <w:szCs w:val="24"/>
                <w:highlight w:val="none"/>
                <w14:textFill>
                  <w14:solidFill>
                    <w14:schemeClr w14:val="tx1"/>
                  </w14:solidFill>
                </w14:textFill>
              </w:rPr>
              <w:t>气质量SO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、NO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、PM</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10</w:t>
            </w:r>
            <w:r>
              <w:rPr>
                <w:rFonts w:hint="default" w:ascii="Times New Roman" w:hAnsi="Times New Roman" w:eastAsia="宋体" w:cs="Times New Roman"/>
                <w:color w:val="000000" w:themeColor="text1"/>
                <w:sz w:val="24"/>
                <w:szCs w:val="24"/>
                <w:highlight w:val="none"/>
                <w14:textFill>
                  <w14:solidFill>
                    <w14:schemeClr w14:val="tx1"/>
                  </w14:solidFill>
                </w14:textFill>
              </w:rPr>
              <w:t>、CO、O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、PM</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2.5</w:t>
            </w:r>
            <w:r>
              <w:rPr>
                <w:rFonts w:hint="default" w:ascii="Times New Roman" w:hAnsi="Times New Roman" w:eastAsia="宋体" w:cs="Times New Roman"/>
                <w:color w:val="000000" w:themeColor="text1"/>
                <w:sz w:val="24"/>
                <w:szCs w:val="24"/>
                <w:highlight w:val="none"/>
                <w14:textFill>
                  <w14:solidFill>
                    <w14:schemeClr w14:val="tx1"/>
                  </w14:solidFill>
                </w14:textFill>
              </w:rPr>
              <w:t>等6项污染物浓度指标的24小时均值（其中O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为日最大8小时平均）达到</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国家环境空气质量标准</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（GB 3095-20</w:t>
            </w:r>
            <w:r>
              <w:rPr>
                <w:rFonts w:hint="eastAsia" w:cs="Times New Roman"/>
                <w:color w:val="000000" w:themeColor="text1"/>
                <w:sz w:val="24"/>
                <w:szCs w:val="24"/>
                <w:highlight w:val="none"/>
                <w:lang w:eastAsia="zh-CN"/>
                <w14:textFill>
                  <w14:solidFill>
                    <w14:schemeClr w14:val="tx1"/>
                  </w14:solidFill>
                </w14:textFill>
              </w:rPr>
              <w:t>2</w:t>
            </w:r>
            <w:r>
              <w:rPr>
                <w:rFonts w:hint="eastAsia"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）一级水平。由此可分析，评价区域环境空气质量现状良好，可满足</w:t>
            </w:r>
            <w:r>
              <w:rPr>
                <w:rFonts w:hint="default" w:ascii="Times New Roman" w:hAnsi="Times New Roman" w:eastAsia="宋体" w:cs="Times New Roman"/>
                <w:color w:val="000000" w:themeColor="text1"/>
                <w:sz w:val="24"/>
                <w:szCs w:val="24"/>
                <w14:textFill>
                  <w14:solidFill>
                    <w14:schemeClr w14:val="tx1"/>
                  </w14:solidFill>
                </w14:textFill>
              </w:rPr>
              <w:t>《环境空气质量标准》（GB 3095-2026）中的二级标准</w:t>
            </w:r>
            <w:r>
              <w:rPr>
                <w:rFonts w:hint="default" w:ascii="Times New Roman" w:hAnsi="Times New Roman" w:eastAsia="宋体" w:cs="Times New Roman"/>
                <w:color w:val="000000" w:themeColor="text1"/>
                <w:sz w:val="24"/>
                <w:szCs w:val="24"/>
                <w:highlight w:val="none"/>
                <w14:textFill>
                  <w14:solidFill>
                    <w14:schemeClr w14:val="tx1"/>
                  </w14:solidFill>
                </w14:textFill>
              </w:rPr>
              <w:t>限值要求和相关标准要求。</w:t>
            </w:r>
          </w:p>
          <w:p w14:paraId="493743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项目产生的废气采取有效的污染防治措施后，项目废气源强较低，各污染物均可实现达标排放，项目的建设不会突破区域大气环境质量底线。</w:t>
            </w:r>
          </w:p>
          <w:p w14:paraId="5C8CB0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③土壤环境风险防控底线</w:t>
            </w:r>
          </w:p>
          <w:p w14:paraId="2184C4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福州市人民政府关于实施生态分区管控的通知》，项目所在地为土壤污染风险管控分区中的建设用地一般管控区。到2025年，全省土壤环境质量保持稳定，土壤环境风险得到管控，受污染耕地安全利用率达到93%，污染地块安全利用率达到93%。到2035年，全省土壤环境质量稳中向好，土壤环境风险得到全面管控，受污染耕地安全利用率达95%以上，污染地块安全利用率达95%以上。</w:t>
            </w:r>
          </w:p>
          <w:p w14:paraId="3C736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项目厂区车间地面全部硬化，生产过程</w:t>
            </w:r>
            <w:r>
              <w:rPr>
                <w:rFonts w:hint="eastAsia" w:cs="Times New Roman"/>
                <w:color w:val="000000" w:themeColor="text1"/>
                <w:sz w:val="24"/>
                <w:szCs w:val="24"/>
                <w:highlight w:val="none"/>
                <w:lang w:val="en-US" w:eastAsia="zh-CN"/>
                <w14:textFill>
                  <w14:solidFill>
                    <w14:schemeClr w14:val="tx1"/>
                  </w14:solidFill>
                </w14:textFill>
              </w:rPr>
              <w:t>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不排放持久性污染物，严格按照要求对项目进行分区防渗防治后，基本不存在土壤环境风险，符合土壤环境风险防控底线要求。</w:t>
            </w:r>
          </w:p>
          <w:p w14:paraId="1F2274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综合分析，项目建设不会突破当地环境质量底线。</w:t>
            </w:r>
          </w:p>
          <w:p w14:paraId="10086A6E">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r>
              <w:rPr>
                <w:rFonts w:ascii="Times New Roman" w:hAnsi="Times New Roman" w:eastAsia="宋体" w:cs="Times New Roman"/>
                <w:b/>
                <w:bCs/>
                <w:color w:val="000000" w:themeColor="text1"/>
                <w:sz w:val="24"/>
                <w:szCs w:val="24"/>
                <w14:textFill>
                  <w14:solidFill>
                    <w14:schemeClr w14:val="tx1"/>
                  </w14:solidFill>
                </w14:textFill>
              </w:rPr>
              <w:t>资源利用</w:t>
            </w:r>
            <w:r>
              <w:rPr>
                <w:rFonts w:hint="eastAsia" w:cs="Times New Roman"/>
                <w:b/>
                <w:bCs/>
                <w:color w:val="000000" w:themeColor="text1"/>
                <w:sz w:val="24"/>
                <w:szCs w:val="24"/>
                <w:lang w:eastAsia="zh-CN"/>
                <w14:textFill>
                  <w14:solidFill>
                    <w14:schemeClr w14:val="tx1"/>
                  </w14:solidFill>
                </w14:textFill>
              </w:rPr>
              <w:t>上限</w:t>
            </w:r>
          </w:p>
          <w:p w14:paraId="3DDF77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①水资源利用</w:t>
            </w:r>
            <w:r>
              <w:rPr>
                <w:rFonts w:hint="eastAsia" w:cs="Times New Roman"/>
                <w:color w:val="000000" w:themeColor="text1"/>
                <w:sz w:val="24"/>
                <w:szCs w:val="24"/>
                <w:highlight w:val="none"/>
                <w:lang w:val="en-US" w:eastAsia="zh-CN"/>
                <w14:textFill>
                  <w14:solidFill>
                    <w14:schemeClr w14:val="tx1"/>
                  </w14:solidFill>
                </w14:textFill>
              </w:rPr>
              <w:t>上限</w:t>
            </w:r>
          </w:p>
          <w:p w14:paraId="47C47D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根据《福州市人民政府关于实施生态分区管控的通知》，水资源利用</w:t>
            </w:r>
            <w:r>
              <w:rPr>
                <w:rFonts w:hint="eastAsia" w:cs="Times New Roman"/>
                <w:color w:val="000000" w:themeColor="text1"/>
                <w:sz w:val="24"/>
                <w:szCs w:val="24"/>
                <w:highlight w:val="none"/>
                <w:lang w:val="en-US" w:eastAsia="zh-CN"/>
                <w14:textFill>
                  <w14:solidFill>
                    <w14:schemeClr w14:val="tx1"/>
                  </w14:solidFill>
                </w14:textFill>
              </w:rPr>
              <w:t>上限</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要求为：衔接水资源管理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“三条红线”，控制目标以省政府下达为准。</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项目水资源</w:t>
            </w:r>
            <w:r>
              <w:rPr>
                <w:rFonts w:hint="eastAsia" w:cs="Times New Roman"/>
                <w:color w:val="000000" w:themeColor="text1"/>
                <w:sz w:val="24"/>
                <w:szCs w:val="24"/>
                <w:highlight w:val="none"/>
                <w:lang w:val="en-US" w:eastAsia="zh-CN"/>
                <w14:textFill>
                  <w14:solidFill>
                    <w14:schemeClr w14:val="tx1"/>
                  </w14:solidFill>
                </w14:textFill>
              </w:rPr>
              <w:t>上限</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现状评价从水资源承载能力、水资源利用效率和生态需水量保障程度三方面综合分析，确定全省地市层面范围均为一般管控区，即全市水资源利用不会突破水资源利用</w:t>
            </w:r>
            <w:r>
              <w:rPr>
                <w:rFonts w:hint="eastAsia" w:cs="Times New Roman"/>
                <w:color w:val="000000" w:themeColor="text1"/>
                <w:sz w:val="24"/>
                <w:szCs w:val="24"/>
                <w:highlight w:val="none"/>
                <w:lang w:val="en-US" w:eastAsia="zh-CN"/>
                <w14:textFill>
                  <w14:solidFill>
                    <w14:schemeClr w14:val="tx1"/>
                  </w14:solidFill>
                </w14:textFill>
              </w:rPr>
              <w:t>上限</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26D396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不涉及生产用水，项目的建设不会突破区域水资源利用</w:t>
            </w:r>
            <w:r>
              <w:rPr>
                <w:rFonts w:hint="eastAsia" w:cs="Times New Roman"/>
                <w:color w:val="000000" w:themeColor="text1"/>
                <w:sz w:val="24"/>
                <w:szCs w:val="24"/>
                <w:highlight w:val="none"/>
                <w:lang w:val="en-US" w:eastAsia="zh-CN"/>
                <w14:textFill>
                  <w14:solidFill>
                    <w14:schemeClr w14:val="tx1"/>
                  </w14:solidFill>
                </w14:textFill>
              </w:rPr>
              <w:t>上限</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5F1D2C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②土地资源利用</w:t>
            </w:r>
            <w:r>
              <w:rPr>
                <w:rFonts w:hint="eastAsia" w:cs="Times New Roman"/>
                <w:color w:val="000000" w:themeColor="text1"/>
                <w:sz w:val="24"/>
                <w:szCs w:val="24"/>
                <w:highlight w:val="none"/>
                <w:lang w:val="en-US" w:eastAsia="zh-CN"/>
                <w14:textFill>
                  <w14:solidFill>
                    <w14:schemeClr w14:val="tx1"/>
                  </w14:solidFill>
                </w14:textFill>
              </w:rPr>
              <w:t>上限</w:t>
            </w:r>
          </w:p>
          <w:p w14:paraId="19321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根据《福州市人民政府关于实施生态分区管控的通知》，土地资源利用</w:t>
            </w:r>
            <w:r>
              <w:rPr>
                <w:rFonts w:hint="eastAsia" w:cs="Times New Roman"/>
                <w:color w:val="000000" w:themeColor="text1"/>
                <w:sz w:val="24"/>
                <w:szCs w:val="24"/>
                <w:highlight w:val="none"/>
                <w:lang w:val="en-US" w:eastAsia="zh-CN"/>
                <w14:textFill>
                  <w14:solidFill>
                    <w14:schemeClr w14:val="tx1"/>
                  </w14:solidFill>
                </w14:textFill>
              </w:rPr>
              <w:t>上限</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要求为：衔接土地利用总体规划等文件要求，控制目标以省政府下达为准。</w:t>
            </w:r>
          </w:p>
          <w:p w14:paraId="76DDD2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本项目租赁已建厂房进行生产加工，未新增占地，因此项目建设不会突破土地资源利用</w:t>
            </w:r>
            <w:r>
              <w:rPr>
                <w:rFonts w:hint="eastAsia" w:cs="Times New Roman"/>
                <w:color w:val="000000" w:themeColor="text1"/>
                <w:sz w:val="24"/>
                <w:szCs w:val="24"/>
                <w:highlight w:val="none"/>
                <w:lang w:val="en-US" w:eastAsia="zh-CN"/>
                <w14:textFill>
                  <w14:solidFill>
                    <w14:schemeClr w14:val="tx1"/>
                  </w14:solidFill>
                </w14:textFill>
              </w:rPr>
              <w:t>上限</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7E6F4D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③能源资源利用</w:t>
            </w:r>
            <w:r>
              <w:rPr>
                <w:rFonts w:hint="eastAsia" w:cs="Times New Roman"/>
                <w:color w:val="000000" w:themeColor="text1"/>
                <w:sz w:val="24"/>
                <w:szCs w:val="24"/>
                <w:highlight w:val="none"/>
                <w:lang w:val="en-US" w:eastAsia="zh-CN"/>
                <w14:textFill>
                  <w14:solidFill>
                    <w14:schemeClr w14:val="tx1"/>
                  </w14:solidFill>
                </w14:textFill>
              </w:rPr>
              <w:t>上限</w:t>
            </w:r>
          </w:p>
          <w:p w14:paraId="15EF8D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根据《福州市人民政府关于实施生态分区管控的通知》，能源资源利用</w:t>
            </w:r>
            <w:r>
              <w:rPr>
                <w:rFonts w:hint="eastAsia" w:cs="Times New Roman"/>
                <w:color w:val="000000" w:themeColor="text1"/>
                <w:sz w:val="24"/>
                <w:szCs w:val="24"/>
                <w:highlight w:val="none"/>
                <w:lang w:val="en-US" w:eastAsia="zh-CN"/>
                <w14:textFill>
                  <w14:solidFill>
                    <w14:schemeClr w14:val="tx1"/>
                  </w14:solidFill>
                </w14:textFill>
              </w:rPr>
              <w:t>上限</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要求为：衔接碳达峰方案、节能减排、能源规划等文件要求，控制目标以省政府下达为准。</w:t>
            </w:r>
          </w:p>
          <w:p w14:paraId="3C5E4E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项目使用电能作为能源，不涉及高污染燃料，项目与福州市能源资源利用</w:t>
            </w:r>
            <w:r>
              <w:rPr>
                <w:rFonts w:hint="eastAsia" w:cs="Times New Roman"/>
                <w:color w:val="000000" w:themeColor="text1"/>
                <w:sz w:val="24"/>
                <w:szCs w:val="24"/>
                <w:highlight w:val="none"/>
                <w:lang w:val="en-US" w:eastAsia="zh-CN"/>
                <w14:textFill>
                  <w14:solidFill>
                    <w14:schemeClr w14:val="tx1"/>
                  </w14:solidFill>
                </w14:textFill>
              </w:rPr>
              <w:t>上限</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要求相符。</w:t>
            </w:r>
          </w:p>
          <w:p w14:paraId="51E51219">
            <w:pPr>
              <w:pStyle w:val="4"/>
              <w:keepNext/>
              <w:keepLines/>
              <w:pageBreakBefore w:val="0"/>
              <w:widowControl w:val="0"/>
              <w:kinsoku/>
              <w:wordWrap/>
              <w:overflowPunct/>
              <w:topLinePunct w:val="0"/>
              <w:autoSpaceDE/>
              <w:autoSpaceDN/>
              <w:bidi w:val="0"/>
              <w:adjustRightInd/>
              <w:snapToGrid/>
              <w:ind w:firstLine="482" w:firstLineChars="200"/>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w:t>
            </w:r>
            <w:r>
              <w:rPr>
                <w:rFonts w:ascii="Times New Roman" w:hAnsi="Times New Roman" w:eastAsia="宋体" w:cs="Times New Roman"/>
                <w:b/>
                <w:bCs/>
                <w:color w:val="000000" w:themeColor="text1"/>
                <w:sz w:val="24"/>
                <w:szCs w:val="24"/>
                <w14:textFill>
                  <w14:solidFill>
                    <w14:schemeClr w14:val="tx1"/>
                  </w14:solidFill>
                </w14:textFill>
              </w:rPr>
              <w:t>环境准入负面清单</w:t>
            </w:r>
          </w:p>
          <w:p w14:paraId="4AF78E9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①产业政策符合性分析</w:t>
            </w:r>
          </w:p>
          <w:p w14:paraId="396CEAC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根据“产业政策符合性分析”章节，项目的建设符合国家当前产业政策。</w:t>
            </w:r>
          </w:p>
          <w:p w14:paraId="142E662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②与</w:t>
            </w:r>
            <w:r>
              <w:rPr>
                <w:rFonts w:hint="eastAsia"/>
                <w:color w:val="000000" w:themeColor="text1"/>
                <w:kern w:val="0"/>
                <w:sz w:val="24"/>
                <w:highlight w:val="none"/>
                <w:lang w:bidi="ar"/>
                <w14:textFill>
                  <w14:solidFill>
                    <w14:schemeClr w14:val="tx1"/>
                  </w14:solidFill>
                </w14:textFill>
              </w:rPr>
              <w:t>《市场准入负面清单（2025年版）》</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相符性分析</w:t>
            </w:r>
          </w:p>
          <w:p w14:paraId="06D7A51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经查《市场准入负面清单草案》（试点版），本项目不在其禁止准入类和限制准入类中。因此本项目符合国家产业政策和《市场准入负面清单草案》要求。</w:t>
            </w:r>
          </w:p>
          <w:p w14:paraId="5E3D3D7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③与</w:t>
            </w:r>
            <w:r>
              <w:rPr>
                <w:rFonts w:hint="eastAsia"/>
                <w:color w:val="000000" w:themeColor="text1"/>
                <w:kern w:val="0"/>
                <w:sz w:val="24"/>
                <w:szCs w:val="24"/>
                <w:highlight w:val="none"/>
                <w:lang w:val="en-GB" w:eastAsia="zh-CN"/>
                <w14:textFill>
                  <w14:solidFill>
                    <w14:schemeClr w14:val="tx1"/>
                  </w14:solidFill>
                </w14:textFill>
              </w:rPr>
              <w:t>《福建省</w:t>
            </w:r>
            <w:r>
              <w:rPr>
                <w:rFonts w:hint="eastAsia" w:ascii="Times New Roman" w:hAnsi="Times New Roman" w:eastAsia="宋体" w:cs="Times New Roman"/>
                <w:color w:val="000000" w:themeColor="text1"/>
                <w:kern w:val="0"/>
                <w:sz w:val="24"/>
                <w:szCs w:val="24"/>
                <w:highlight w:val="none"/>
                <w:lang w:val="en-GB" w:eastAsia="zh-CN" w:bidi="ar"/>
                <w14:textFill>
                  <w14:solidFill>
                    <w14:schemeClr w14:val="tx1"/>
                  </w14:solidFill>
                </w14:textFill>
              </w:rPr>
              <w:t>人民政府关于实施生态环境分区管控的通知》</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和《福州市人民政府关于实施生态分区管控的通知》符合性分析</w:t>
            </w:r>
          </w:p>
          <w:p w14:paraId="2E1621C5">
            <w:pPr>
              <w:pStyle w:val="55"/>
              <w:rPr>
                <w:rFonts w:hint="eastAsia"/>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根据</w:t>
            </w:r>
            <w:r>
              <w:rPr>
                <w:rFonts w:hint="eastAsia"/>
                <w:color w:val="000000" w:themeColor="text1"/>
                <w:kern w:val="0"/>
                <w:highlight w:val="none"/>
                <w:lang w:val="en-GB" w:eastAsia="zh-CN"/>
                <w14:textFill>
                  <w14:solidFill>
                    <w14:schemeClr w14:val="tx1"/>
                  </w14:solidFill>
                </w14:textFill>
              </w:rPr>
              <w:t>《福建省</w:t>
            </w:r>
            <w:r>
              <w:rPr>
                <w:rFonts w:hint="eastAsia" w:ascii="Times New Roman" w:hAnsi="Times New Roman" w:eastAsia="宋体" w:cs="Times New Roman"/>
                <w:color w:val="000000" w:themeColor="text1"/>
                <w:kern w:val="0"/>
                <w:sz w:val="24"/>
                <w:szCs w:val="24"/>
                <w:highlight w:val="none"/>
                <w:lang w:val="en-GB" w:eastAsia="zh-CN" w:bidi="ar"/>
                <w14:textFill>
                  <w14:solidFill>
                    <w14:schemeClr w14:val="tx1"/>
                  </w14:solidFill>
                </w14:textFill>
              </w:rPr>
              <w:t>人民政府关于实施生态环境分区管控的通知》（</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闽政〔2020〕12号</w:t>
            </w:r>
            <w:r>
              <w:rPr>
                <w:rFonts w:hint="eastAsia" w:ascii="Times New Roman" w:hAnsi="Times New Roman" w:eastAsia="宋体" w:cs="Times New Roman"/>
                <w:color w:val="000000" w:themeColor="text1"/>
                <w:kern w:val="0"/>
                <w:sz w:val="24"/>
                <w:szCs w:val="24"/>
                <w:highlight w:val="none"/>
                <w:lang w:val="en-GB"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和</w:t>
            </w:r>
            <w:r>
              <w:rPr>
                <w:rFonts w:hint="eastAsia"/>
                <w:color w:val="000000" w:themeColor="text1"/>
                <w:sz w:val="24"/>
                <w:szCs w:val="24"/>
                <w:highlight w:val="none"/>
                <w14:textFill>
                  <w14:solidFill>
                    <w14:schemeClr w14:val="tx1"/>
                  </w14:solidFill>
                </w14:textFill>
              </w:rPr>
              <w:t>《</w:t>
            </w:r>
            <w:r>
              <w:rPr>
                <w:rFonts w:hint="eastAsia"/>
                <w:color w:val="000000" w:themeColor="text1"/>
                <w:kern w:val="0"/>
                <w:sz w:val="24"/>
                <w:szCs w:val="24"/>
                <w:highlight w:val="none"/>
                <w:lang w:val="en-GB" w:eastAsia="zh-CN" w:bidi="ar"/>
                <w14:textFill>
                  <w14:solidFill>
                    <w14:schemeClr w14:val="tx1"/>
                  </w14:solidFill>
                </w14:textFill>
              </w:rPr>
              <w:t>福州市生态环境局关于发布福州市2024年生态环境分区管控动态更新成果的通知</w:t>
            </w:r>
            <w:r>
              <w:rPr>
                <w:rFonts w:hint="eastAsia" w:eastAsia="宋体"/>
                <w:color w:val="000000" w:themeColor="text1"/>
                <w:kern w:val="0"/>
                <w:sz w:val="24"/>
                <w:szCs w:val="24"/>
                <w:highlight w:val="none"/>
                <w:lang w:val="en-GB" w:bidi="ar"/>
                <w14:textFill>
                  <w14:solidFill>
                    <w14:schemeClr w14:val="tx1"/>
                  </w14:solidFill>
                </w14:textFill>
              </w:rPr>
              <w:t>（榕</w:t>
            </w:r>
            <w:r>
              <w:rPr>
                <w:rFonts w:hint="eastAsia"/>
                <w:color w:val="000000" w:themeColor="text1"/>
                <w:kern w:val="0"/>
                <w:sz w:val="24"/>
                <w:szCs w:val="24"/>
                <w:highlight w:val="none"/>
                <w:lang w:val="en-GB" w:eastAsia="zh-CN" w:bidi="ar"/>
                <w14:textFill>
                  <w14:solidFill>
                    <w14:schemeClr w14:val="tx1"/>
                  </w14:solidFill>
                </w14:textFill>
              </w:rPr>
              <w:t>环保综</w:t>
            </w:r>
            <w:r>
              <w:rPr>
                <w:rFonts w:hint="eastAsia" w:eastAsia="宋体"/>
                <w:color w:val="000000" w:themeColor="text1"/>
                <w:kern w:val="0"/>
                <w:sz w:val="24"/>
                <w:szCs w:val="24"/>
                <w:highlight w:val="none"/>
                <w:lang w:val="en-GB" w:bidi="ar"/>
                <w14:textFill>
                  <w14:solidFill>
                    <w14:schemeClr w14:val="tx1"/>
                  </w14:solidFill>
                </w14:textFill>
              </w:rPr>
              <w:t>〔202</w:t>
            </w:r>
            <w:r>
              <w:rPr>
                <w:rFonts w:hint="eastAsia"/>
                <w:color w:val="000000" w:themeColor="text1"/>
                <w:kern w:val="0"/>
                <w:sz w:val="24"/>
                <w:szCs w:val="24"/>
                <w:highlight w:val="none"/>
                <w:lang w:val="en-GB" w:eastAsia="zh-CN" w:bidi="ar"/>
                <w14:textFill>
                  <w14:solidFill>
                    <w14:schemeClr w14:val="tx1"/>
                  </w14:solidFill>
                </w14:textFill>
              </w:rPr>
              <w:t>5</w:t>
            </w:r>
            <w:r>
              <w:rPr>
                <w:rFonts w:hint="eastAsia" w:eastAsia="宋体"/>
                <w:color w:val="000000" w:themeColor="text1"/>
                <w:kern w:val="0"/>
                <w:sz w:val="24"/>
                <w:szCs w:val="24"/>
                <w:highlight w:val="none"/>
                <w:lang w:val="en-GB" w:bidi="ar"/>
                <w14:textFill>
                  <w14:solidFill>
                    <w14:schemeClr w14:val="tx1"/>
                  </w14:solidFill>
                </w14:textFill>
              </w:rPr>
              <w:t>〕</w:t>
            </w:r>
            <w:r>
              <w:rPr>
                <w:rFonts w:hint="eastAsia"/>
                <w:color w:val="000000" w:themeColor="text1"/>
                <w:kern w:val="0"/>
                <w:sz w:val="24"/>
                <w:szCs w:val="24"/>
                <w:highlight w:val="none"/>
                <w:lang w:val="en-GB" w:eastAsia="zh-CN" w:bidi="ar"/>
                <w14:textFill>
                  <w14:solidFill>
                    <w14:schemeClr w14:val="tx1"/>
                  </w14:solidFill>
                </w14:textFill>
              </w:rPr>
              <w:t>1</w:t>
            </w:r>
            <w:r>
              <w:rPr>
                <w:rFonts w:hint="eastAsia" w:eastAsia="宋体"/>
                <w:color w:val="000000" w:themeColor="text1"/>
                <w:kern w:val="0"/>
                <w:sz w:val="24"/>
                <w:szCs w:val="24"/>
                <w:highlight w:val="none"/>
                <w:lang w:val="en-GB" w:bidi="ar"/>
                <w14:textFill>
                  <w14:solidFill>
                    <w14:schemeClr w14:val="tx1"/>
                  </w14:solidFill>
                </w14:textFill>
              </w:rPr>
              <w:t xml:space="preserve"> 号）</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相关要求分析，项目所在位置属于福建省福州市陆域区域，</w:t>
            </w:r>
            <w:r>
              <w:rPr>
                <w:rFonts w:hint="eastAsia"/>
                <w:color w:val="000000" w:themeColor="text1"/>
                <w:sz w:val="24"/>
                <w:szCs w:val="24"/>
                <w:lang w:eastAsia="zh-CN"/>
                <w14:textFill>
                  <w14:solidFill>
                    <w14:schemeClr w14:val="tx1"/>
                  </w14:solidFill>
                </w14:textFill>
              </w:rPr>
              <w:t>位</w:t>
            </w:r>
            <w:r>
              <w:rPr>
                <w:rFonts w:hint="eastAsia"/>
                <w:color w:val="000000" w:themeColor="text1"/>
                <w:sz w:val="24"/>
                <w:lang w:eastAsia="zh-CN"/>
                <w14:textFill>
                  <w14:solidFill>
                    <w14:schemeClr w14:val="tx1"/>
                  </w14:solidFill>
                </w14:textFill>
              </w:rPr>
              <w:t>于闽侯县</w:t>
            </w:r>
            <w:r>
              <w:rPr>
                <w:rFonts w:hint="eastAsia"/>
                <w:color w:val="000000" w:themeColor="text1"/>
                <w:sz w:val="24"/>
                <w:lang w:val="en-US" w:eastAsia="zh-CN"/>
                <w14:textFill>
                  <w14:solidFill>
                    <w14:schemeClr w14:val="tx1"/>
                  </w14:solidFill>
                </w14:textFill>
              </w:rPr>
              <w:t>重点</w:t>
            </w:r>
            <w:r>
              <w:rPr>
                <w:rFonts w:hint="eastAsia"/>
                <w:color w:val="000000" w:themeColor="text1"/>
                <w:sz w:val="24"/>
                <w:lang w:eastAsia="zh-CN"/>
                <w14:textFill>
                  <w14:solidFill>
                    <w14:schemeClr w14:val="tx1"/>
                  </w14:solidFill>
                </w14:textFill>
              </w:rPr>
              <w:t>管控单元（</w:t>
            </w:r>
            <w:r>
              <w:rPr>
                <w:rFonts w:hint="eastAsia"/>
                <w:color w:val="000000" w:themeColor="text1"/>
                <w:sz w:val="24"/>
                <w:lang w:val="en-US" w:eastAsia="zh-CN"/>
                <w14:textFill>
                  <w14:solidFill>
                    <w14:schemeClr w14:val="tx1"/>
                  </w14:solidFill>
                </w14:textFill>
              </w:rPr>
              <w:t>详见附件17</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。符合性分析具体见</w:t>
            </w:r>
            <w:r>
              <w:rPr>
                <w:rFonts w:hint="eastAsia"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下表1.1-2、1.1-3以及1.1-4。</w:t>
            </w:r>
          </w:p>
          <w:p w14:paraId="21B04B96">
            <w:pPr>
              <w:pStyle w:val="106"/>
              <w:bidi w:val="0"/>
              <w:spacing w:line="240" w:lineRule="auto"/>
              <w:rPr>
                <w:rFonts w:hint="eastAsia"/>
                <w:color w:val="000000" w:themeColor="text1"/>
                <w:kern w:val="0"/>
                <w:highlight w:val="yellow"/>
                <w:lang w:eastAsia="zh-CN"/>
                <w14:textFill>
                  <w14:solidFill>
                    <w14:schemeClr w14:val="tx1"/>
                  </w14:solidFill>
                </w14:textFill>
              </w:rPr>
            </w:pPr>
            <w:r>
              <w:rPr>
                <w:rFonts w:hint="eastAsia"/>
                <w:color w:val="000000" w:themeColor="text1"/>
                <w:kern w:val="0"/>
                <w:highlight w:val="none"/>
                <w:lang w:eastAsia="zh-CN"/>
                <w14:textFill>
                  <w14:solidFill>
                    <w14:schemeClr w14:val="tx1"/>
                  </w14:solidFill>
                </w14:textFill>
              </w:rPr>
              <w:t>表</w:t>
            </w:r>
            <w:r>
              <w:rPr>
                <w:rFonts w:hint="eastAsia"/>
                <w:color w:val="000000" w:themeColor="text1"/>
                <w:kern w:val="0"/>
                <w:highlight w:val="none"/>
                <w:lang w:val="en-US" w:eastAsia="zh-CN"/>
                <w14:textFill>
                  <w14:solidFill>
                    <w14:schemeClr w14:val="tx1"/>
                  </w14:solidFill>
                </w14:textFill>
              </w:rPr>
              <w:t xml:space="preserve">1.1-2  </w:t>
            </w:r>
            <w:r>
              <w:rPr>
                <w:rFonts w:hint="default" w:ascii="Times New Roman" w:hAnsi="Times New Roman" w:eastAsia="宋体" w:cs="Times New Roman"/>
                <w:b/>
                <w:bCs/>
                <w:color w:val="000000" w:themeColor="text1"/>
                <w:sz w:val="24"/>
                <w:highlight w:val="none"/>
                <w14:textFill>
                  <w14:solidFill>
                    <w14:schemeClr w14:val="tx1"/>
                  </w14:solidFill>
                </w14:textFill>
              </w:rPr>
              <w:t>与</w:t>
            </w: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福建省</w:t>
            </w:r>
            <w:r>
              <w:rPr>
                <w:rFonts w:hint="default" w:ascii="Times New Roman" w:hAnsi="Times New Roman" w:eastAsia="宋体" w:cs="Times New Roman"/>
                <w:b/>
                <w:bCs/>
                <w:color w:val="000000" w:themeColor="text1"/>
                <w:sz w:val="24"/>
                <w:highlight w:val="none"/>
                <w14:textFill>
                  <w14:solidFill>
                    <w14:schemeClr w14:val="tx1"/>
                  </w14:solidFill>
                </w14:textFill>
              </w:rPr>
              <w:t>生态环境总体准入要求的符合性分析</w:t>
            </w:r>
          </w:p>
          <w:tbl>
            <w:tblPr>
              <w:tblStyle w:val="23"/>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autofit"/>
              <w:tblCellMar>
                <w:top w:w="0" w:type="dxa"/>
                <w:left w:w="108" w:type="dxa"/>
                <w:bottom w:w="0" w:type="dxa"/>
                <w:right w:w="108" w:type="dxa"/>
              </w:tblCellMar>
            </w:tblPr>
            <w:tblGrid>
              <w:gridCol w:w="699"/>
              <w:gridCol w:w="513"/>
              <w:gridCol w:w="3195"/>
              <w:gridCol w:w="1776"/>
              <w:gridCol w:w="790"/>
            </w:tblGrid>
            <w:tr w14:paraId="13C20ABE">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565" w:hRule="atLeast"/>
              </w:trPr>
              <w:tc>
                <w:tcPr>
                  <w:tcW w:w="501" w:type="pct"/>
                  <w:tcBorders>
                    <w:tl2br w:val="nil"/>
                    <w:tr2bl w:val="nil"/>
                  </w:tcBorders>
                  <w:noWrap w:val="0"/>
                  <w:vAlign w:val="center"/>
                </w:tcPr>
                <w:p w14:paraId="6E41FBE0">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适用范围</w:t>
                  </w:r>
                </w:p>
              </w:tc>
              <w:tc>
                <w:tcPr>
                  <w:tcW w:w="2659" w:type="pct"/>
                  <w:gridSpan w:val="2"/>
                  <w:tcBorders>
                    <w:tl2br w:val="nil"/>
                    <w:tr2bl w:val="nil"/>
                  </w:tcBorders>
                  <w:noWrap w:val="0"/>
                  <w:vAlign w:val="center"/>
                </w:tcPr>
                <w:p w14:paraId="1631FFD1">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相关要求</w:t>
                  </w:r>
                </w:p>
              </w:tc>
              <w:tc>
                <w:tcPr>
                  <w:tcW w:w="1273" w:type="pct"/>
                  <w:tcBorders>
                    <w:tl2br w:val="nil"/>
                    <w:tr2bl w:val="nil"/>
                  </w:tcBorders>
                  <w:noWrap w:val="0"/>
                  <w:vAlign w:val="center"/>
                </w:tcPr>
                <w:p w14:paraId="6B553832">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项目情况</w:t>
                  </w:r>
                </w:p>
              </w:tc>
              <w:tc>
                <w:tcPr>
                  <w:tcW w:w="566" w:type="pct"/>
                  <w:tcBorders>
                    <w:tl2br w:val="nil"/>
                    <w:tr2bl w:val="nil"/>
                  </w:tcBorders>
                  <w:noWrap w:val="0"/>
                  <w:vAlign w:val="center"/>
                </w:tcPr>
                <w:p w14:paraId="5F7B1858">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符合性</w:t>
                  </w:r>
                </w:p>
              </w:tc>
            </w:tr>
            <w:tr w14:paraId="5108FA4C">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40" w:hRule="atLeast"/>
              </w:trPr>
              <w:tc>
                <w:tcPr>
                  <w:tcW w:w="501" w:type="pct"/>
                  <w:vMerge w:val="restart"/>
                  <w:tcBorders>
                    <w:tl2br w:val="nil"/>
                    <w:tr2bl w:val="nil"/>
                  </w:tcBorders>
                  <w:noWrap w:val="0"/>
                  <w:vAlign w:val="center"/>
                </w:tcPr>
                <w:p w14:paraId="094300B2">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全省陆域</w:t>
                  </w:r>
                </w:p>
              </w:tc>
              <w:tc>
                <w:tcPr>
                  <w:tcW w:w="368" w:type="pct"/>
                  <w:tcBorders>
                    <w:tl2br w:val="nil"/>
                    <w:tr2bl w:val="nil"/>
                  </w:tcBorders>
                  <w:noWrap w:val="0"/>
                  <w:vAlign w:val="center"/>
                </w:tcPr>
                <w:p w14:paraId="6ACF0B9B">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空间布局约束</w:t>
                  </w:r>
                </w:p>
              </w:tc>
              <w:tc>
                <w:tcPr>
                  <w:tcW w:w="2290" w:type="pct"/>
                  <w:tcBorders>
                    <w:tl2br w:val="nil"/>
                    <w:tr2bl w:val="nil"/>
                  </w:tcBorders>
                  <w:noWrap w:val="0"/>
                  <w:vAlign w:val="center"/>
                </w:tcPr>
                <w:p w14:paraId="46AAEEC1">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1.石化、汽车、船舶、冶金、水泥、制浆造纸、印染等重点产业，要符合全省规划布局要求。</w:t>
                  </w:r>
                </w:p>
                <w:p w14:paraId="1828EF07">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2.禁止在水环境质量不能稳定达标的区域内，建设新增相应不达标污染物指标排放量的工业项目。</w:t>
                  </w:r>
                </w:p>
              </w:tc>
              <w:tc>
                <w:tcPr>
                  <w:tcW w:w="1273" w:type="pct"/>
                  <w:tcBorders>
                    <w:tl2br w:val="nil"/>
                    <w:tr2bl w:val="nil"/>
                  </w:tcBorders>
                  <w:noWrap w:val="0"/>
                  <w:vAlign w:val="center"/>
                </w:tcPr>
                <w:p w14:paraId="6BBD8B80">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不涉及</w:t>
                  </w:r>
                </w:p>
              </w:tc>
              <w:tc>
                <w:tcPr>
                  <w:tcW w:w="566" w:type="pct"/>
                  <w:tcBorders>
                    <w:tl2br w:val="nil"/>
                    <w:tr2bl w:val="nil"/>
                  </w:tcBorders>
                  <w:noWrap w:val="0"/>
                  <w:vAlign w:val="center"/>
                </w:tcPr>
                <w:p w14:paraId="19E1A1CB">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符合</w:t>
                  </w:r>
                </w:p>
              </w:tc>
            </w:tr>
            <w:tr w14:paraId="4568EEB6">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390" w:hRule="atLeast"/>
              </w:trPr>
              <w:tc>
                <w:tcPr>
                  <w:tcW w:w="501" w:type="pct"/>
                  <w:vMerge w:val="continue"/>
                  <w:tcBorders>
                    <w:tl2br w:val="nil"/>
                    <w:tr2bl w:val="nil"/>
                  </w:tcBorders>
                  <w:noWrap w:val="0"/>
                  <w:vAlign w:val="center"/>
                </w:tcPr>
                <w:p w14:paraId="673CC001">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p>
              </w:tc>
              <w:tc>
                <w:tcPr>
                  <w:tcW w:w="368" w:type="pct"/>
                  <w:tcBorders>
                    <w:tl2br w:val="nil"/>
                    <w:tr2bl w:val="nil"/>
                  </w:tcBorders>
                  <w:noWrap w:val="0"/>
                  <w:vAlign w:val="center"/>
                </w:tcPr>
                <w:p w14:paraId="09C7640A">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污染物排放管控</w:t>
                  </w:r>
                </w:p>
              </w:tc>
              <w:tc>
                <w:tcPr>
                  <w:tcW w:w="2290" w:type="pct"/>
                  <w:tcBorders>
                    <w:tl2br w:val="nil"/>
                    <w:tr2bl w:val="nil"/>
                  </w:tcBorders>
                  <w:noWrap w:val="0"/>
                  <w:vAlign w:val="center"/>
                </w:tcPr>
                <w:p w14:paraId="01225F15">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1.建设项目新增的主要污染物排放量应按要求实行等量或倍量替代。涉及总磷排放的建设项目应按照要求实行总磷排放量倍量或等量削减替代。涉及重金属重点行业建设项目新增的重点重金属污染物应按要求实行“减量置换”或“等量替换”。涉新增VOCs排放项目，VOCs排放实行区域内等量替代，福州、厦门、漳州、泉州、莆田、宁德等6个重点控制区可实施倍量替代。</w:t>
                  </w:r>
                </w:p>
                <w:p w14:paraId="53BCE06A">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2.尾水排入近岸海域汇水区域、“六江两溪”流域以及湖泊、水库等封闭、半封闭水域的城镇污水处理设施执行不低于一级A排放标准。</w:t>
                  </w:r>
                </w:p>
              </w:tc>
              <w:tc>
                <w:tcPr>
                  <w:tcW w:w="1273" w:type="pct"/>
                  <w:tcBorders>
                    <w:tl2br w:val="nil"/>
                    <w:tr2bl w:val="nil"/>
                  </w:tcBorders>
                  <w:noWrap w:val="0"/>
                  <w:vAlign w:val="center"/>
                </w:tcPr>
                <w:p w14:paraId="0EDE2185">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本项目位于福建省福州市闽侯县经济技术开发区二期南岭路1号3#楼，本项目主要从事塑料板材及家具的生产，项目不涉及总磷排放，项目VOCs排放拟实行区域内倍量替代，本项目无生产废水，生活污水经化粪池处理后汇合排入市政污水管网由闽侯县污水处理厂处理达标排放。</w:t>
                  </w:r>
                </w:p>
              </w:tc>
              <w:tc>
                <w:tcPr>
                  <w:tcW w:w="566" w:type="pct"/>
                  <w:tcBorders>
                    <w:tl2br w:val="nil"/>
                    <w:tr2bl w:val="nil"/>
                  </w:tcBorders>
                  <w:noWrap w:val="0"/>
                  <w:vAlign w:val="center"/>
                </w:tcPr>
                <w:p w14:paraId="08DD4DD4">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符合</w:t>
                  </w:r>
                </w:p>
              </w:tc>
            </w:tr>
          </w:tbl>
          <w:p w14:paraId="4688CCE0">
            <w:pPr>
              <w:pStyle w:val="106"/>
              <w:bidi w:val="0"/>
              <w:spacing w:line="240" w:lineRule="auto"/>
              <w:rPr>
                <w:rFonts w:hint="eastAsia"/>
                <w:color w:val="000000" w:themeColor="text1"/>
                <w:kern w:val="0"/>
                <w:lang w:eastAsia="zh-CN"/>
                <w14:textFill>
                  <w14:solidFill>
                    <w14:schemeClr w14:val="tx1"/>
                  </w14:solidFill>
                </w14:textFill>
              </w:rPr>
            </w:pPr>
            <w:r>
              <w:rPr>
                <w:rFonts w:hint="eastAsia"/>
                <w:color w:val="000000" w:themeColor="text1"/>
                <w:kern w:val="0"/>
                <w:lang w:eastAsia="zh-CN"/>
                <w14:textFill>
                  <w14:solidFill>
                    <w14:schemeClr w14:val="tx1"/>
                  </w14:solidFill>
                </w14:textFill>
              </w:rPr>
              <w:t>表</w:t>
            </w:r>
            <w:r>
              <w:rPr>
                <w:rFonts w:hint="eastAsia"/>
                <w:color w:val="000000" w:themeColor="text1"/>
                <w:kern w:val="0"/>
                <w:lang w:val="en-US" w:eastAsia="zh-CN"/>
                <w14:textFill>
                  <w14:solidFill>
                    <w14:schemeClr w14:val="tx1"/>
                  </w14:solidFill>
                </w14:textFill>
              </w:rPr>
              <w:t xml:space="preserve">1.1-3 </w:t>
            </w:r>
            <w:r>
              <w:rPr>
                <w:rFonts w:hint="eastAsia"/>
                <w:color w:val="000000" w:themeColor="text1"/>
                <w:kern w:val="0"/>
                <w:highlight w:val="none"/>
                <w:lang w:eastAsia="zh-CN"/>
                <w14:textFill>
                  <w14:solidFill>
                    <w14:schemeClr w14:val="tx1"/>
                  </w14:solidFill>
                </w14:textFill>
              </w:rPr>
              <w:t>与福州市生态环境总体准入</w:t>
            </w:r>
            <w:r>
              <w:rPr>
                <w:rFonts w:hint="eastAsia" w:ascii="Times New Roman" w:hAnsi="Times New Roman" w:eastAsia="宋体" w:cs="Times New Roman"/>
                <w:b/>
                <w:bCs/>
                <w:color w:val="000000" w:themeColor="text1"/>
                <w:sz w:val="24"/>
                <w:highlight w:val="none"/>
                <w:lang w:eastAsia="zh-CN"/>
                <w14:textFill>
                  <w14:solidFill>
                    <w14:schemeClr w14:val="tx1"/>
                  </w14:solidFill>
                </w14:textFill>
              </w:rPr>
              <w:t>要求</w:t>
            </w:r>
            <w:r>
              <w:rPr>
                <w:rFonts w:hint="eastAsia"/>
                <w:color w:val="000000" w:themeColor="text1"/>
                <w:kern w:val="0"/>
                <w:highlight w:val="none"/>
                <w:lang w:eastAsia="zh-CN"/>
                <w14:textFill>
                  <w14:solidFill>
                    <w14:schemeClr w14:val="tx1"/>
                  </w14:solidFill>
                </w14:textFill>
              </w:rPr>
              <w:t>符合性分析</w:t>
            </w:r>
          </w:p>
          <w:tbl>
            <w:tblPr>
              <w:tblStyle w:val="23"/>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37"/>
              <w:gridCol w:w="442"/>
              <w:gridCol w:w="3838"/>
              <w:gridCol w:w="1512"/>
              <w:gridCol w:w="444"/>
            </w:tblGrid>
            <w:tr w14:paraId="24CE4E9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tblHeader/>
              </w:trPr>
              <w:tc>
                <w:tcPr>
                  <w:tcW w:w="528" w:type="pct"/>
                  <w:tcBorders>
                    <w:tl2br w:val="nil"/>
                    <w:tr2bl w:val="nil"/>
                  </w:tcBorders>
                  <w:noWrap w:val="0"/>
                  <w:vAlign w:val="center"/>
                </w:tcPr>
                <w:p w14:paraId="5202B813">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适用范围</w:t>
                  </w:r>
                </w:p>
              </w:tc>
              <w:tc>
                <w:tcPr>
                  <w:tcW w:w="3068" w:type="pct"/>
                  <w:gridSpan w:val="2"/>
                  <w:tcBorders>
                    <w:tl2br w:val="nil"/>
                    <w:tr2bl w:val="nil"/>
                  </w:tcBorders>
                  <w:noWrap w:val="0"/>
                  <w:vAlign w:val="center"/>
                </w:tcPr>
                <w:p w14:paraId="02F19E35">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准入要求</w:t>
                  </w:r>
                </w:p>
              </w:tc>
              <w:tc>
                <w:tcPr>
                  <w:tcW w:w="1084" w:type="pct"/>
                  <w:tcBorders>
                    <w:tl2br w:val="nil"/>
                    <w:tr2bl w:val="nil"/>
                  </w:tcBorders>
                  <w:noWrap w:val="0"/>
                  <w:vAlign w:val="center"/>
                </w:tcPr>
                <w:p w14:paraId="618FABDC">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本项目情况</w:t>
                  </w:r>
                </w:p>
              </w:tc>
              <w:tc>
                <w:tcPr>
                  <w:tcW w:w="318" w:type="pct"/>
                  <w:tcBorders>
                    <w:tl2br w:val="nil"/>
                    <w:tr2bl w:val="nil"/>
                  </w:tcBorders>
                  <w:noWrap w:val="0"/>
                  <w:vAlign w:val="center"/>
                </w:tcPr>
                <w:p w14:paraId="6B888E24">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符合性</w:t>
                  </w:r>
                </w:p>
              </w:tc>
            </w:tr>
            <w:tr w14:paraId="3D4BB5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28" w:type="pct"/>
                  <w:vMerge w:val="restart"/>
                  <w:tcBorders>
                    <w:tl2br w:val="nil"/>
                    <w:tr2bl w:val="nil"/>
                  </w:tcBorders>
                  <w:noWrap w:val="0"/>
                  <w:vAlign w:val="center"/>
                </w:tcPr>
                <w:p w14:paraId="4C5BB984">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福州市陆域</w:t>
                  </w:r>
                </w:p>
              </w:tc>
              <w:tc>
                <w:tcPr>
                  <w:tcW w:w="317" w:type="pct"/>
                  <w:tcBorders>
                    <w:tl2br w:val="nil"/>
                    <w:tr2bl w:val="nil"/>
                  </w:tcBorders>
                  <w:noWrap w:val="0"/>
                  <w:vAlign w:val="center"/>
                </w:tcPr>
                <w:p w14:paraId="6D5B015B">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空间布局约束</w:t>
                  </w:r>
                </w:p>
              </w:tc>
              <w:tc>
                <w:tcPr>
                  <w:tcW w:w="2750" w:type="pct"/>
                  <w:tcBorders>
                    <w:tl2br w:val="nil"/>
                    <w:tr2bl w:val="nil"/>
                  </w:tcBorders>
                  <w:noWrap w:val="0"/>
                  <w:vAlign w:val="top"/>
                </w:tcPr>
                <w:p w14:paraId="2D7B1B2A">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1.福州市石化中上游项目重点在江阴化工新材料专区、连江可门化工新材料产业园布局。</w:t>
                  </w:r>
                </w:p>
                <w:p w14:paraId="11E7DF67">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2.鼓楼区内福州高新技术产业开发区洪山片禁止生产型企业的引入；仓山区内福州高新技术产业开发区仓山片不再新增生物医药原料药制造类企业。</w:t>
                  </w:r>
                </w:p>
                <w:p w14:paraId="06EFCAFE">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3.罗源县内福州台商投资区松山片区禁止引进、建设集中电镀、制浆、医药、农药、酿造等重污染项目；连江县内福州台商投资区大官坂片区不再扩大聚酰胺一体化项目规模。</w:t>
                  </w:r>
                </w:p>
                <w:p w14:paraId="170F7112">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4.禁止在闽江马尾罗星塔以上流域范围新、扩建制革项目，严控新（扩）建植物制浆、印染、合成革及人造革、电镀项目。</w:t>
                  </w:r>
                </w:p>
                <w:p w14:paraId="0C7F2714">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5.禁止在通风廊道和主导风向的上风向布局大气重污染企业，逐步将大气重污染企业和环境风险企业搬出城市建成区和生态保护红线范围。</w:t>
                  </w:r>
                </w:p>
              </w:tc>
              <w:tc>
                <w:tcPr>
                  <w:tcW w:w="1084" w:type="pct"/>
                  <w:tcBorders>
                    <w:tl2br w:val="nil"/>
                    <w:tr2bl w:val="nil"/>
                  </w:tcBorders>
                  <w:noWrap w:val="0"/>
                  <w:vAlign w:val="center"/>
                </w:tcPr>
                <w:p w14:paraId="10B2AFBE">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color w:val="000000" w:themeColor="text1"/>
                      <w14:textFill>
                        <w14:solidFill>
                          <w14:schemeClr w14:val="tx1"/>
                        </w14:solidFill>
                      </w14:textFill>
                    </w:rPr>
                    <w:t>本项目主要从事</w:t>
                  </w:r>
                  <w:r>
                    <w:rPr>
                      <w:rFonts w:hint="eastAsia"/>
                      <w:color w:val="000000" w:themeColor="text1"/>
                      <w14:textFill>
                        <w14:solidFill>
                          <w14:schemeClr w14:val="tx1"/>
                        </w14:solidFill>
                      </w14:textFill>
                    </w:rPr>
                    <w:t>塑料板材</w:t>
                  </w:r>
                  <w:r>
                    <w:rPr>
                      <w:rFonts w:hint="eastAsia"/>
                      <w:color w:val="000000" w:themeColor="text1"/>
                      <w:sz w:val="21"/>
                      <w:szCs w:val="21"/>
                      <w14:textFill>
                        <w14:solidFill>
                          <w14:schemeClr w14:val="tx1"/>
                        </w14:solidFill>
                      </w14:textFill>
                    </w:rPr>
                    <w:t>及家具的生产</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项目选址属于福州市闽侯县</w:t>
                  </w:r>
                  <w:r>
                    <w:rPr>
                      <w:rFonts w:hint="eastAsia"/>
                      <w:color w:val="000000" w:themeColor="text1"/>
                      <w:sz w:val="21"/>
                      <w:szCs w:val="21"/>
                      <w:lang w:val="en-US" w:eastAsia="zh-CN"/>
                      <w14:textFill>
                        <w14:solidFill>
                          <w14:schemeClr w14:val="tx1"/>
                        </w14:solidFill>
                      </w14:textFill>
                    </w:rPr>
                    <w:t>经济技术开发区二期</w:t>
                  </w:r>
                  <w:r>
                    <w:rPr>
                      <w:rFonts w:hint="eastAsia"/>
                      <w:color w:val="000000" w:themeColor="text1"/>
                      <w:sz w:val="21"/>
                      <w:szCs w:val="21"/>
                      <w14:textFill>
                        <w14:solidFill>
                          <w14:schemeClr w14:val="tx1"/>
                        </w14:solidFill>
                      </w14:textFill>
                    </w:rPr>
                    <w:t>范围内</w:t>
                  </w:r>
                  <w:r>
                    <w:rPr>
                      <w:color w:val="000000" w:themeColor="text1"/>
                      <w:sz w:val="21"/>
                      <w:szCs w:val="21"/>
                      <w14:textFill>
                        <w14:solidFill>
                          <w14:schemeClr w14:val="tx1"/>
                        </w14:solidFill>
                      </w14:textFill>
                    </w:rPr>
                    <w:t>，</w:t>
                  </w:r>
                  <w:r>
                    <w:rPr>
                      <w:color w:val="000000" w:themeColor="text1"/>
                      <w14:textFill>
                        <w14:solidFill>
                          <w14:schemeClr w14:val="tx1"/>
                        </w14:solidFill>
                      </w14:textFill>
                    </w:rPr>
                    <w:t>项目建设与空间布局约束要求不相冲突</w:t>
                  </w:r>
                </w:p>
              </w:tc>
              <w:tc>
                <w:tcPr>
                  <w:tcW w:w="318" w:type="pct"/>
                  <w:tcBorders>
                    <w:tl2br w:val="nil"/>
                    <w:tr2bl w:val="nil"/>
                  </w:tcBorders>
                  <w:noWrap w:val="0"/>
                  <w:vAlign w:val="center"/>
                </w:tcPr>
                <w:p w14:paraId="3D7E5FB6">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符合</w:t>
                  </w:r>
                </w:p>
              </w:tc>
            </w:tr>
            <w:tr w14:paraId="2F8795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28" w:type="pct"/>
                  <w:vMerge w:val="continue"/>
                  <w:tcBorders>
                    <w:tl2br w:val="nil"/>
                    <w:tr2bl w:val="nil"/>
                  </w:tcBorders>
                  <w:noWrap w:val="0"/>
                  <w:vAlign w:val="center"/>
                </w:tcPr>
                <w:p w14:paraId="2F363270">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p>
              </w:tc>
              <w:tc>
                <w:tcPr>
                  <w:tcW w:w="317" w:type="pct"/>
                  <w:tcBorders>
                    <w:tl2br w:val="nil"/>
                    <w:tr2bl w:val="nil"/>
                  </w:tcBorders>
                  <w:noWrap w:val="0"/>
                  <w:vAlign w:val="center"/>
                </w:tcPr>
                <w:p w14:paraId="12DEE9BE">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污染物排放管控</w:t>
                  </w:r>
                </w:p>
              </w:tc>
              <w:tc>
                <w:tcPr>
                  <w:tcW w:w="2750" w:type="pct"/>
                  <w:tcBorders>
                    <w:tl2br w:val="nil"/>
                    <w:tr2bl w:val="nil"/>
                  </w:tcBorders>
                  <w:noWrap w:val="0"/>
                  <w:vAlign w:val="top"/>
                </w:tcPr>
                <w:p w14:paraId="298437FC">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1.建设规划部门划定的县级以上城市建成区及福州市环境总体规划（2013-2030）划定的大气环境二级管控区的大气污染型工业企业（现阶段指排放二氧化硫、氮氧化物的工业企业，但不含使用天然气、液化石油气等作为燃料的非火电锅炉和工业炉窑排放二氧化硫、氮氧化物的工业企业）新增大气污染物排放量，按不低于1.5倍交易。</w:t>
                  </w:r>
                </w:p>
                <w:p w14:paraId="556375D9">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2.省级（含）以上工业园区外的工业企业新增主要污染物排放量（不含使用天然气、液化石油气等作为燃料的非火电锅炉和工业炉窑的工业企业新增的二氧化硫、氮氧化物排放量），按不低于1.2倍交易。</w:t>
                  </w:r>
                </w:p>
                <w:p w14:paraId="353E0BCB">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3.涉新增VOCs排放项目，VOCs排放实行区域内倍量替代。</w:t>
                  </w:r>
                </w:p>
                <w:p w14:paraId="67945FF4">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4.严格控制新建、改建、扩建钢铁、水泥、平板玻璃、有色金属冶炼、化工等工业项目。新建钢铁、火电、水泥、有色项目应当执行大气污染物特别排放限值。重点控制区新建化工、石化及燃煤锅炉项目应当执行大气污染物特别排放限值。</w:t>
                  </w:r>
                </w:p>
                <w:p w14:paraId="0F9931E5">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5.氟化工、印染、电镀等行业企业实行水污染物特别排放限值。</w:t>
                  </w:r>
                </w:p>
              </w:tc>
              <w:tc>
                <w:tcPr>
                  <w:tcW w:w="1084" w:type="pct"/>
                  <w:tcBorders>
                    <w:tl2br w:val="nil"/>
                    <w:tr2bl w:val="nil"/>
                  </w:tcBorders>
                  <w:noWrap w:val="0"/>
                  <w:vAlign w:val="center"/>
                </w:tcPr>
                <w:p w14:paraId="348D2595">
                  <w:pPr>
                    <w:pStyle w:val="74"/>
                    <w:rPr>
                      <w:color w:val="000000" w:themeColor="text1"/>
                      <w14:textFill>
                        <w14:solidFill>
                          <w14:schemeClr w14:val="tx1"/>
                        </w14:solidFill>
                      </w14:textFill>
                    </w:rPr>
                  </w:pPr>
                  <w:r>
                    <w:rPr>
                      <w:color w:val="000000" w:themeColor="text1"/>
                      <w14:textFill>
                        <w14:solidFill>
                          <w14:schemeClr w14:val="tx1"/>
                        </w14:solidFill>
                      </w14:textFill>
                    </w:rPr>
                    <w:t>1、项目位于</w:t>
                  </w:r>
                  <w:r>
                    <w:rPr>
                      <w:rFonts w:hint="eastAsia"/>
                      <w:color w:val="000000" w:themeColor="text1"/>
                      <w14:textFill>
                        <w14:solidFill>
                          <w14:schemeClr w14:val="tx1"/>
                        </w14:solidFill>
                      </w14:textFill>
                    </w:rPr>
                    <w:t>福州市闽侯县经济技术开发区二期</w:t>
                  </w:r>
                  <w:r>
                    <w:rPr>
                      <w:color w:val="000000" w:themeColor="text1"/>
                      <w14:textFill>
                        <w14:solidFill>
                          <w14:schemeClr w14:val="tx1"/>
                        </w14:solidFill>
                      </w14:textFill>
                    </w:rPr>
                    <w:t>，属于其规定的污染物管控区域。项目涉VOC</w:t>
                  </w:r>
                  <w:r>
                    <w:rPr>
                      <w:color w:val="000000" w:themeColor="text1"/>
                      <w:vertAlign w:val="subscript"/>
                      <w14:textFill>
                        <w14:solidFill>
                          <w14:schemeClr w14:val="tx1"/>
                        </w14:solidFill>
                      </w14:textFill>
                    </w:rPr>
                    <w:t>S</w:t>
                  </w:r>
                  <w:r>
                    <w:rPr>
                      <w:color w:val="000000" w:themeColor="text1"/>
                      <w14:textFill>
                        <w14:solidFill>
                          <w14:schemeClr w14:val="tx1"/>
                        </w14:solidFill>
                      </w14:textFill>
                    </w:rPr>
                    <w:t>排放，建设单位将严格按照文件规定要求对VOC</w:t>
                  </w:r>
                  <w:r>
                    <w:rPr>
                      <w:color w:val="000000" w:themeColor="text1"/>
                      <w:vertAlign w:val="subscript"/>
                      <w14:textFill>
                        <w14:solidFill>
                          <w14:schemeClr w14:val="tx1"/>
                        </w14:solidFill>
                      </w14:textFill>
                    </w:rPr>
                    <w:t>S</w:t>
                  </w:r>
                  <w:r>
                    <w:rPr>
                      <w:color w:val="000000" w:themeColor="text1"/>
                      <w14:textFill>
                        <w14:solidFill>
                          <w14:schemeClr w14:val="tx1"/>
                        </w14:solidFill>
                      </w14:textFill>
                    </w:rPr>
                    <w:t>排放实行等量或倍量替代。</w:t>
                  </w:r>
                </w:p>
                <w:p w14:paraId="6189CD2A">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color w:val="000000" w:themeColor="text1"/>
                      <w14:textFill>
                        <w14:solidFill>
                          <w14:schemeClr w14:val="tx1"/>
                        </w14:solidFill>
                      </w14:textFill>
                    </w:rPr>
                    <w:t>2、项目主要从事</w:t>
                  </w:r>
                  <w:r>
                    <w:rPr>
                      <w:rFonts w:hint="eastAsia"/>
                      <w:color w:val="000000" w:themeColor="text1"/>
                      <w14:textFill>
                        <w14:solidFill>
                          <w14:schemeClr w14:val="tx1"/>
                        </w14:solidFill>
                      </w14:textFill>
                    </w:rPr>
                    <w:t>塑料板材及家具生产</w:t>
                  </w:r>
                  <w:r>
                    <w:rPr>
                      <w:color w:val="000000" w:themeColor="text1"/>
                      <w14:textFill>
                        <w14:solidFill>
                          <w14:schemeClr w14:val="tx1"/>
                        </w14:solidFill>
                      </w14:textFill>
                    </w:rPr>
                    <w:t>，不属于水泥、有色金属、钢铁、火电项目</w:t>
                  </w:r>
                </w:p>
              </w:tc>
              <w:tc>
                <w:tcPr>
                  <w:tcW w:w="318" w:type="pct"/>
                  <w:tcBorders>
                    <w:tl2br w:val="nil"/>
                    <w:tr2bl w:val="nil"/>
                  </w:tcBorders>
                  <w:noWrap w:val="0"/>
                  <w:vAlign w:val="center"/>
                </w:tcPr>
                <w:p w14:paraId="620166F0">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符合</w:t>
                  </w:r>
                </w:p>
              </w:tc>
            </w:tr>
          </w:tbl>
          <w:p w14:paraId="28DC9F51">
            <w:pPr>
              <w:pStyle w:val="106"/>
              <w:bidi w:val="0"/>
              <w:spacing w:line="240" w:lineRule="auto"/>
              <w:rPr>
                <w:rFonts w:hint="eastAsia"/>
                <w:color w:val="000000" w:themeColor="text1"/>
                <w:kern w:val="0"/>
                <w:highlight w:val="none"/>
                <w:lang w:eastAsia="zh-CN"/>
                <w14:textFill>
                  <w14:solidFill>
                    <w14:schemeClr w14:val="tx1"/>
                  </w14:solidFill>
                </w14:textFill>
              </w:rPr>
            </w:pPr>
            <w:r>
              <w:rPr>
                <w:rFonts w:hint="eastAsia"/>
                <w:color w:val="000000" w:themeColor="text1"/>
                <w:kern w:val="0"/>
                <w:highlight w:val="none"/>
                <w:lang w:eastAsia="zh-CN"/>
                <w14:textFill>
                  <w14:solidFill>
                    <w14:schemeClr w14:val="tx1"/>
                  </w14:solidFill>
                </w14:textFill>
              </w:rPr>
              <w:t>表</w:t>
            </w:r>
            <w:r>
              <w:rPr>
                <w:rFonts w:hint="eastAsia"/>
                <w:color w:val="000000" w:themeColor="text1"/>
                <w:kern w:val="0"/>
                <w:highlight w:val="none"/>
                <w:lang w:val="en-US" w:eastAsia="zh-CN"/>
                <w14:textFill>
                  <w14:solidFill>
                    <w14:schemeClr w14:val="tx1"/>
                  </w14:solidFill>
                </w14:textFill>
              </w:rPr>
              <w:t xml:space="preserve">1.1-4  </w:t>
            </w:r>
            <w:r>
              <w:rPr>
                <w:rFonts w:hint="eastAsia"/>
                <w:color w:val="000000" w:themeColor="text1"/>
                <w:kern w:val="0"/>
                <w:highlight w:val="none"/>
                <w:lang w:eastAsia="zh-CN"/>
                <w14:textFill>
                  <w14:solidFill>
                    <w14:schemeClr w14:val="tx1"/>
                  </w14:solidFill>
                </w14:textFill>
              </w:rPr>
              <w:t>与闽侯县生态环境准入清单符合性分析</w:t>
            </w:r>
          </w:p>
          <w:tbl>
            <w:tblPr>
              <w:tblStyle w:val="2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325"/>
              <w:gridCol w:w="434"/>
              <w:gridCol w:w="3932"/>
              <w:gridCol w:w="1644"/>
              <w:gridCol w:w="422"/>
            </w:tblGrid>
            <w:tr w14:paraId="56824C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286" w:type="dxa"/>
                  <w:tcBorders>
                    <w:tl2br w:val="nil"/>
                    <w:tr2bl w:val="nil"/>
                  </w:tcBorders>
                  <w:noWrap w:val="0"/>
                  <w:tcMar>
                    <w:left w:w="57" w:type="dxa"/>
                    <w:right w:w="57" w:type="dxa"/>
                  </w:tcMar>
                  <w:vAlign w:val="center"/>
                </w:tcPr>
                <w:p w14:paraId="74A1CD2A">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类别</w:t>
                  </w:r>
                </w:p>
              </w:tc>
              <w:tc>
                <w:tcPr>
                  <w:tcW w:w="4366" w:type="dxa"/>
                  <w:gridSpan w:val="2"/>
                  <w:tcBorders>
                    <w:tl2br w:val="nil"/>
                    <w:tr2bl w:val="nil"/>
                  </w:tcBorders>
                  <w:noWrap w:val="0"/>
                  <w:tcMar>
                    <w:left w:w="57" w:type="dxa"/>
                    <w:right w:w="57" w:type="dxa"/>
                  </w:tcMar>
                  <w:vAlign w:val="center"/>
                </w:tcPr>
                <w:p w14:paraId="772272DE">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管控要求</w:t>
                  </w:r>
                </w:p>
              </w:tc>
              <w:tc>
                <w:tcPr>
                  <w:tcW w:w="1644" w:type="dxa"/>
                  <w:tcBorders>
                    <w:tl2br w:val="nil"/>
                    <w:tr2bl w:val="nil"/>
                  </w:tcBorders>
                  <w:noWrap w:val="0"/>
                  <w:tcMar>
                    <w:left w:w="57" w:type="dxa"/>
                    <w:right w:w="57" w:type="dxa"/>
                  </w:tcMar>
                  <w:vAlign w:val="center"/>
                </w:tcPr>
                <w:p w14:paraId="30C1837C">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本项目情况</w:t>
                  </w:r>
                </w:p>
              </w:tc>
              <w:tc>
                <w:tcPr>
                  <w:tcW w:w="422" w:type="dxa"/>
                  <w:tcBorders>
                    <w:tl2br w:val="nil"/>
                    <w:tr2bl w:val="nil"/>
                  </w:tcBorders>
                  <w:noWrap w:val="0"/>
                  <w:tcMar>
                    <w:left w:w="57" w:type="dxa"/>
                    <w:right w:w="57" w:type="dxa"/>
                  </w:tcMar>
                  <w:vAlign w:val="center"/>
                </w:tcPr>
                <w:p w14:paraId="2F391383">
                  <w:pPr>
                    <w:adjustRightInd w:val="0"/>
                    <w:snapToGrid w:val="0"/>
                    <w:spacing w:line="240" w:lineRule="auto"/>
                    <w:ind w:firstLine="0" w:firstLineChars="0"/>
                    <w:jc w:val="cente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bCs/>
                      <w:iCs/>
                      <w:color w:val="000000" w:themeColor="text1"/>
                      <w:kern w:val="0"/>
                      <w:sz w:val="21"/>
                      <w:szCs w:val="21"/>
                      <w:lang w:val="en-US" w:eastAsia="zh-CN" w:bidi="ar-SA"/>
                      <w14:textFill>
                        <w14:solidFill>
                          <w14:schemeClr w14:val="tx1"/>
                        </w14:solidFill>
                      </w14:textFill>
                    </w:rPr>
                    <w:t>符合性</w:t>
                  </w:r>
                </w:p>
              </w:tc>
            </w:tr>
            <w:tr w14:paraId="35B65D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6" w:type="dxa"/>
                  <w:vMerge w:val="restart"/>
                  <w:tcBorders>
                    <w:tl2br w:val="nil"/>
                    <w:tr2bl w:val="nil"/>
                  </w:tcBorders>
                  <w:noWrap w:val="0"/>
                  <w:tcMar>
                    <w:left w:w="57" w:type="dxa"/>
                    <w:right w:w="57" w:type="dxa"/>
                  </w:tcMar>
                  <w:vAlign w:val="center"/>
                </w:tcPr>
                <w:p w14:paraId="022267F9">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重点管控单元</w:t>
                  </w:r>
                </w:p>
              </w:tc>
              <w:tc>
                <w:tcPr>
                  <w:tcW w:w="434" w:type="dxa"/>
                  <w:tcBorders>
                    <w:tl2br w:val="nil"/>
                    <w:tr2bl w:val="nil"/>
                  </w:tcBorders>
                  <w:noWrap w:val="0"/>
                  <w:tcMar>
                    <w:left w:w="57" w:type="dxa"/>
                    <w:right w:w="57" w:type="dxa"/>
                  </w:tcMar>
                  <w:vAlign w:val="center"/>
                </w:tcPr>
                <w:p w14:paraId="088C159A">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空间布局约束</w:t>
                  </w:r>
                </w:p>
              </w:tc>
              <w:tc>
                <w:tcPr>
                  <w:tcW w:w="3932" w:type="dxa"/>
                  <w:tcBorders>
                    <w:tl2br w:val="nil"/>
                    <w:tr2bl w:val="nil"/>
                  </w:tcBorders>
                  <w:noWrap w:val="0"/>
                  <w:tcMar>
                    <w:left w:w="57" w:type="dxa"/>
                    <w:right w:w="57" w:type="dxa"/>
                  </w:tcMar>
                  <w:vAlign w:val="center"/>
                </w:tcPr>
                <w:p w14:paraId="1DEF8508">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1.严禁在人口聚集区新建涉及化学品和危险废物排放的项目，禁止在大气环境布局敏感重点管控区新建、扩建石化、化工、焦化、有色等高污染、高风险的涉气项目；城市建成区内现有化工等污染较重的企业应有序搬迁改造或依法关闭。</w:t>
                  </w:r>
                </w:p>
                <w:p w14:paraId="72BC5E53">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2.严格控制包装印刷、工业涂装、制鞋等高VOCs排放的项目建设，相关新建项目必须进入工业园区。</w:t>
                  </w:r>
                </w:p>
                <w:p w14:paraId="67ECF0AF">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3.禁止开发利用未经评估和无害化处理的列入建设用地污染地块名录及开发利用负面清单的土地。</w:t>
                  </w:r>
                </w:p>
              </w:tc>
              <w:tc>
                <w:tcPr>
                  <w:tcW w:w="1644" w:type="dxa"/>
                  <w:tcBorders>
                    <w:tl2br w:val="nil"/>
                    <w:tr2bl w:val="nil"/>
                  </w:tcBorders>
                  <w:noWrap w:val="0"/>
                  <w:tcMar>
                    <w:left w:w="57" w:type="dxa"/>
                    <w:right w:w="57" w:type="dxa"/>
                  </w:tcMar>
                  <w:vAlign w:val="center"/>
                </w:tcPr>
                <w:p w14:paraId="6EACE496">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iCs/>
                      <w:color w:val="000000" w:themeColor="text1"/>
                      <w:kern w:val="0"/>
                      <w:sz w:val="21"/>
                      <w:szCs w:val="21"/>
                      <w:lang w:val="en-US" w:eastAsia="zh-CN" w:bidi="ar-SA"/>
                      <w14:textFill>
                        <w14:solidFill>
                          <w14:schemeClr w14:val="tx1"/>
                        </w14:solidFill>
                      </w14:textFill>
                    </w:rPr>
                    <w:t>本项目主要</w:t>
                  </w: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从事</w:t>
                  </w:r>
                  <w:r>
                    <w:rPr>
                      <w:rFonts w:hint="eastAsia"/>
                      <w:color w:val="000000" w:themeColor="text1"/>
                      <w14:textFill>
                        <w14:solidFill>
                          <w14:schemeClr w14:val="tx1"/>
                        </w14:solidFill>
                      </w14:textFill>
                    </w:rPr>
                    <w:t>塑料板材及家具生产</w:t>
                  </w: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，位于福建省福州市闽侯县经济技术开发区二期南岭路1号3#楼，根据侯房权证H字第1303990号，项目用地类型为工业用地，符合空间布局要求。</w:t>
                  </w:r>
                </w:p>
              </w:tc>
              <w:tc>
                <w:tcPr>
                  <w:tcW w:w="422" w:type="dxa"/>
                  <w:tcBorders>
                    <w:tl2br w:val="nil"/>
                    <w:tr2bl w:val="nil"/>
                  </w:tcBorders>
                  <w:noWrap w:val="0"/>
                  <w:tcMar>
                    <w:left w:w="57" w:type="dxa"/>
                    <w:right w:w="57" w:type="dxa"/>
                  </w:tcMar>
                  <w:vAlign w:val="center"/>
                </w:tcPr>
                <w:p w14:paraId="071CD7C4">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符合</w:t>
                  </w:r>
                </w:p>
              </w:tc>
            </w:tr>
            <w:tr w14:paraId="166B86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6" w:type="dxa"/>
                  <w:vMerge w:val="continue"/>
                  <w:tcBorders>
                    <w:tl2br w:val="nil"/>
                    <w:tr2bl w:val="nil"/>
                  </w:tcBorders>
                  <w:noWrap w:val="0"/>
                  <w:tcMar>
                    <w:left w:w="57" w:type="dxa"/>
                    <w:right w:w="57" w:type="dxa"/>
                  </w:tcMar>
                  <w:vAlign w:val="center"/>
                </w:tcPr>
                <w:p w14:paraId="61BE6CCF">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p>
              </w:tc>
              <w:tc>
                <w:tcPr>
                  <w:tcW w:w="434" w:type="dxa"/>
                  <w:tcBorders>
                    <w:tl2br w:val="nil"/>
                    <w:tr2bl w:val="nil"/>
                  </w:tcBorders>
                  <w:noWrap w:val="0"/>
                  <w:tcMar>
                    <w:left w:w="57" w:type="dxa"/>
                    <w:right w:w="57" w:type="dxa"/>
                  </w:tcMar>
                  <w:vAlign w:val="center"/>
                </w:tcPr>
                <w:p w14:paraId="6C9B9ACC">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污染物排放管控</w:t>
                  </w:r>
                </w:p>
              </w:tc>
              <w:tc>
                <w:tcPr>
                  <w:tcW w:w="3932" w:type="dxa"/>
                  <w:tcBorders>
                    <w:tl2br w:val="nil"/>
                    <w:tr2bl w:val="nil"/>
                  </w:tcBorders>
                  <w:noWrap w:val="0"/>
                  <w:tcMar>
                    <w:left w:w="57" w:type="dxa"/>
                    <w:right w:w="57" w:type="dxa"/>
                  </w:tcMar>
                  <w:vAlign w:val="center"/>
                </w:tcPr>
                <w:p w14:paraId="230BE86E">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1.禁止向农田灌溉渠道排放工业废水或者医疗污水。向农田灌溉渠道排放城镇污水以及未综合利用的畜禽养殖废水、农产品加工废水的，应当保证其下游最近的灌溉取水点的水质符合农田灌溉水质标准。</w:t>
                  </w:r>
                </w:p>
                <w:p w14:paraId="0FD4CA92">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2.城市建成区的大气污染型工业企业的新增大气污染物（二氧化硫、氮氧化物）排放量，按不低于1.5倍调剂。</w:t>
                  </w:r>
                </w:p>
              </w:tc>
              <w:tc>
                <w:tcPr>
                  <w:tcW w:w="1644" w:type="dxa"/>
                  <w:tcBorders>
                    <w:tl2br w:val="nil"/>
                    <w:tr2bl w:val="nil"/>
                  </w:tcBorders>
                  <w:noWrap w:val="0"/>
                  <w:tcMar>
                    <w:left w:w="57" w:type="dxa"/>
                    <w:right w:w="57" w:type="dxa"/>
                  </w:tcMar>
                  <w:vAlign w:val="center"/>
                </w:tcPr>
                <w:p w14:paraId="57801E30">
                  <w:pPr>
                    <w:adjustRightInd w:val="0"/>
                    <w:snapToGrid w:val="0"/>
                    <w:spacing w:line="240" w:lineRule="auto"/>
                    <w:ind w:firstLine="0" w:firstLineChars="0"/>
                    <w:jc w:val="center"/>
                    <w:rPr>
                      <w:rFonts w:hint="default"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本项目无生产废水，生活污水经化粪池处理后汇合排入市政污水管网由闽侯县污水处理厂处理达标排放。项目VOCs排放拟实行区域内倍量替代，符合污染物排放管控要求</w:t>
                  </w:r>
                </w:p>
              </w:tc>
              <w:tc>
                <w:tcPr>
                  <w:tcW w:w="422" w:type="dxa"/>
                  <w:tcBorders>
                    <w:tl2br w:val="nil"/>
                    <w:tr2bl w:val="nil"/>
                  </w:tcBorders>
                  <w:noWrap w:val="0"/>
                  <w:tcMar>
                    <w:left w:w="57" w:type="dxa"/>
                    <w:right w:w="57" w:type="dxa"/>
                  </w:tcMar>
                  <w:vAlign w:val="center"/>
                </w:tcPr>
                <w:p w14:paraId="710B82C0">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符合</w:t>
                  </w:r>
                </w:p>
              </w:tc>
            </w:tr>
            <w:tr w14:paraId="39ADB5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286" w:type="dxa"/>
                  <w:vMerge w:val="continue"/>
                  <w:tcBorders>
                    <w:tl2br w:val="nil"/>
                    <w:tr2bl w:val="nil"/>
                  </w:tcBorders>
                  <w:noWrap w:val="0"/>
                  <w:tcMar>
                    <w:left w:w="57" w:type="dxa"/>
                    <w:right w:w="57" w:type="dxa"/>
                  </w:tcMar>
                  <w:vAlign w:val="center"/>
                </w:tcPr>
                <w:p w14:paraId="70191126">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p>
              </w:tc>
              <w:tc>
                <w:tcPr>
                  <w:tcW w:w="434" w:type="dxa"/>
                  <w:tcBorders>
                    <w:tl2br w:val="nil"/>
                    <w:tr2bl w:val="nil"/>
                  </w:tcBorders>
                  <w:noWrap w:val="0"/>
                  <w:tcMar>
                    <w:left w:w="57" w:type="dxa"/>
                    <w:right w:w="57" w:type="dxa"/>
                  </w:tcMar>
                  <w:vAlign w:val="center"/>
                </w:tcPr>
                <w:p w14:paraId="57FA3D41">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环境风险防控</w:t>
                  </w:r>
                </w:p>
              </w:tc>
              <w:tc>
                <w:tcPr>
                  <w:tcW w:w="3932" w:type="dxa"/>
                  <w:tcBorders>
                    <w:tl2br w:val="nil"/>
                    <w:tr2bl w:val="nil"/>
                  </w:tcBorders>
                  <w:noWrap w:val="0"/>
                  <w:tcMar>
                    <w:left w:w="57" w:type="dxa"/>
                    <w:right w:w="57" w:type="dxa"/>
                  </w:tcMar>
                  <w:vAlign w:val="center"/>
                </w:tcPr>
                <w:p w14:paraId="2F86ECBA">
                  <w:pPr>
                    <w:adjustRightInd w:val="0"/>
                    <w:snapToGrid w:val="0"/>
                    <w:spacing w:line="240" w:lineRule="auto"/>
                    <w:ind w:firstLine="0" w:firstLineChars="0"/>
                    <w:jc w:val="left"/>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单元内现有化学原料和化学制品制造业等具有潜在土壤污染环境风险的企业退役后，应开展土壤环境状况评估，经评估认为污染地块可能损害人体健康和环境，应当进行修复的，由造成污染的单位和个人负责被污染土壤的修复。</w:t>
                  </w:r>
                </w:p>
              </w:tc>
              <w:tc>
                <w:tcPr>
                  <w:tcW w:w="1644" w:type="dxa"/>
                  <w:tcBorders>
                    <w:tl2br w:val="nil"/>
                    <w:tr2bl w:val="nil"/>
                  </w:tcBorders>
                  <w:noWrap w:val="0"/>
                  <w:tcMar>
                    <w:left w:w="57" w:type="dxa"/>
                    <w:right w:w="57" w:type="dxa"/>
                  </w:tcMar>
                  <w:vAlign w:val="center"/>
                </w:tcPr>
                <w:p w14:paraId="09484A27">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不涉及</w:t>
                  </w:r>
                </w:p>
              </w:tc>
              <w:tc>
                <w:tcPr>
                  <w:tcW w:w="422" w:type="dxa"/>
                  <w:tcBorders>
                    <w:tl2br w:val="nil"/>
                    <w:tr2bl w:val="nil"/>
                  </w:tcBorders>
                  <w:noWrap w:val="0"/>
                  <w:tcMar>
                    <w:left w:w="57" w:type="dxa"/>
                    <w:right w:w="57" w:type="dxa"/>
                  </w:tcMar>
                  <w:vAlign w:val="center"/>
                </w:tcPr>
                <w:p w14:paraId="33FE9174">
                  <w:pPr>
                    <w:adjustRightInd w:val="0"/>
                    <w:snapToGrid w:val="0"/>
                    <w:spacing w:line="240" w:lineRule="auto"/>
                    <w:ind w:firstLine="0" w:firstLineChars="0"/>
                    <w:jc w:val="cente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符合</w:t>
                  </w:r>
                </w:p>
              </w:tc>
            </w:tr>
          </w:tbl>
          <w:p w14:paraId="135ADFD3">
            <w:pPr>
              <w:pStyle w:val="55"/>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④项目与《福建省生态环境分区管控综合查询报告》中闽侯县重点管控单元3的符合性</w:t>
            </w:r>
          </w:p>
          <w:p w14:paraId="075B906D">
            <w:pPr>
              <w:autoSpaceDE w:val="0"/>
              <w:autoSpaceDN w:val="0"/>
              <w:jc w:val="center"/>
              <w:rPr>
                <w:b/>
                <w:bCs/>
                <w:color w:val="000000" w:themeColor="text1"/>
                <w:kern w:val="21"/>
                <w:sz w:val="24"/>
                <w:szCs w:val="32"/>
                <w14:textFill>
                  <w14:solidFill>
                    <w14:schemeClr w14:val="tx1"/>
                  </w14:solidFill>
                </w14:textFill>
              </w:rPr>
            </w:pPr>
            <w:r>
              <w:rPr>
                <w:b/>
                <w:bCs/>
                <w:color w:val="000000" w:themeColor="text1"/>
                <w:kern w:val="21"/>
                <w:sz w:val="24"/>
                <w:szCs w:val="32"/>
                <w14:textFill>
                  <w14:solidFill>
                    <w14:schemeClr w14:val="tx1"/>
                  </w14:solidFill>
                </w14:textFill>
              </w:rPr>
              <w:t>表1</w:t>
            </w:r>
            <w:r>
              <w:rPr>
                <w:rFonts w:hint="eastAsia"/>
                <w:b/>
                <w:bCs/>
                <w:color w:val="000000" w:themeColor="text1"/>
                <w:kern w:val="21"/>
                <w:sz w:val="24"/>
                <w:szCs w:val="32"/>
                <w:lang w:val="en-US" w:eastAsia="zh-CN"/>
                <w14:textFill>
                  <w14:solidFill>
                    <w14:schemeClr w14:val="tx1"/>
                  </w14:solidFill>
                </w14:textFill>
              </w:rPr>
              <w:t>.1</w:t>
            </w:r>
            <w:r>
              <w:rPr>
                <w:rFonts w:hint="eastAsia"/>
                <w:b/>
                <w:bCs/>
                <w:color w:val="000000" w:themeColor="text1"/>
                <w:kern w:val="21"/>
                <w:sz w:val="24"/>
                <w:szCs w:val="32"/>
                <w14:textFill>
                  <w14:solidFill>
                    <w14:schemeClr w14:val="tx1"/>
                  </w14:solidFill>
                </w14:textFill>
              </w:rPr>
              <w:t>-</w:t>
            </w:r>
            <w:r>
              <w:rPr>
                <w:rFonts w:hint="eastAsia"/>
                <w:b/>
                <w:bCs/>
                <w:color w:val="000000" w:themeColor="text1"/>
                <w:kern w:val="21"/>
                <w:sz w:val="24"/>
                <w:szCs w:val="32"/>
                <w:lang w:val="en-US" w:eastAsia="zh-CN"/>
                <w14:textFill>
                  <w14:solidFill>
                    <w14:schemeClr w14:val="tx1"/>
                  </w14:solidFill>
                </w14:textFill>
              </w:rPr>
              <w:t>5</w:t>
            </w:r>
            <w:r>
              <w:rPr>
                <w:rFonts w:hint="eastAsia"/>
                <w:b/>
                <w:bCs/>
                <w:color w:val="000000" w:themeColor="text1"/>
                <w:kern w:val="21"/>
                <w:sz w:val="24"/>
                <w:szCs w:val="32"/>
                <w14:textFill>
                  <w14:solidFill>
                    <w14:schemeClr w14:val="tx1"/>
                  </w14:solidFill>
                </w14:textFill>
              </w:rPr>
              <w:t xml:space="preserve"> </w:t>
            </w:r>
            <w:r>
              <w:rPr>
                <w:b/>
                <w:bCs/>
                <w:color w:val="000000" w:themeColor="text1"/>
                <w:kern w:val="21"/>
                <w:sz w:val="24"/>
                <w:szCs w:val="32"/>
                <w14:textFill>
                  <w14:solidFill>
                    <w14:schemeClr w14:val="tx1"/>
                  </w14:solidFill>
                </w14:textFill>
              </w:rPr>
              <w:t xml:space="preserve"> 与《福建省生态环境分区管控综合查询报告》中</w:t>
            </w:r>
            <w:r>
              <w:rPr>
                <w:rFonts w:hint="eastAsia"/>
                <w:b/>
                <w:bCs/>
                <w:color w:val="000000" w:themeColor="text1"/>
                <w:kern w:val="21"/>
                <w:sz w:val="24"/>
                <w:szCs w:val="32"/>
                <w14:textFill>
                  <w14:solidFill>
                    <w14:schemeClr w14:val="tx1"/>
                  </w14:solidFill>
                </w14:textFill>
              </w:rPr>
              <w:t>闽侯县重点管控单元3</w:t>
            </w:r>
            <w:r>
              <w:rPr>
                <w:b/>
                <w:bCs/>
                <w:color w:val="000000" w:themeColor="text1"/>
                <w:kern w:val="21"/>
                <w:sz w:val="24"/>
                <w:szCs w:val="32"/>
                <w14:textFill>
                  <w14:solidFill>
                    <w14:schemeClr w14:val="tx1"/>
                  </w14:solidFill>
                </w14:textFill>
              </w:rPr>
              <w:t>的符合性分析</w:t>
            </w:r>
          </w:p>
          <w:tbl>
            <w:tblPr>
              <w:tblStyle w:val="2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805"/>
              <w:gridCol w:w="2274"/>
              <w:gridCol w:w="1685"/>
              <w:gridCol w:w="561"/>
            </w:tblGrid>
            <w:tr w14:paraId="4760FF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07" w:type="dxa"/>
                  <w:gridSpan w:val="3"/>
                  <w:noWrap w:val="0"/>
                  <w:vAlign w:val="center"/>
                </w:tcPr>
                <w:p w14:paraId="69C61286">
                  <w:pPr>
                    <w:spacing w:line="360" w:lineRule="exact"/>
                    <w:jc w:val="center"/>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准入要求</w:t>
                  </w:r>
                </w:p>
              </w:tc>
              <w:tc>
                <w:tcPr>
                  <w:tcW w:w="1733" w:type="dxa"/>
                  <w:noWrap w:val="0"/>
                  <w:vAlign w:val="center"/>
                </w:tcPr>
                <w:p w14:paraId="327FD986">
                  <w:pPr>
                    <w:spacing w:line="360" w:lineRule="exact"/>
                    <w:jc w:val="center"/>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项目情况</w:t>
                  </w:r>
                </w:p>
              </w:tc>
              <w:tc>
                <w:tcPr>
                  <w:tcW w:w="568" w:type="dxa"/>
                  <w:noWrap w:val="0"/>
                  <w:vAlign w:val="center"/>
                </w:tcPr>
                <w:p w14:paraId="1FEF4A15">
                  <w:pPr>
                    <w:spacing w:line="360" w:lineRule="exact"/>
                    <w:jc w:val="center"/>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符合性</w:t>
                  </w:r>
                </w:p>
              </w:tc>
            </w:tr>
            <w:tr w14:paraId="5B9FE7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35" w:hRule="atLeast"/>
                <w:jc w:val="center"/>
              </w:trPr>
              <w:tc>
                <w:tcPr>
                  <w:tcW w:w="1227" w:type="dxa"/>
                  <w:vMerge w:val="restart"/>
                  <w:noWrap w:val="0"/>
                  <w:vAlign w:val="center"/>
                </w:tcPr>
                <w:p w14:paraId="3D99EBBD">
                  <w:pPr>
                    <w:spacing w:line="360" w:lineRule="exact"/>
                    <w:jc w:val="center"/>
                    <w:rPr>
                      <w:color w:val="000000" w:themeColor="text1"/>
                      <w:kern w:val="21"/>
                      <w:szCs w:val="21"/>
                      <w14:textFill>
                        <w14:solidFill>
                          <w14:schemeClr w14:val="tx1"/>
                        </w14:solidFill>
                      </w14:textFill>
                    </w:rPr>
                  </w:pPr>
                  <w:r>
                    <w:rPr>
                      <w:rFonts w:hint="eastAsia"/>
                      <w:color w:val="000000" w:themeColor="text1"/>
                      <w14:textFill>
                        <w14:solidFill>
                          <w14:schemeClr w14:val="tx1"/>
                        </w14:solidFill>
                      </w14:textFill>
                    </w:rPr>
                    <w:t>ZH35012120005</w:t>
                  </w:r>
                  <w:r>
                    <w:rPr>
                      <w:rFonts w:hint="eastAsia"/>
                      <w:color w:val="000000" w:themeColor="text1"/>
                      <w:kern w:val="21"/>
                      <w:szCs w:val="21"/>
                      <w14:textFill>
                        <w14:solidFill>
                          <w14:schemeClr w14:val="tx1"/>
                        </w14:solidFill>
                      </w14:textFill>
                    </w:rPr>
                    <w:t>闽侯县重点管控单元3</w:t>
                  </w:r>
                </w:p>
              </w:tc>
              <w:tc>
                <w:tcPr>
                  <w:tcW w:w="825" w:type="dxa"/>
                  <w:noWrap w:val="0"/>
                  <w:vAlign w:val="center"/>
                </w:tcPr>
                <w:p w14:paraId="4911A1B1">
                  <w:pPr>
                    <w:spacing w:line="360" w:lineRule="exact"/>
                    <w:jc w:val="center"/>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空间布局约束</w:t>
                  </w:r>
                </w:p>
              </w:tc>
              <w:tc>
                <w:tcPr>
                  <w:tcW w:w="2355" w:type="dxa"/>
                  <w:noWrap w:val="0"/>
                  <w:vAlign w:val="center"/>
                </w:tcPr>
                <w:p w14:paraId="0F1EF0DE">
                  <w:pPr>
                    <w:spacing w:line="360" w:lineRule="exact"/>
                    <w:jc w:val="both"/>
                    <w:rPr>
                      <w:rFonts w:hint="eastAsia"/>
                      <w:color w:val="000000" w:themeColor="text1"/>
                      <w:kern w:val="21"/>
                      <w:szCs w:val="21"/>
                      <w:highlight w:val="yellow"/>
                      <w14:textFill>
                        <w14:solidFill>
                          <w14:schemeClr w14:val="tx1"/>
                        </w14:solidFill>
                      </w14:textFill>
                    </w:rPr>
                  </w:pPr>
                  <w:r>
                    <w:rPr>
                      <w:rFonts w:hint="eastAsia"/>
                      <w:color w:val="000000" w:themeColor="text1"/>
                      <w14:textFill>
                        <w14:solidFill>
                          <w14:schemeClr w14:val="tx1"/>
                        </w14:solidFill>
                      </w14:textFill>
                    </w:rPr>
                    <w:t>1.严禁在城镇人口密集区新建危险化学品生产企业；现有不符合安全和卫生防护距离要求的危险化学品生产企业2025年底前完成就地改造达标、搬迁进入规范化工园区或关闭退出。城市建成区内现有化工等污染较重的企业应有序搬迁改造或依法关闭。2.禁止在通风廊道和主导风向的上风向布局大气重污染企业。严格控制包装印刷、工业涂装、制鞋等高VOCs排放的项目建设，相关新建项目必须进入工业园区。3.禁止开发利用未经评估和无害化处理的列入建设用地污染地块名录及开发利用负面清单的土地。</w:t>
                  </w:r>
                </w:p>
              </w:tc>
              <w:tc>
                <w:tcPr>
                  <w:tcW w:w="1733" w:type="dxa"/>
                  <w:noWrap w:val="0"/>
                  <w:vAlign w:val="center"/>
                </w:tcPr>
                <w:p w14:paraId="718D3A48">
                  <w:pPr>
                    <w:spacing w:line="360" w:lineRule="exact"/>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1</w:t>
                  </w:r>
                  <w:r>
                    <w:rPr>
                      <w:rFonts w:hint="eastAsia"/>
                      <w:color w:val="000000" w:themeColor="text1"/>
                      <w:kern w:val="21"/>
                      <w:szCs w:val="21"/>
                      <w14:textFill>
                        <w14:solidFill>
                          <w14:schemeClr w14:val="tx1"/>
                        </w14:solidFill>
                      </w14:textFill>
                    </w:rPr>
                    <w:t>、</w:t>
                  </w:r>
                  <w:r>
                    <w:rPr>
                      <w:color w:val="000000" w:themeColor="text1"/>
                      <w:kern w:val="21"/>
                      <w:szCs w:val="21"/>
                      <w14:textFill>
                        <w14:solidFill>
                          <w14:schemeClr w14:val="tx1"/>
                        </w14:solidFill>
                      </w14:textFill>
                    </w:rPr>
                    <w:t>项目主要从事</w:t>
                  </w:r>
                  <w:r>
                    <w:rPr>
                      <w:rFonts w:hint="eastAsia"/>
                      <w:color w:val="000000" w:themeColor="text1"/>
                      <w:szCs w:val="21"/>
                      <w14:textFill>
                        <w14:solidFill>
                          <w14:schemeClr w14:val="tx1"/>
                        </w14:solidFill>
                      </w14:textFill>
                    </w:rPr>
                    <w:t>塑料板材、塑料户外家具</w:t>
                  </w:r>
                  <w:r>
                    <w:rPr>
                      <w:rFonts w:hint="eastAsia"/>
                      <w:color w:val="000000" w:themeColor="text1"/>
                      <w14:textFill>
                        <w14:solidFill>
                          <w14:schemeClr w14:val="tx1"/>
                        </w14:solidFill>
                      </w14:textFill>
                    </w:rPr>
                    <w:t>的生产，为简单的制造行业</w:t>
                  </w:r>
                  <w:r>
                    <w:rPr>
                      <w:rFonts w:hint="eastAsia"/>
                      <w:color w:val="000000" w:themeColor="text1"/>
                      <w:kern w:val="21"/>
                      <w:szCs w:val="21"/>
                      <w14:textFill>
                        <w14:solidFill>
                          <w14:schemeClr w14:val="tx1"/>
                        </w14:solidFill>
                      </w14:textFill>
                    </w:rPr>
                    <w:t>，位于福州市闽侯县经济技术开发区二期，不属于左列1、2</w:t>
                  </w:r>
                  <w:r>
                    <w:rPr>
                      <w:rFonts w:hint="eastAsia"/>
                      <w:color w:val="000000" w:themeColor="text1"/>
                      <w:kern w:val="21"/>
                      <w:szCs w:val="21"/>
                      <w:lang w:eastAsia="zh-CN"/>
                      <w14:textFill>
                        <w14:solidFill>
                          <w14:schemeClr w14:val="tx1"/>
                        </w14:solidFill>
                      </w14:textFill>
                    </w:rPr>
                    <w:t>、</w:t>
                  </w:r>
                  <w:r>
                    <w:rPr>
                      <w:rFonts w:hint="eastAsia"/>
                      <w:color w:val="000000" w:themeColor="text1"/>
                      <w:kern w:val="21"/>
                      <w:szCs w:val="21"/>
                      <w:lang w:val="en-US" w:eastAsia="zh-CN"/>
                      <w14:textFill>
                        <w14:solidFill>
                          <w14:schemeClr w14:val="tx1"/>
                        </w14:solidFill>
                      </w14:textFill>
                    </w:rPr>
                    <w:t>3</w:t>
                  </w:r>
                  <w:r>
                    <w:rPr>
                      <w:rFonts w:hint="eastAsia"/>
                      <w:color w:val="000000" w:themeColor="text1"/>
                      <w:kern w:val="21"/>
                      <w:szCs w:val="21"/>
                      <w14:textFill>
                        <w14:solidFill>
                          <w14:schemeClr w14:val="tx1"/>
                        </w14:solidFill>
                      </w14:textFill>
                    </w:rPr>
                    <w:t>所列内容。项目产生的挥发性有机废气收集处理达标后排放，对周边环境影响小</w:t>
                  </w:r>
                  <w:r>
                    <w:rPr>
                      <w:rFonts w:hint="eastAsia"/>
                      <w:color w:val="000000" w:themeColor="text1"/>
                      <w:kern w:val="21"/>
                      <w:szCs w:val="21"/>
                      <w:lang w:eastAsia="zh-CN"/>
                      <w14:textFill>
                        <w14:solidFill>
                          <w14:schemeClr w14:val="tx1"/>
                        </w14:solidFill>
                      </w14:textFill>
                    </w:rPr>
                    <w:t>。</w:t>
                  </w:r>
                </w:p>
              </w:tc>
              <w:tc>
                <w:tcPr>
                  <w:tcW w:w="568" w:type="dxa"/>
                  <w:noWrap w:val="0"/>
                  <w:vAlign w:val="center"/>
                </w:tcPr>
                <w:p w14:paraId="362159A6">
                  <w:pPr>
                    <w:spacing w:line="360" w:lineRule="exact"/>
                    <w:jc w:val="center"/>
                    <w:rPr>
                      <w:color w:val="000000" w:themeColor="text1"/>
                      <w:kern w:val="21"/>
                      <w:szCs w:val="21"/>
                      <w14:textFill>
                        <w14:solidFill>
                          <w14:schemeClr w14:val="tx1"/>
                        </w14:solidFill>
                      </w14:textFill>
                    </w:rPr>
                  </w:pPr>
                  <w:r>
                    <w:rPr>
                      <w:color w:val="000000" w:themeColor="text1"/>
                      <w:kern w:val="21"/>
                      <w:szCs w:val="21"/>
                      <w:lang w:eastAsia="en-US"/>
                      <w14:textFill>
                        <w14:solidFill>
                          <w14:schemeClr w14:val="tx1"/>
                        </w14:solidFill>
                      </w14:textFill>
                    </w:rPr>
                    <w:t>符合</w:t>
                  </w:r>
                </w:p>
              </w:tc>
            </w:tr>
            <w:tr w14:paraId="78678A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7" w:type="dxa"/>
                  <w:vMerge w:val="continue"/>
                  <w:noWrap w:val="0"/>
                  <w:vAlign w:val="center"/>
                </w:tcPr>
                <w:p w14:paraId="6F6183D3">
                  <w:pPr>
                    <w:spacing w:line="360" w:lineRule="exact"/>
                    <w:jc w:val="center"/>
                    <w:rPr>
                      <w:color w:val="000000" w:themeColor="text1"/>
                      <w:kern w:val="21"/>
                      <w:szCs w:val="21"/>
                      <w:highlight w:val="yellow"/>
                      <w14:textFill>
                        <w14:solidFill>
                          <w14:schemeClr w14:val="tx1"/>
                        </w14:solidFill>
                      </w14:textFill>
                    </w:rPr>
                  </w:pPr>
                </w:p>
              </w:tc>
              <w:tc>
                <w:tcPr>
                  <w:tcW w:w="825" w:type="dxa"/>
                  <w:noWrap w:val="0"/>
                  <w:vAlign w:val="center"/>
                </w:tcPr>
                <w:p w14:paraId="51375DFB">
                  <w:pPr>
                    <w:spacing w:line="360" w:lineRule="exact"/>
                    <w:jc w:val="center"/>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污染物排放管控</w:t>
                  </w:r>
                </w:p>
              </w:tc>
              <w:tc>
                <w:tcPr>
                  <w:tcW w:w="2355" w:type="dxa"/>
                  <w:noWrap w:val="0"/>
                  <w:vAlign w:val="center"/>
                </w:tcPr>
                <w:p w14:paraId="5775CB32">
                  <w:pPr>
                    <w:spacing w:line="360" w:lineRule="exact"/>
                    <w:jc w:val="both"/>
                    <w:rPr>
                      <w:rFonts w:hint="eastAsia"/>
                      <w:color w:val="000000" w:themeColor="text1"/>
                      <w:kern w:val="21"/>
                      <w:szCs w:val="21"/>
                      <w14:textFill>
                        <w14:solidFill>
                          <w14:schemeClr w14:val="tx1"/>
                        </w14:solidFill>
                      </w14:textFill>
                    </w:rPr>
                  </w:pPr>
                  <w:r>
                    <w:rPr>
                      <w:rFonts w:hint="eastAsia"/>
                      <w:color w:val="000000" w:themeColor="text1"/>
                      <w14:textFill>
                        <w14:solidFill>
                          <w14:schemeClr w14:val="tx1"/>
                        </w14:solidFill>
                      </w14:textFill>
                    </w:rPr>
                    <w:t>1.禁止向农田灌溉渠道排放工业废水或者医疗污水。向农田灌溉渠道排放城镇污水以及未综合利用的畜禽养殖废水、农产品加工废水的，应当保证其下游最近的灌溉取水点的水质符合农田灌溉水质标准。2.落实新增二氧化硫、氮氧化物和VOCs排放总量控制要求。</w:t>
                  </w:r>
                </w:p>
              </w:tc>
              <w:tc>
                <w:tcPr>
                  <w:tcW w:w="1733" w:type="dxa"/>
                  <w:noWrap w:val="0"/>
                  <w:vAlign w:val="center"/>
                </w:tcPr>
                <w:p w14:paraId="532C11B2">
                  <w:pPr>
                    <w:spacing w:line="360" w:lineRule="exact"/>
                    <w:rPr>
                      <w:rFonts w:hint="eastAsia"/>
                      <w:color w:val="000000" w:themeColor="text1"/>
                      <w:kern w:val="21"/>
                      <w:szCs w:val="21"/>
                      <w14:textFill>
                        <w14:solidFill>
                          <w14:schemeClr w14:val="tx1"/>
                        </w14:solidFill>
                      </w14:textFill>
                    </w:rPr>
                  </w:pPr>
                  <w:r>
                    <w:rPr>
                      <w:rFonts w:hint="eastAsia"/>
                      <w:color w:val="000000" w:themeColor="text1"/>
                      <w:kern w:val="21"/>
                      <w:szCs w:val="21"/>
                      <w14:textFill>
                        <w14:solidFill>
                          <w14:schemeClr w14:val="tx1"/>
                        </w14:solidFill>
                      </w14:textFill>
                    </w:rPr>
                    <w:t>1、</w:t>
                  </w:r>
                  <w:r>
                    <w:rPr>
                      <w:color w:val="000000" w:themeColor="text1"/>
                      <w:kern w:val="21"/>
                      <w:szCs w:val="21"/>
                      <w14:textFill>
                        <w14:solidFill>
                          <w14:schemeClr w14:val="tx1"/>
                        </w14:solidFill>
                      </w14:textFill>
                    </w:rPr>
                    <w:t>项目无生产废水外排，生活污水全部纳管进入</w:t>
                  </w:r>
                  <w:r>
                    <w:rPr>
                      <w:rFonts w:hint="eastAsia"/>
                      <w:color w:val="000000" w:themeColor="text1"/>
                      <w:kern w:val="21"/>
                      <w:szCs w:val="21"/>
                      <w:lang w:val="en-US" w:eastAsia="zh-CN"/>
                      <w14:textFill>
                        <w14:solidFill>
                          <w14:schemeClr w14:val="tx1"/>
                        </w14:solidFill>
                      </w14:textFill>
                    </w:rPr>
                    <w:t>闽侯县</w:t>
                  </w:r>
                  <w:r>
                    <w:rPr>
                      <w:color w:val="000000" w:themeColor="text1"/>
                      <w:kern w:val="21"/>
                      <w:szCs w:val="21"/>
                      <w14:textFill>
                        <w14:solidFill>
                          <w14:schemeClr w14:val="tx1"/>
                        </w14:solidFill>
                      </w14:textFill>
                    </w:rPr>
                    <w:t>污水处理厂集中处理后达标排放</w:t>
                  </w:r>
                  <w:r>
                    <w:rPr>
                      <w:rFonts w:hint="eastAsia"/>
                      <w:color w:val="000000" w:themeColor="text1"/>
                      <w:kern w:val="21"/>
                      <w:szCs w:val="21"/>
                      <w14:textFill>
                        <w14:solidFill>
                          <w14:schemeClr w14:val="tx1"/>
                        </w14:solidFill>
                      </w14:textFill>
                    </w:rPr>
                    <w:t>。</w:t>
                  </w:r>
                </w:p>
                <w:p w14:paraId="701C770A">
                  <w:pPr>
                    <w:spacing w:line="360" w:lineRule="exact"/>
                    <w:rPr>
                      <w:color w:val="000000" w:themeColor="text1"/>
                      <w:kern w:val="21"/>
                      <w:szCs w:val="21"/>
                      <w14:textFill>
                        <w14:solidFill>
                          <w14:schemeClr w14:val="tx1"/>
                        </w14:solidFill>
                      </w14:textFill>
                    </w:rPr>
                  </w:pPr>
                  <w:r>
                    <w:rPr>
                      <w:rFonts w:hint="eastAsia"/>
                      <w:color w:val="000000" w:themeColor="text1"/>
                      <w:kern w:val="21"/>
                      <w:szCs w:val="21"/>
                      <w14:textFill>
                        <w14:solidFill>
                          <w14:schemeClr w14:val="tx1"/>
                        </w14:solidFill>
                      </w14:textFill>
                    </w:rPr>
                    <w:t>2、</w:t>
                  </w:r>
                  <w:r>
                    <w:rPr>
                      <w:color w:val="000000" w:themeColor="text1"/>
                      <w:kern w:val="21"/>
                      <w:szCs w:val="21"/>
                      <w14:textFill>
                        <w14:solidFill>
                          <w14:schemeClr w14:val="tx1"/>
                        </w14:solidFill>
                      </w14:textFill>
                    </w:rPr>
                    <w:t>项目主要从事</w:t>
                  </w:r>
                  <w:r>
                    <w:rPr>
                      <w:rFonts w:hint="eastAsia"/>
                      <w:color w:val="000000" w:themeColor="text1"/>
                      <w:szCs w:val="21"/>
                      <w14:textFill>
                        <w14:solidFill>
                          <w14:schemeClr w14:val="tx1"/>
                        </w14:solidFill>
                      </w14:textFill>
                    </w:rPr>
                    <w:t>塑料板材、塑料户外家具</w:t>
                  </w:r>
                  <w:r>
                    <w:rPr>
                      <w:rFonts w:hint="eastAsia"/>
                      <w:color w:val="000000" w:themeColor="text1"/>
                      <w14:textFill>
                        <w14:solidFill>
                          <w14:schemeClr w14:val="tx1"/>
                        </w14:solidFill>
                      </w14:textFill>
                    </w:rPr>
                    <w:t>的生产</w:t>
                  </w:r>
                  <w:r>
                    <w:rPr>
                      <w:rFonts w:hint="eastAsia"/>
                      <w:color w:val="000000" w:themeColor="text1"/>
                      <w:kern w:val="21"/>
                      <w:szCs w:val="21"/>
                      <w14:textFill>
                        <w14:solidFill>
                          <w14:schemeClr w14:val="tx1"/>
                        </w14:solidFill>
                      </w14:textFill>
                    </w:rPr>
                    <w:t>，</w:t>
                  </w:r>
                  <w:r>
                    <w:rPr>
                      <w:color w:val="000000" w:themeColor="text1"/>
                      <w:kern w:val="21"/>
                      <w:szCs w:val="21"/>
                      <w14:textFill>
                        <w14:solidFill>
                          <w14:schemeClr w14:val="tx1"/>
                        </w14:solidFill>
                      </w14:textFill>
                    </w:rPr>
                    <w:t>项目</w:t>
                  </w:r>
                  <w:r>
                    <w:rPr>
                      <w:rFonts w:hint="eastAsia"/>
                      <w:color w:val="000000" w:themeColor="text1"/>
                      <w:kern w:val="21"/>
                      <w:szCs w:val="21"/>
                      <w14:textFill>
                        <w14:solidFill>
                          <w14:schemeClr w14:val="tx1"/>
                        </w14:solidFill>
                      </w14:textFill>
                    </w:rPr>
                    <w:t>不涉及</w:t>
                  </w:r>
                  <w:r>
                    <w:rPr>
                      <w:color w:val="000000" w:themeColor="text1"/>
                      <w:kern w:val="21"/>
                      <w:szCs w:val="21"/>
                      <w14:textFill>
                        <w14:solidFill>
                          <w14:schemeClr w14:val="tx1"/>
                        </w14:solidFill>
                      </w14:textFill>
                    </w:rPr>
                    <w:t>SO</w:t>
                  </w:r>
                  <w:r>
                    <w:rPr>
                      <w:color w:val="000000" w:themeColor="text1"/>
                      <w:kern w:val="21"/>
                      <w:szCs w:val="21"/>
                      <w:vertAlign w:val="subscript"/>
                      <w14:textFill>
                        <w14:solidFill>
                          <w14:schemeClr w14:val="tx1"/>
                        </w14:solidFill>
                      </w14:textFill>
                    </w:rPr>
                    <w:t>2</w:t>
                  </w:r>
                  <w:r>
                    <w:rPr>
                      <w:color w:val="000000" w:themeColor="text1"/>
                      <w:kern w:val="21"/>
                      <w:szCs w:val="21"/>
                      <w14:textFill>
                        <w14:solidFill>
                          <w14:schemeClr w14:val="tx1"/>
                        </w14:solidFill>
                      </w14:textFill>
                    </w:rPr>
                    <w:t>、NOx的排放，</w:t>
                  </w:r>
                  <w:r>
                    <w:rPr>
                      <w:rFonts w:hint="eastAsia"/>
                      <w:color w:val="000000" w:themeColor="text1"/>
                      <w:kern w:val="21"/>
                      <w:szCs w:val="21"/>
                      <w14:textFill>
                        <w14:solidFill>
                          <w14:schemeClr w14:val="tx1"/>
                        </w14:solidFill>
                      </w14:textFill>
                    </w:rPr>
                    <w:t>产生的挥发性有机废气收集处理达标后排放，</w:t>
                  </w:r>
                  <w:r>
                    <w:rPr>
                      <w:rFonts w:hint="eastAsia"/>
                      <w:color w:val="000000" w:themeColor="text1"/>
                      <w14:textFill>
                        <w14:solidFill>
                          <w14:schemeClr w14:val="tx1"/>
                        </w14:solidFill>
                      </w14:textFill>
                    </w:rPr>
                    <w:t>符合国家和地方相关标准和规范要求</w:t>
                  </w:r>
                  <w:r>
                    <w:rPr>
                      <w:rFonts w:hint="eastAsia"/>
                      <w:color w:val="000000" w:themeColor="text1"/>
                      <w:kern w:val="21"/>
                      <w:szCs w:val="21"/>
                      <w14:textFill>
                        <w14:solidFill>
                          <w14:schemeClr w14:val="tx1"/>
                        </w14:solidFill>
                      </w14:textFill>
                    </w:rPr>
                    <w:t>。</w:t>
                  </w:r>
                  <w:r>
                    <w:rPr>
                      <w:rFonts w:hint="eastAsia" w:ascii="Times New Roman" w:hAnsi="Times New Roman" w:eastAsia="宋体" w:cs="Times New Roman"/>
                      <w:iCs/>
                      <w:color w:val="000000" w:themeColor="text1"/>
                      <w:kern w:val="0"/>
                      <w:sz w:val="21"/>
                      <w:szCs w:val="21"/>
                      <w:lang w:val="en-US" w:eastAsia="zh-CN" w:bidi="ar-SA"/>
                      <w14:textFill>
                        <w14:solidFill>
                          <w14:schemeClr w14:val="tx1"/>
                        </w14:solidFill>
                      </w14:textFill>
                    </w:rPr>
                    <w:t>项目VOCs排放拟实行区域内倍量替代。</w:t>
                  </w:r>
                </w:p>
              </w:tc>
              <w:tc>
                <w:tcPr>
                  <w:tcW w:w="568" w:type="dxa"/>
                  <w:noWrap w:val="0"/>
                  <w:vAlign w:val="center"/>
                </w:tcPr>
                <w:p w14:paraId="577EE25E">
                  <w:pPr>
                    <w:spacing w:line="360" w:lineRule="exact"/>
                    <w:jc w:val="center"/>
                    <w:rPr>
                      <w:color w:val="000000" w:themeColor="text1"/>
                      <w:kern w:val="21"/>
                      <w:szCs w:val="21"/>
                      <w14:textFill>
                        <w14:solidFill>
                          <w14:schemeClr w14:val="tx1"/>
                        </w14:solidFill>
                      </w14:textFill>
                    </w:rPr>
                  </w:pPr>
                  <w:r>
                    <w:rPr>
                      <w:color w:val="000000" w:themeColor="text1"/>
                      <w:kern w:val="21"/>
                      <w:szCs w:val="21"/>
                      <w:lang w:eastAsia="en-US"/>
                      <w14:textFill>
                        <w14:solidFill>
                          <w14:schemeClr w14:val="tx1"/>
                        </w14:solidFill>
                      </w14:textFill>
                    </w:rPr>
                    <w:t>符合</w:t>
                  </w:r>
                </w:p>
              </w:tc>
            </w:tr>
            <w:tr w14:paraId="244293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1227" w:type="dxa"/>
                  <w:vMerge w:val="continue"/>
                  <w:noWrap w:val="0"/>
                  <w:vAlign w:val="center"/>
                </w:tcPr>
                <w:p w14:paraId="611B0814">
                  <w:pPr>
                    <w:spacing w:line="360" w:lineRule="exact"/>
                    <w:jc w:val="center"/>
                    <w:rPr>
                      <w:color w:val="000000" w:themeColor="text1"/>
                      <w:kern w:val="21"/>
                      <w:szCs w:val="21"/>
                      <w:highlight w:val="yellow"/>
                      <w14:textFill>
                        <w14:solidFill>
                          <w14:schemeClr w14:val="tx1"/>
                        </w14:solidFill>
                      </w14:textFill>
                    </w:rPr>
                  </w:pPr>
                </w:p>
              </w:tc>
              <w:tc>
                <w:tcPr>
                  <w:tcW w:w="825" w:type="dxa"/>
                  <w:noWrap w:val="0"/>
                  <w:vAlign w:val="center"/>
                </w:tcPr>
                <w:p w14:paraId="2FFC13C0">
                  <w:pPr>
                    <w:spacing w:line="360" w:lineRule="exact"/>
                    <w:jc w:val="center"/>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环境风险防控</w:t>
                  </w:r>
                </w:p>
              </w:tc>
              <w:tc>
                <w:tcPr>
                  <w:tcW w:w="2355" w:type="dxa"/>
                  <w:noWrap w:val="0"/>
                  <w:vAlign w:val="center"/>
                </w:tcPr>
                <w:p w14:paraId="5A069A83">
                  <w:pPr>
                    <w:spacing w:line="360" w:lineRule="exact"/>
                    <w:rPr>
                      <w:color w:val="000000" w:themeColor="text1"/>
                      <w:kern w:val="21"/>
                      <w:szCs w:val="21"/>
                      <w14:textFill>
                        <w14:solidFill>
                          <w14:schemeClr w14:val="tx1"/>
                        </w14:solidFill>
                      </w14:textFill>
                    </w:rPr>
                  </w:pPr>
                  <w:r>
                    <w:rPr>
                      <w:rFonts w:hint="eastAsia"/>
                      <w:color w:val="000000" w:themeColor="text1"/>
                      <w14:textFill>
                        <w14:solidFill>
                          <w14:schemeClr w14:val="tx1"/>
                        </w14:solidFill>
                      </w14:textFill>
                    </w:rPr>
                    <w:t>单元内现有化学原料和化学制品制造业等具有潜在土壤污染环境风险的企业退役后，应开展土壤环境状况评估，经评估认为污染地块可能损害人体健康和环境，应当进行修复的，由造成污染的单位和个人负责被污染土壤的修复。</w:t>
                  </w:r>
                </w:p>
              </w:tc>
              <w:tc>
                <w:tcPr>
                  <w:tcW w:w="1733" w:type="dxa"/>
                  <w:noWrap w:val="0"/>
                  <w:vAlign w:val="center"/>
                </w:tcPr>
                <w:p w14:paraId="30A8B6D1">
                  <w:pPr>
                    <w:spacing w:line="360" w:lineRule="exact"/>
                    <w:rPr>
                      <w:rFonts w:hint="eastAsia" w:eastAsia="宋体"/>
                      <w:color w:val="000000" w:themeColor="text1"/>
                      <w:kern w:val="21"/>
                      <w:szCs w:val="21"/>
                      <w:lang w:val="en-US" w:eastAsia="zh-CN"/>
                      <w14:textFill>
                        <w14:solidFill>
                          <w14:schemeClr w14:val="tx1"/>
                        </w14:solidFill>
                      </w14:textFill>
                    </w:rPr>
                  </w:pPr>
                  <w:r>
                    <w:rPr>
                      <w:color w:val="000000" w:themeColor="text1"/>
                      <w:kern w:val="21"/>
                      <w:szCs w:val="21"/>
                      <w14:textFill>
                        <w14:solidFill>
                          <w14:schemeClr w14:val="tx1"/>
                        </w14:solidFill>
                      </w14:textFill>
                    </w:rPr>
                    <w:t>项目主要从事</w:t>
                  </w:r>
                  <w:r>
                    <w:rPr>
                      <w:rFonts w:hint="eastAsia"/>
                      <w:color w:val="000000" w:themeColor="text1"/>
                      <w:szCs w:val="21"/>
                      <w14:textFill>
                        <w14:solidFill>
                          <w14:schemeClr w14:val="tx1"/>
                        </w14:solidFill>
                      </w14:textFill>
                    </w:rPr>
                    <w:t>塑料板材、塑料户外家具</w:t>
                  </w:r>
                  <w:r>
                    <w:rPr>
                      <w:rFonts w:hint="eastAsia"/>
                      <w:color w:val="000000" w:themeColor="text1"/>
                      <w14:textFill>
                        <w14:solidFill>
                          <w14:schemeClr w14:val="tx1"/>
                        </w14:solidFill>
                      </w14:textFill>
                    </w:rPr>
                    <w:t>的生产</w:t>
                  </w:r>
                  <w:r>
                    <w:rPr>
                      <w:rFonts w:hint="eastAsia"/>
                      <w:color w:val="000000" w:themeColor="text1"/>
                      <w:kern w:val="21"/>
                      <w:szCs w:val="21"/>
                      <w14:textFill>
                        <w14:solidFill>
                          <w14:schemeClr w14:val="tx1"/>
                        </w14:solidFill>
                      </w14:textFill>
                    </w:rPr>
                    <w:t>，</w:t>
                  </w:r>
                  <w:r>
                    <w:rPr>
                      <w:rFonts w:hint="eastAsia"/>
                      <w:color w:val="000000" w:themeColor="text1"/>
                      <w:kern w:val="21"/>
                      <w:szCs w:val="21"/>
                      <w:lang w:val="en-US" w:eastAsia="zh-CN"/>
                      <w14:textFill>
                        <w14:solidFill>
                          <w14:schemeClr w14:val="tx1"/>
                        </w14:solidFill>
                      </w14:textFill>
                    </w:rPr>
                    <w:t>不属于</w:t>
                  </w:r>
                  <w:r>
                    <w:rPr>
                      <w:rFonts w:hint="eastAsia"/>
                      <w:color w:val="000000" w:themeColor="text1"/>
                      <w14:textFill>
                        <w14:solidFill>
                          <w14:schemeClr w14:val="tx1"/>
                        </w14:solidFill>
                      </w14:textFill>
                    </w:rPr>
                    <w:t>化学原料和化学制品制造业</w:t>
                  </w:r>
                  <w:r>
                    <w:rPr>
                      <w:rFonts w:hint="eastAsia"/>
                      <w:color w:val="000000" w:themeColor="text1"/>
                      <w:lang w:eastAsia="zh-CN"/>
                      <w14:textFill>
                        <w14:solidFill>
                          <w14:schemeClr w14:val="tx1"/>
                        </w14:solidFill>
                      </w14:textFill>
                    </w:rPr>
                    <w:t>。</w:t>
                  </w:r>
                </w:p>
              </w:tc>
              <w:tc>
                <w:tcPr>
                  <w:tcW w:w="568" w:type="dxa"/>
                  <w:noWrap w:val="0"/>
                  <w:vAlign w:val="center"/>
                </w:tcPr>
                <w:p w14:paraId="5E490702">
                  <w:pPr>
                    <w:spacing w:line="360" w:lineRule="exact"/>
                    <w:jc w:val="center"/>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符合</w:t>
                  </w:r>
                </w:p>
              </w:tc>
            </w:tr>
            <w:tr w14:paraId="6F4560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7" w:type="dxa"/>
                  <w:vMerge w:val="continue"/>
                  <w:noWrap w:val="0"/>
                  <w:vAlign w:val="center"/>
                </w:tcPr>
                <w:p w14:paraId="37EEAB69">
                  <w:pPr>
                    <w:spacing w:line="360" w:lineRule="exact"/>
                    <w:jc w:val="center"/>
                    <w:rPr>
                      <w:color w:val="000000" w:themeColor="text1"/>
                      <w:kern w:val="21"/>
                      <w:szCs w:val="21"/>
                      <w14:textFill>
                        <w14:solidFill>
                          <w14:schemeClr w14:val="tx1"/>
                        </w14:solidFill>
                      </w14:textFill>
                    </w:rPr>
                  </w:pPr>
                </w:p>
              </w:tc>
              <w:tc>
                <w:tcPr>
                  <w:tcW w:w="825" w:type="dxa"/>
                  <w:noWrap w:val="0"/>
                  <w:vAlign w:val="center"/>
                </w:tcPr>
                <w:p w14:paraId="0196B347">
                  <w:pPr>
                    <w:spacing w:line="360" w:lineRule="exact"/>
                    <w:jc w:val="center"/>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资源开发效率要求</w:t>
                  </w:r>
                </w:p>
              </w:tc>
              <w:tc>
                <w:tcPr>
                  <w:tcW w:w="2355" w:type="dxa"/>
                  <w:noWrap w:val="0"/>
                  <w:vAlign w:val="center"/>
                </w:tcPr>
                <w:p w14:paraId="75C12F50">
                  <w:pPr>
                    <w:spacing w:line="360" w:lineRule="exact"/>
                    <w:jc w:val="center"/>
                    <w:rPr>
                      <w:rFonts w:hint="eastAsia" w:eastAsia="宋体"/>
                      <w:color w:val="000000" w:themeColor="text1"/>
                      <w:kern w:val="21"/>
                      <w:szCs w:val="21"/>
                      <w:lang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1733" w:type="dxa"/>
                  <w:noWrap w:val="0"/>
                  <w:vAlign w:val="center"/>
                </w:tcPr>
                <w:p w14:paraId="0F2F61F1">
                  <w:pPr>
                    <w:spacing w:line="360" w:lineRule="exact"/>
                    <w:jc w:val="center"/>
                    <w:rPr>
                      <w:rFonts w:hint="eastAsia" w:eastAsia="宋体"/>
                      <w:color w:val="000000" w:themeColor="text1"/>
                      <w:kern w:val="21"/>
                      <w:szCs w:val="21"/>
                      <w:lang w:eastAsia="zh-CN"/>
                      <w14:textFill>
                        <w14:solidFill>
                          <w14:schemeClr w14:val="tx1"/>
                        </w14:solidFill>
                      </w14:textFill>
                    </w:rPr>
                  </w:pPr>
                  <w:r>
                    <w:rPr>
                      <w:rFonts w:hint="eastAsia"/>
                      <w:color w:val="000000" w:themeColor="text1"/>
                      <w:kern w:val="21"/>
                      <w:szCs w:val="21"/>
                      <w:lang w:val="en-US" w:eastAsia="zh-CN"/>
                      <w14:textFill>
                        <w14:solidFill>
                          <w14:schemeClr w14:val="tx1"/>
                        </w14:solidFill>
                      </w14:textFill>
                    </w:rPr>
                    <w:t>/</w:t>
                  </w:r>
                </w:p>
              </w:tc>
              <w:tc>
                <w:tcPr>
                  <w:tcW w:w="568" w:type="dxa"/>
                  <w:noWrap w:val="0"/>
                  <w:vAlign w:val="center"/>
                </w:tcPr>
                <w:p w14:paraId="35A9474D">
                  <w:pPr>
                    <w:spacing w:line="360" w:lineRule="exact"/>
                    <w:jc w:val="center"/>
                    <w:rPr>
                      <w:color w:val="000000" w:themeColor="text1"/>
                      <w:kern w:val="21"/>
                      <w:szCs w:val="21"/>
                      <w14:textFill>
                        <w14:solidFill>
                          <w14:schemeClr w14:val="tx1"/>
                        </w14:solidFill>
                      </w14:textFill>
                    </w:rPr>
                  </w:pPr>
                  <w:r>
                    <w:rPr>
                      <w:color w:val="000000" w:themeColor="text1"/>
                      <w:kern w:val="21"/>
                      <w:szCs w:val="21"/>
                      <w14:textFill>
                        <w14:solidFill>
                          <w14:schemeClr w14:val="tx1"/>
                        </w14:solidFill>
                      </w14:textFill>
                    </w:rPr>
                    <w:t>/</w:t>
                  </w:r>
                </w:p>
              </w:tc>
            </w:tr>
          </w:tbl>
          <w:p w14:paraId="5D902B2C">
            <w:pPr>
              <w:pStyle w:val="55"/>
              <w:rPr>
                <w:rFonts w:hint="default"/>
                <w:color w:val="000000" w:themeColor="text1"/>
                <w:sz w:val="24"/>
                <w:szCs w:val="24"/>
                <w:lang w:val="en-US" w:eastAsia="zh-CN"/>
                <w14:textFill>
                  <w14:solidFill>
                    <w14:schemeClr w14:val="tx1"/>
                  </w14:solidFill>
                </w14:textFill>
              </w:rPr>
            </w:pPr>
            <w:r>
              <w:rPr>
                <w:rFonts w:ascii="Times New Roman" w:hAnsi="Times New Roman" w:cs="Times New Roman"/>
                <w:color w:val="000000" w:themeColor="text1"/>
                <w:kern w:val="21"/>
                <w:sz w:val="24"/>
                <w:szCs w:val="24"/>
                <w14:textFill>
                  <w14:solidFill>
                    <w14:schemeClr w14:val="tx1"/>
                  </w14:solidFill>
                </w14:textFill>
              </w:rPr>
              <w:t>根据上述分析，</w:t>
            </w:r>
            <w:r>
              <w:rPr>
                <w:rFonts w:hint="eastAsia" w:cs="Times New Roman"/>
                <w:color w:val="000000" w:themeColor="text1"/>
                <w:kern w:val="21"/>
                <w:sz w:val="24"/>
                <w:szCs w:val="24"/>
                <w:lang w:eastAsia="zh-CN"/>
                <w14:textFill>
                  <w14:solidFill>
                    <w14:schemeClr w14:val="tx1"/>
                  </w14:solidFill>
                </w14:textFill>
              </w:rPr>
              <w:t>本</w:t>
            </w:r>
            <w:r>
              <w:rPr>
                <w:rFonts w:ascii="Times New Roman" w:hAnsi="Times New Roman" w:cs="Times New Roman"/>
                <w:color w:val="000000" w:themeColor="text1"/>
                <w:kern w:val="21"/>
                <w:sz w:val="24"/>
                <w:szCs w:val="24"/>
                <w14:textFill>
                  <w14:solidFill>
                    <w14:schemeClr w14:val="tx1"/>
                  </w14:solidFill>
                </w14:textFill>
              </w:rPr>
              <w:t>项目与《福建省生态环境分区管控综合查询报告》中</w:t>
            </w:r>
            <w:r>
              <w:rPr>
                <w:rFonts w:hint="eastAsia" w:ascii="Times New Roman" w:hAnsi="Times New Roman" w:cs="Times New Roman"/>
                <w:color w:val="000000" w:themeColor="text1"/>
                <w:kern w:val="21"/>
                <w:sz w:val="24"/>
                <w:szCs w:val="24"/>
                <w14:textFill>
                  <w14:solidFill>
                    <w14:schemeClr w14:val="tx1"/>
                  </w14:solidFill>
                </w14:textFill>
              </w:rPr>
              <w:t>闽侯县重点管控单元3</w:t>
            </w:r>
            <w:r>
              <w:rPr>
                <w:rFonts w:ascii="Times New Roman" w:hAnsi="Times New Roman" w:cs="Times New Roman"/>
                <w:color w:val="000000" w:themeColor="text1"/>
                <w:kern w:val="21"/>
                <w:sz w:val="24"/>
                <w:szCs w:val="24"/>
                <w14:textFill>
                  <w14:solidFill>
                    <w14:schemeClr w14:val="tx1"/>
                  </w14:solidFill>
                </w14:textFill>
              </w:rPr>
              <w:t>的相关规定是符合的。</w:t>
            </w:r>
          </w:p>
          <w:bookmarkEnd w:id="2"/>
          <w:bookmarkEnd w:id="3"/>
          <w:bookmarkEnd w:id="4"/>
          <w:bookmarkEnd w:id="5"/>
          <w:bookmarkEnd w:id="6"/>
          <w:p w14:paraId="3D028F97">
            <w:pPr>
              <w:pStyle w:val="55"/>
              <w:numPr>
                <w:ilvl w:val="0"/>
                <w:numId w:val="4"/>
              </w:numPr>
              <w:ind w:firstLine="422"/>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选址</w:t>
            </w:r>
            <w:r>
              <w:rPr>
                <w:b/>
                <w:bCs/>
                <w:color w:val="000000" w:themeColor="text1"/>
                <w:sz w:val="24"/>
                <w:szCs w:val="24"/>
                <w14:textFill>
                  <w14:solidFill>
                    <w14:schemeClr w14:val="tx1"/>
                  </w14:solidFill>
                </w14:textFill>
              </w:rPr>
              <w:t>合理性分析</w:t>
            </w:r>
          </w:p>
          <w:p w14:paraId="28735A1B">
            <w:pPr>
              <w:pStyle w:val="55"/>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本项目</w:t>
            </w:r>
            <w:r>
              <w:rPr>
                <w:rFonts w:hint="eastAsia"/>
                <w:color w:val="000000" w:themeColor="text1"/>
                <w:sz w:val="24"/>
                <w:szCs w:val="24"/>
                <w14:textFill>
                  <w14:solidFill>
                    <w14:schemeClr w14:val="tx1"/>
                  </w14:solidFill>
                </w14:textFill>
              </w:rPr>
              <w:t>租赁</w:t>
            </w:r>
            <w:r>
              <w:rPr>
                <w:rFonts w:hint="eastAsia"/>
                <w:color w:val="000000" w:themeColor="text1"/>
                <w:sz w:val="24"/>
                <w:szCs w:val="24"/>
                <w:lang w:val="en-US" w:eastAsia="zh-CN"/>
                <w14:textFill>
                  <w14:solidFill>
                    <w14:schemeClr w14:val="tx1"/>
                  </w14:solidFill>
                </w14:textFill>
              </w:rPr>
              <w:t>元可</w:t>
            </w:r>
            <w:r>
              <w:rPr>
                <w:rFonts w:hint="eastAsia"/>
                <w:color w:val="000000" w:themeColor="text1"/>
                <w:sz w:val="24"/>
                <w:szCs w:val="24"/>
                <w14:textFill>
                  <w14:solidFill>
                    <w14:schemeClr w14:val="tx1"/>
                  </w14:solidFill>
                </w14:textFill>
              </w:rPr>
              <w:t>（福建）</w:t>
            </w:r>
            <w:r>
              <w:rPr>
                <w:rFonts w:hint="eastAsia"/>
                <w:color w:val="000000" w:themeColor="text1"/>
                <w:sz w:val="24"/>
                <w:szCs w:val="24"/>
                <w:lang w:val="en-US" w:eastAsia="zh-CN"/>
                <w14:textFill>
                  <w14:solidFill>
                    <w14:schemeClr w14:val="tx1"/>
                  </w14:solidFill>
                </w14:textFill>
              </w:rPr>
              <w:t>食品</w:t>
            </w:r>
            <w:r>
              <w:rPr>
                <w:rFonts w:hint="eastAsia"/>
                <w:color w:val="000000" w:themeColor="text1"/>
                <w:sz w:val="24"/>
                <w:szCs w:val="24"/>
                <w14:textFill>
                  <w14:solidFill>
                    <w14:schemeClr w14:val="tx1"/>
                  </w14:solidFill>
                </w14:textFill>
              </w:rPr>
              <w:t>有限公司位于福州市闽侯县经济技术开发区二期南岭路1号3#楼</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共计</w:t>
            </w:r>
            <w:r>
              <w:rPr>
                <w:rFonts w:hint="eastAsia"/>
                <w:color w:val="000000" w:themeColor="text1"/>
                <w:sz w:val="24"/>
                <w:szCs w:val="24"/>
                <w:lang w:val="en-US" w:eastAsia="zh-CN"/>
                <w14:textFill>
                  <w14:solidFill>
                    <w14:schemeClr w14:val="tx1"/>
                  </w14:solidFill>
                </w14:textFill>
              </w:rPr>
              <w:t>9750</w:t>
            </w:r>
            <w:r>
              <w:rPr>
                <w:rFonts w:hint="eastAsia"/>
                <w:color w:val="000000" w:themeColor="text1"/>
                <w:sz w:val="24"/>
                <w:szCs w:val="24"/>
                <w14:textFill>
                  <w14:solidFill>
                    <w14:schemeClr w14:val="tx1"/>
                  </w14:solidFill>
                </w14:textFill>
              </w:rPr>
              <w:t>m</w:t>
            </w:r>
            <w:r>
              <w:rPr>
                <w:rFonts w:hint="eastAsia"/>
                <w:color w:val="000000" w:themeColor="text1"/>
                <w:sz w:val="24"/>
                <w:szCs w:val="24"/>
                <w:vertAlign w:val="superscript"/>
                <w14:textFill>
                  <w14:solidFill>
                    <w14:schemeClr w14:val="tx1"/>
                  </w14:solidFill>
                </w14:textFill>
              </w:rPr>
              <w:t>2</w:t>
            </w:r>
            <w:r>
              <w:rPr>
                <w:rFonts w:hint="eastAsia"/>
                <w:color w:val="000000" w:themeColor="text1"/>
                <w:sz w:val="24"/>
                <w:szCs w:val="24"/>
                <w14:textFill>
                  <w14:solidFill>
                    <w14:schemeClr w14:val="tx1"/>
                  </w14:solidFill>
                </w14:textFill>
              </w:rPr>
              <w:t>作为生产场所未新增建设用地。根据用地产权显示（侯房权证H字第1303990号，详见附件6），项目所在地块用途为工业用地，项目建设</w:t>
            </w:r>
            <w:r>
              <w:rPr>
                <w:color w:val="000000" w:themeColor="text1"/>
                <w:sz w:val="24"/>
                <w:szCs w:val="24"/>
                <w14:textFill>
                  <w14:solidFill>
                    <w14:schemeClr w14:val="tx1"/>
                  </w14:solidFill>
                </w14:textFill>
              </w:rPr>
              <w:t>符合当地城乡总体规划及土地利用规划。本项目建设不改变土地利用性质</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供电</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供水设施配套完善</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能够满足本项目</w:t>
            </w:r>
            <w:r>
              <w:rPr>
                <w:rFonts w:hint="eastAsia"/>
                <w:color w:val="000000" w:themeColor="text1"/>
                <w:sz w:val="24"/>
                <w:szCs w:val="24"/>
                <w14:textFill>
                  <w14:solidFill>
                    <w14:schemeClr w14:val="tx1"/>
                  </w14:solidFill>
                </w14:textFill>
              </w:rPr>
              <w:t>需求。</w:t>
            </w:r>
            <w:r>
              <w:rPr>
                <w:rFonts w:hint="eastAsia" w:ascii="Times New Roman" w:hAnsi="Times New Roman" w:eastAsia="宋体" w:cs="Times New Roman"/>
                <w:color w:val="000000" w:themeColor="text1"/>
                <w:sz w:val="24"/>
                <w:szCs w:val="24"/>
                <w:lang w:eastAsia="zh-CN"/>
                <w14:textFill>
                  <w14:solidFill>
                    <w14:schemeClr w14:val="tx1"/>
                  </w14:solidFill>
                </w14:textFill>
              </w:rPr>
              <w:t>对照</w:t>
            </w:r>
            <w:r>
              <w:rPr>
                <w:rFonts w:hint="eastAsia" w:ascii="Times New Roman" w:hAnsi="Times New Roman" w:eastAsia="宋体" w:cs="Times New Roman"/>
                <w:color w:val="000000" w:themeColor="text1"/>
                <w:sz w:val="24"/>
                <w:szCs w:val="24"/>
                <w14:textFill>
                  <w14:solidFill>
                    <w14:schemeClr w14:val="tx1"/>
                  </w14:solidFill>
                </w14:textFill>
              </w:rPr>
              <w:t>《自然资源部国家发展和改革委员会国家林业和草原局关于印发〈自然资源要素支撑产业高质量发展指导目录（2024年本）〉的通知》（自然资发〔2024〕273号）</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本项目不在其发布的限制用地和禁止用地范围内，符合国家相关用地政策。</w:t>
            </w:r>
          </w:p>
          <w:p w14:paraId="2B263760">
            <w:pPr>
              <w:pStyle w:val="55"/>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本项目位于</w:t>
            </w:r>
            <w:r>
              <w:rPr>
                <w:rFonts w:hint="eastAsia"/>
                <w:color w:val="000000" w:themeColor="text1"/>
                <w:sz w:val="24"/>
                <w:szCs w:val="24"/>
                <w:lang w:val="en-US" w:eastAsia="zh-CN"/>
                <w14:textFill>
                  <w14:solidFill>
                    <w14:schemeClr w14:val="tx1"/>
                  </w14:solidFill>
                </w14:textFill>
              </w:rPr>
              <w:t>元可</w:t>
            </w:r>
            <w:r>
              <w:rPr>
                <w:rFonts w:hint="eastAsia"/>
                <w:color w:val="000000" w:themeColor="text1"/>
                <w:sz w:val="24"/>
                <w:szCs w:val="24"/>
                <w14:textFill>
                  <w14:solidFill>
                    <w14:schemeClr w14:val="tx1"/>
                  </w14:solidFill>
                </w14:textFill>
              </w:rPr>
              <w:t>（福建）</w:t>
            </w:r>
            <w:r>
              <w:rPr>
                <w:rFonts w:hint="eastAsia"/>
                <w:color w:val="000000" w:themeColor="text1"/>
                <w:sz w:val="24"/>
                <w:szCs w:val="24"/>
                <w:lang w:val="en-US" w:eastAsia="zh-CN"/>
                <w14:textFill>
                  <w14:solidFill>
                    <w14:schemeClr w14:val="tx1"/>
                  </w14:solidFill>
                </w14:textFill>
              </w:rPr>
              <w:t>食品</w:t>
            </w:r>
            <w:r>
              <w:rPr>
                <w:rFonts w:hint="eastAsia"/>
                <w:color w:val="000000" w:themeColor="text1"/>
                <w:sz w:val="24"/>
                <w:szCs w:val="24"/>
                <w14:textFill>
                  <w14:solidFill>
                    <w14:schemeClr w14:val="tx1"/>
                  </w14:solidFill>
                </w14:textFill>
              </w:rPr>
              <w:t>有限公司内，北面临近</w:t>
            </w:r>
            <w:r>
              <w:rPr>
                <w:rFonts w:hint="eastAsia"/>
                <w:color w:val="000000" w:themeColor="text1"/>
                <w:sz w:val="24"/>
                <w:szCs w:val="24"/>
                <w:lang w:val="en-US" w:eastAsia="zh-CN"/>
                <w14:textFill>
                  <w14:solidFill>
                    <w14:schemeClr w14:val="tx1"/>
                  </w14:solidFill>
                </w14:textFill>
              </w:rPr>
              <w:t>盛辉物流园</w:t>
            </w:r>
            <w:r>
              <w:rPr>
                <w:rFonts w:hint="eastAsia"/>
                <w:color w:val="000000" w:themeColor="text1"/>
                <w:sz w:val="24"/>
                <w:szCs w:val="24"/>
                <w14:textFill>
                  <w14:solidFill>
                    <w14:schemeClr w14:val="tx1"/>
                  </w14:solidFill>
                </w14:textFill>
              </w:rPr>
              <w:t>，南面为</w:t>
            </w:r>
            <w:r>
              <w:rPr>
                <w:rFonts w:hint="eastAsia"/>
                <w:color w:val="000000" w:themeColor="text1"/>
                <w:sz w:val="24"/>
                <w:szCs w:val="24"/>
                <w:lang w:val="en-US" w:eastAsia="zh-CN"/>
                <w14:textFill>
                  <w14:solidFill>
                    <w14:schemeClr w14:val="tx1"/>
                  </w14:solidFill>
                </w14:textFill>
              </w:rPr>
              <w:t>元可（福建）食品有限公司</w:t>
            </w:r>
            <w:r>
              <w:rPr>
                <w:rFonts w:hint="eastAsia"/>
                <w:color w:val="000000" w:themeColor="text1"/>
                <w:sz w:val="24"/>
                <w:szCs w:val="24"/>
                <w14:textFill>
                  <w14:solidFill>
                    <w14:schemeClr w14:val="tx1"/>
                  </w14:solidFill>
                </w14:textFill>
              </w:rPr>
              <w:t>，东侧为</w:t>
            </w:r>
            <w:r>
              <w:rPr>
                <w:rFonts w:hint="eastAsia"/>
                <w:color w:val="000000" w:themeColor="text1"/>
                <w:sz w:val="24"/>
                <w:szCs w:val="24"/>
                <w:lang w:val="en-US" w:eastAsia="zh-CN"/>
                <w14:textFill>
                  <w14:solidFill>
                    <w14:schemeClr w14:val="tx1"/>
                  </w14:solidFill>
                </w14:textFill>
              </w:rPr>
              <w:t>绿化隔离带</w:t>
            </w:r>
            <w:r>
              <w:rPr>
                <w:rFonts w:hint="eastAsia"/>
                <w:color w:val="000000" w:themeColor="text1"/>
                <w:sz w:val="24"/>
                <w:szCs w:val="24"/>
                <w14:textFill>
                  <w14:solidFill>
                    <w14:schemeClr w14:val="tx1"/>
                  </w14:solidFill>
                </w14:textFill>
              </w:rPr>
              <w:t>，西侧</w:t>
            </w:r>
            <w:r>
              <w:rPr>
                <w:rFonts w:hint="eastAsia"/>
                <w:color w:val="000000" w:themeColor="text1"/>
                <w:sz w:val="24"/>
                <w:szCs w:val="24"/>
                <w:lang w:val="en-US" w:eastAsia="zh-CN"/>
                <w14:textFill>
                  <w14:solidFill>
                    <w14:schemeClr w14:val="tx1"/>
                  </w14:solidFill>
                </w14:textFill>
              </w:rPr>
              <w:t>为空地</w:t>
            </w:r>
            <w:r>
              <w:rPr>
                <w:rFonts w:hint="eastAsia"/>
                <w:color w:val="000000" w:themeColor="text1"/>
                <w:sz w:val="24"/>
                <w:szCs w:val="24"/>
                <w14:textFill>
                  <w14:solidFill>
                    <w14:schemeClr w14:val="tx1"/>
                  </w14:solidFill>
                </w14:textFill>
              </w:rPr>
              <w:t>，项目与周边环境相容。项目周边不涉及自然保护区、风景名胜区、世界文化和自然遗产地、饮用水水源保护区。项目运营期产生的各项污染物采取措施后，能够达标排放，对周边环境影响较小。因此，从环保角度来看，项目选址较合理。</w:t>
            </w:r>
          </w:p>
          <w:p w14:paraId="4EFE9C1F">
            <w:pPr>
              <w:pStyle w:val="55"/>
              <w:numPr>
                <w:ilvl w:val="0"/>
                <w:numId w:val="4"/>
              </w:numPr>
              <w:ind w:firstLine="422"/>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与《大气污染防治行动计划》协调性分析</w:t>
            </w:r>
          </w:p>
          <w:p w14:paraId="5826794A">
            <w:pPr>
              <w:pStyle w:val="55"/>
              <w:rPr>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2023年11月30日，国务院公开发布了《空气质量持续改善行动计划》（国发〔2023〕24号）</w:t>
            </w:r>
            <w:r>
              <w:rPr>
                <w:color w:val="000000" w:themeColor="text1"/>
                <w:sz w:val="24"/>
                <w:szCs w:val="24"/>
                <w14:textFill>
                  <w14:solidFill>
                    <w14:schemeClr w14:val="tx1"/>
                  </w14:solidFill>
                </w14:textFill>
              </w:rPr>
              <w:t>；2014年1月5日，福建省人民政府公开发布了《福建省大气污染防治行动计划实施细则》（闽政〔2014〕1号）</w:t>
            </w:r>
            <w:r>
              <w:rPr>
                <w:rFonts w:hint="eastAsia"/>
                <w:color w:val="000000" w:themeColor="text1"/>
                <w:sz w:val="24"/>
                <w:szCs w:val="24"/>
                <w14:textFill>
                  <w14:solidFill>
                    <w14:schemeClr w14:val="tx1"/>
                  </w14:solidFill>
                </w14:textFill>
              </w:rPr>
              <w:t>；2014年1月27日，福州市人民政府公开发布了《福州市大气污染防治行动计划实施细则》（榕政综〔2014〕27号）</w:t>
            </w:r>
            <w:r>
              <w:rPr>
                <w:color w:val="000000" w:themeColor="text1"/>
                <w:sz w:val="24"/>
                <w:szCs w:val="24"/>
                <w14:textFill>
                  <w14:solidFill>
                    <w14:schemeClr w14:val="tx1"/>
                  </w14:solidFill>
                </w14:textFill>
              </w:rPr>
              <w:t>。</w:t>
            </w:r>
          </w:p>
          <w:p w14:paraId="635C37E5">
            <w:pPr>
              <w:pStyle w:val="106"/>
              <w:keepNext w:val="0"/>
              <w:keepLines w:val="0"/>
              <w:pageBreakBefore w:val="0"/>
              <w:widowControl w:val="0"/>
              <w:kinsoku/>
              <w:wordWrap/>
              <w:overflowPunct/>
              <w:topLinePunct w:val="0"/>
              <w:autoSpaceDE/>
              <w:autoSpaceDN/>
              <w:bidi w:val="0"/>
              <w:adjustRightInd/>
              <w:snapToGrid/>
              <w:spacing w:before="157" w:beforeLines="50" w:line="240" w:lineRule="auto"/>
              <w:textAlignment w:val="auto"/>
              <w:rPr>
                <w:rFonts w:ascii="Times New Roman" w:hAnsi="Times New Roman" w:cs="Times New Roman"/>
                <w:color w:val="000000" w:themeColor="text1"/>
                <w:sz w:val="24"/>
                <w:szCs w:val="24"/>
                <w14:textFill>
                  <w14:solidFill>
                    <w14:schemeClr w14:val="tx1"/>
                  </w14:solidFill>
                </w14:textFill>
              </w:rPr>
            </w:pPr>
            <w:bookmarkStart w:id="7" w:name="_Ref498435062"/>
            <w:bookmarkStart w:id="8" w:name="_Ref528237933"/>
            <w:r>
              <w:rPr>
                <w:rFonts w:hint="eastAsia" w:ascii="Times New Roman" w:hAnsi="Times New Roman" w:cs="Times New Roman"/>
                <w:color w:val="000000" w:themeColor="text1"/>
                <w:sz w:val="24"/>
                <w:szCs w:val="24"/>
                <w:lang w:val="en-US" w:eastAsia="zh-CN"/>
                <w14:textFill>
                  <w14:solidFill>
                    <w14:schemeClr w14:val="tx1"/>
                  </w14:solidFill>
                </w14:textFill>
              </w:rPr>
              <w:t xml:space="preserve">表1.1-7  </w:t>
            </w:r>
            <w:r>
              <w:rPr>
                <w:rFonts w:ascii="Times New Roman" w:hAnsi="Times New Roman" w:cs="Times New Roman"/>
                <w:color w:val="000000" w:themeColor="text1"/>
                <w:sz w:val="24"/>
                <w:szCs w:val="24"/>
                <w14:textFill>
                  <w14:solidFill>
                    <w14:schemeClr w14:val="tx1"/>
                  </w14:solidFill>
                </w14:textFill>
              </w:rPr>
              <w:t>大气污染防治行动计划</w:t>
            </w:r>
            <w:bookmarkEnd w:id="7"/>
            <w:bookmarkEnd w:id="8"/>
            <w:r>
              <w:rPr>
                <w:rFonts w:ascii="Times New Roman" w:hAnsi="Times New Roman" w:cs="Times New Roman"/>
                <w:color w:val="000000" w:themeColor="text1"/>
                <w:sz w:val="24"/>
                <w:szCs w:val="24"/>
                <w14:textFill>
                  <w14:solidFill>
                    <w14:schemeClr w14:val="tx1"/>
                  </w14:solidFill>
                </w14:textFill>
              </w:rPr>
              <w:t>相关内容</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1652"/>
              <w:gridCol w:w="5324"/>
            </w:tblGrid>
            <w:tr w14:paraId="72A13F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184" w:type="pct"/>
                  <w:noWrap w:val="0"/>
                  <w:vAlign w:val="center"/>
                </w:tcPr>
                <w:p w14:paraId="64ADD34C">
                  <w:pPr>
                    <w:pStyle w:val="55"/>
                    <w:spacing w:line="240" w:lineRule="auto"/>
                    <w:ind w:firstLine="0" w:firstLineChars="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文件名称</w:t>
                  </w:r>
                </w:p>
              </w:tc>
              <w:tc>
                <w:tcPr>
                  <w:tcW w:w="3816" w:type="pct"/>
                  <w:noWrap w:val="0"/>
                  <w:vAlign w:val="center"/>
                </w:tcPr>
                <w:p w14:paraId="07AAF01D">
                  <w:pPr>
                    <w:pStyle w:val="55"/>
                    <w:spacing w:line="240" w:lineRule="auto"/>
                    <w:ind w:firstLine="0" w:firstLineChars="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相关内容</w:t>
                  </w:r>
                </w:p>
              </w:tc>
            </w:tr>
            <w:tr w14:paraId="16BABE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652" w:type="dxa"/>
                  <w:noWrap w:val="0"/>
                  <w:vAlign w:val="center"/>
                </w:tcPr>
                <w:p w14:paraId="53B62F82">
                  <w:pPr>
                    <w:pStyle w:val="55"/>
                    <w:spacing w:line="240" w:lineRule="auto"/>
                    <w:ind w:firstLine="0" w:firstLineChars="0"/>
                    <w:rPr>
                      <w:color w:val="000000" w:themeColor="text1"/>
                      <w:szCs w:val="21"/>
                      <w14:textFill>
                        <w14:solidFill>
                          <w14:schemeClr w14:val="tx1"/>
                        </w14:solidFill>
                      </w14:textFill>
                    </w:rPr>
                  </w:pPr>
                  <w:r>
                    <w:rPr>
                      <w:rFonts w:hint="default"/>
                      <w:color w:val="000000" w:themeColor="text1"/>
                      <w:szCs w:val="21"/>
                      <w:lang w:val="en-US" w:eastAsia="zh-CN"/>
                      <w14:textFill>
                        <w14:solidFill>
                          <w14:schemeClr w14:val="tx1"/>
                        </w14:solidFill>
                      </w14:textFill>
                    </w:rPr>
                    <w:t>《空气质量持续改善行动计划》</w:t>
                  </w:r>
                </w:p>
              </w:tc>
              <w:tc>
                <w:tcPr>
                  <w:tcW w:w="5324" w:type="dxa"/>
                  <w:noWrap w:val="0"/>
                  <w:vAlign w:val="top"/>
                </w:tcPr>
                <w:p w14:paraId="2B2C39A9">
                  <w:pPr>
                    <w:pStyle w:val="55"/>
                    <w:spacing w:line="240" w:lineRule="auto"/>
                    <w:ind w:firstLine="0" w:firstLineChars="0"/>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二、</w:t>
                  </w:r>
                  <w:r>
                    <w:rPr>
                      <w:color w:val="000000" w:themeColor="text1"/>
                      <w:szCs w:val="21"/>
                      <w14:textFill>
                        <w14:solidFill>
                          <w14:schemeClr w14:val="tx1"/>
                        </w14:solidFill>
                      </w14:textFill>
                    </w:rPr>
                    <w:t>优化产业结构，促进产业产品绿色升级</w:t>
                  </w:r>
                </w:p>
                <w:p w14:paraId="04FB87E2">
                  <w:pPr>
                    <w:pStyle w:val="55"/>
                    <w:spacing w:line="240" w:lineRule="auto"/>
                    <w:ind w:firstLine="0"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r>
                    <w:rPr>
                      <w:rFonts w:hint="eastAsia"/>
                      <w:color w:val="000000" w:themeColor="text1"/>
                      <w:szCs w:val="21"/>
                      <w:lang w:eastAsia="zh-CN"/>
                      <w14:textFill>
                        <w14:solidFill>
                          <w14:schemeClr w14:val="tx1"/>
                        </w14:solidFill>
                      </w14:textFill>
                    </w:rPr>
                    <w:t>七</w:t>
                  </w:r>
                  <w:r>
                    <w:rPr>
                      <w:color w:val="000000" w:themeColor="text1"/>
                      <w:szCs w:val="21"/>
                      <w14:textFill>
                        <w14:solidFill>
                          <w14:schemeClr w14:val="tx1"/>
                        </w14:solidFill>
                      </w14:textFill>
                    </w:rPr>
                    <w:t>）优化含VOCs原辅材料和产品结构。严格控制生产和使用高VOCs含量涂料、油墨、</w:t>
                  </w:r>
                  <w:r>
                    <w:rPr>
                      <w:rFonts w:hint="eastAsia"/>
                      <w:color w:val="000000" w:themeColor="text1"/>
                      <w:szCs w:val="21"/>
                      <w:lang w:eastAsia="zh-CN"/>
                      <w14:textFill>
                        <w14:solidFill>
                          <w14:schemeClr w14:val="tx1"/>
                        </w14:solidFill>
                      </w14:textFill>
                    </w:rPr>
                    <w:t>胶黏剂</w:t>
                  </w:r>
                  <w:r>
                    <w:rPr>
                      <w:color w:val="000000" w:themeColor="text1"/>
                      <w:szCs w:val="21"/>
                      <w14:textFill>
                        <w14:solidFill>
                          <w14:schemeClr w14:val="tx1"/>
                        </w14:solidFill>
                      </w14:textFill>
                    </w:rPr>
                    <w:t>、清洗剂等建设项目，提高低</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无</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VOCs含量产品比重。实施源头替代工程，加大工业涂装、包装印刷和电子行业低</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无</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VOCs含量原辅材料替代力度。室外构筑物防护和城市道路交通标志推广使用低</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无</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VOCs含量涂料。在生产、销售、进口、使用等环节严格执行VOCs含量限值标准。</w:t>
                  </w:r>
                </w:p>
              </w:tc>
            </w:tr>
            <w:tr w14:paraId="41E877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184" w:type="pct"/>
                  <w:noWrap w:val="0"/>
                  <w:vAlign w:val="center"/>
                </w:tcPr>
                <w:p w14:paraId="1AA57291">
                  <w:pPr>
                    <w:pStyle w:val="55"/>
                    <w:spacing w:line="240" w:lineRule="auto"/>
                    <w:ind w:firstLine="0"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《福建省大气污</w:t>
                  </w:r>
                  <w:r>
                    <w:rPr>
                      <w:rFonts w:hint="eastAsia"/>
                      <w:color w:val="000000" w:themeColor="text1"/>
                      <w:szCs w:val="21"/>
                      <w14:textFill>
                        <w14:solidFill>
                          <w14:schemeClr w14:val="tx1"/>
                        </w14:solidFill>
                      </w14:textFill>
                    </w:rPr>
                    <w:t>染</w:t>
                  </w:r>
                  <w:r>
                    <w:rPr>
                      <w:color w:val="000000" w:themeColor="text1"/>
                      <w:szCs w:val="21"/>
                      <w14:textFill>
                        <w14:solidFill>
                          <w14:schemeClr w14:val="tx1"/>
                        </w14:solidFill>
                      </w14:textFill>
                    </w:rPr>
                    <w:t>防治行动计划实施细则》</w:t>
                  </w:r>
                </w:p>
              </w:tc>
              <w:tc>
                <w:tcPr>
                  <w:tcW w:w="3816" w:type="pct"/>
                  <w:noWrap w:val="0"/>
                  <w:vAlign w:val="top"/>
                </w:tcPr>
                <w:p w14:paraId="6AFB2F26">
                  <w:pPr>
                    <w:pStyle w:val="55"/>
                    <w:spacing w:line="240" w:lineRule="auto"/>
                    <w:ind w:firstLine="0"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（一）加大综合治理力度，减少多污染物排放</w:t>
                  </w:r>
                </w:p>
                <w:p w14:paraId="1A4DB67E">
                  <w:pPr>
                    <w:pStyle w:val="55"/>
                    <w:spacing w:line="240" w:lineRule="auto"/>
                    <w:ind w:firstLine="0"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1.加强工业企业大气污染综合治理。</w:t>
                  </w:r>
                </w:p>
                <w:p w14:paraId="23E5F6CB">
                  <w:pPr>
                    <w:pStyle w:val="55"/>
                    <w:spacing w:line="240" w:lineRule="auto"/>
                    <w:ind w:firstLine="0"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推进挥发性有机物综合治理。按照国家部署，在包装印刷、表面涂装、石化、有机化工等行业实施挥发性有机物综合整治，……鼓励生产、销售和使用低毒、低挥发性有机溶剂。</w:t>
                  </w:r>
                </w:p>
              </w:tc>
            </w:tr>
            <w:tr w14:paraId="21709C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1184" w:type="pct"/>
                  <w:noWrap w:val="0"/>
                  <w:vAlign w:val="center"/>
                </w:tcPr>
                <w:p w14:paraId="786F4717">
                  <w:pPr>
                    <w:pStyle w:val="55"/>
                    <w:spacing w:line="240" w:lineRule="auto"/>
                    <w:ind w:firstLine="0" w:firstLineChars="0"/>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《福州市大气污染防治行动计划实施细则》</w:t>
                  </w:r>
                </w:p>
              </w:tc>
              <w:tc>
                <w:tcPr>
                  <w:tcW w:w="3816" w:type="pct"/>
                  <w:noWrap w:val="0"/>
                  <w:vAlign w:val="top"/>
                </w:tcPr>
                <w:p w14:paraId="3F8079E6">
                  <w:pPr>
                    <w:pStyle w:val="55"/>
                    <w:spacing w:line="240" w:lineRule="auto"/>
                    <w:ind w:firstLine="0"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（一）加大综合治理力度，减少多污染物排放</w:t>
                  </w:r>
                </w:p>
                <w:p w14:paraId="360E9992">
                  <w:pPr>
                    <w:pStyle w:val="55"/>
                    <w:spacing w:line="240" w:lineRule="auto"/>
                    <w:ind w:firstLine="0"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1.加强工业企业大气污染综合治理。</w:t>
                  </w:r>
                </w:p>
                <w:p w14:paraId="3B86A246">
                  <w:pPr>
                    <w:pStyle w:val="55"/>
                    <w:spacing w:line="240" w:lineRule="auto"/>
                    <w:ind w:firstLine="0"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推进挥发性有机物综合治理。按照国家部署，在包装印刷、表面涂装、石化、有机化工等行业实施挥发性有机物综合整治，……鼓励生产、销售和使用低毒、低挥发性有机溶剂。</w:t>
                  </w:r>
                </w:p>
              </w:tc>
            </w:tr>
          </w:tbl>
          <w:p w14:paraId="152A38C6">
            <w:pPr>
              <w:pStyle w:val="55"/>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本项目</w:t>
            </w:r>
            <w:r>
              <w:rPr>
                <w:rFonts w:hint="eastAsia"/>
                <w:color w:val="000000" w:themeColor="text1"/>
                <w:sz w:val="24"/>
                <w:szCs w:val="24"/>
                <w14:textFill>
                  <w14:solidFill>
                    <w14:schemeClr w14:val="tx1"/>
                  </w14:solidFill>
                </w14:textFill>
              </w:rPr>
              <w:t>边角料、次品破碎</w:t>
            </w:r>
            <w:r>
              <w:rPr>
                <w:color w:val="000000" w:themeColor="text1"/>
                <w:sz w:val="24"/>
                <w:szCs w:val="24"/>
                <w14:textFill>
                  <w14:solidFill>
                    <w14:schemeClr w14:val="tx1"/>
                  </w14:solidFill>
                </w14:textFill>
              </w:rPr>
              <w:t>工序配套除尘设施；HDPE</w:t>
            </w:r>
            <w:r>
              <w:rPr>
                <w:rFonts w:hint="eastAsia"/>
                <w:color w:val="000000" w:themeColor="text1"/>
                <w:sz w:val="24"/>
                <w:szCs w:val="24"/>
                <w14:textFill>
                  <w14:solidFill>
                    <w14:schemeClr w14:val="tx1"/>
                  </w14:solidFill>
                </w14:textFill>
              </w:rPr>
              <w:t>挥发性低，</w:t>
            </w:r>
            <w:r>
              <w:rPr>
                <w:rFonts w:hint="eastAsia"/>
                <w:color w:val="000000" w:themeColor="text1"/>
                <w:sz w:val="24"/>
                <w:szCs w:val="24"/>
                <w:lang w:eastAsia="zh-CN"/>
                <w14:textFill>
                  <w14:solidFill>
                    <w14:schemeClr w14:val="tx1"/>
                  </w14:solidFill>
                </w14:textFill>
              </w:rPr>
              <w:t>熔融</w:t>
            </w:r>
            <w:r>
              <w:rPr>
                <w:rFonts w:hint="eastAsia"/>
                <w:color w:val="000000" w:themeColor="text1"/>
                <w:sz w:val="24"/>
                <w:szCs w:val="24"/>
                <w14:textFill>
                  <w14:solidFill>
                    <w14:schemeClr w14:val="tx1"/>
                  </w14:solidFill>
                </w14:textFill>
              </w:rPr>
              <w:t>废气</w:t>
            </w:r>
            <w:r>
              <w:rPr>
                <w:color w:val="000000" w:themeColor="text1"/>
                <w:sz w:val="24"/>
                <w:szCs w:val="24"/>
                <w14:textFill>
                  <w14:solidFill>
                    <w14:schemeClr w14:val="tx1"/>
                  </w14:solidFill>
                </w14:textFill>
              </w:rPr>
              <w:t>配套有机废气处理设施，其净化效率不低于80%，符合大气污染防治要求。因此，本项目与国家及地方《大气污染防治行动计划》及</w:t>
            </w:r>
            <w:r>
              <w:rPr>
                <w:rFonts w:hint="eastAsia"/>
                <w:color w:val="000000" w:themeColor="text1"/>
                <w:sz w:val="24"/>
                <w:szCs w:val="24"/>
                <w:lang w:eastAsia="zh-CN"/>
                <w14:textFill>
                  <w14:solidFill>
                    <w14:schemeClr w14:val="tx1"/>
                  </w14:solidFill>
                </w14:textFill>
              </w:rPr>
              <w:t>其</w:t>
            </w:r>
            <w:r>
              <w:rPr>
                <w:color w:val="000000" w:themeColor="text1"/>
                <w:sz w:val="24"/>
                <w:szCs w:val="24"/>
                <w14:textFill>
                  <w14:solidFill>
                    <w14:schemeClr w14:val="tx1"/>
                  </w14:solidFill>
                </w14:textFill>
              </w:rPr>
              <w:t>实施细则相符。</w:t>
            </w:r>
          </w:p>
          <w:p w14:paraId="6F473FA9">
            <w:pPr>
              <w:pStyle w:val="55"/>
              <w:numPr>
                <w:ilvl w:val="0"/>
                <w:numId w:val="4"/>
              </w:numPr>
              <w:ind w:firstLine="422"/>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与挥发性有机物污染防治相关政策符合性分析</w:t>
            </w:r>
          </w:p>
          <w:p w14:paraId="1E4B38C4">
            <w:pPr>
              <w:pStyle w:val="55"/>
              <w:rPr>
                <w:color w:val="auto"/>
                <w:sz w:val="24"/>
                <w:szCs w:val="24"/>
              </w:rPr>
            </w:pPr>
            <w:r>
              <w:rPr>
                <w:rFonts w:hint="default" w:ascii="Times New Roman" w:hAnsi="Times New Roman" w:eastAsia="宋体" w:cs="Times New Roman"/>
                <w:color w:val="auto"/>
                <w:kern w:val="2"/>
                <w:sz w:val="24"/>
                <w:szCs w:val="24"/>
                <w:lang w:val="en-US" w:eastAsia="zh-CN" w:bidi="ar-SA"/>
              </w:rPr>
              <w:t>20</w:t>
            </w:r>
            <w:r>
              <w:rPr>
                <w:rFonts w:hint="eastAsia" w:cs="Times New Roman"/>
                <w:color w:val="auto"/>
                <w:kern w:val="2"/>
                <w:sz w:val="24"/>
                <w:szCs w:val="24"/>
                <w:lang w:val="en-US" w:eastAsia="zh-CN" w:bidi="ar-SA"/>
              </w:rPr>
              <w:t>17</w:t>
            </w:r>
            <w:r>
              <w:rPr>
                <w:rFonts w:hint="default" w:ascii="Times New Roman" w:hAnsi="Times New Roman" w:eastAsia="宋体" w:cs="Times New Roman"/>
                <w:color w:val="auto"/>
                <w:kern w:val="2"/>
                <w:sz w:val="24"/>
                <w:szCs w:val="24"/>
                <w:lang w:val="en-US" w:eastAsia="zh-CN" w:bidi="ar-SA"/>
              </w:rPr>
              <w:t>年</w:t>
            </w:r>
            <w:r>
              <w:rPr>
                <w:rFonts w:hint="eastAsia" w:cs="Times New Roman"/>
                <w:color w:val="auto"/>
                <w:kern w:val="2"/>
                <w:sz w:val="24"/>
                <w:szCs w:val="24"/>
                <w:lang w:val="en-US" w:eastAsia="zh-CN" w:bidi="ar-SA"/>
              </w:rPr>
              <w:t>6</w:t>
            </w:r>
            <w:r>
              <w:rPr>
                <w:rFonts w:hint="default" w:ascii="Times New Roman" w:hAnsi="Times New Roman" w:eastAsia="宋体" w:cs="Times New Roman"/>
                <w:color w:val="auto"/>
                <w:kern w:val="2"/>
                <w:sz w:val="24"/>
                <w:szCs w:val="24"/>
                <w:lang w:val="en-US" w:eastAsia="zh-CN" w:bidi="ar-SA"/>
              </w:rPr>
              <w:t>月</w:t>
            </w:r>
            <w:r>
              <w:rPr>
                <w:rFonts w:hint="eastAsia" w:cs="Times New Roman"/>
                <w:color w:val="auto"/>
                <w:kern w:val="2"/>
                <w:sz w:val="24"/>
                <w:szCs w:val="24"/>
                <w:lang w:val="en-US" w:eastAsia="zh-CN" w:bidi="ar-SA"/>
              </w:rPr>
              <w:t>22</w:t>
            </w:r>
            <w:r>
              <w:rPr>
                <w:rFonts w:hint="default" w:ascii="Times New Roman" w:hAnsi="Times New Roman" w:eastAsia="宋体" w:cs="Times New Roman"/>
                <w:color w:val="auto"/>
                <w:kern w:val="2"/>
                <w:sz w:val="24"/>
                <w:szCs w:val="24"/>
                <w:lang w:val="en-US" w:eastAsia="zh-CN" w:bidi="ar-SA"/>
              </w:rPr>
              <w:t>日，</w:t>
            </w:r>
            <w:r>
              <w:rPr>
                <w:rFonts w:hint="eastAsia" w:cs="Times New Roman"/>
                <w:color w:val="auto"/>
                <w:kern w:val="2"/>
                <w:sz w:val="24"/>
                <w:szCs w:val="24"/>
                <w:lang w:val="en-US" w:eastAsia="zh-CN" w:bidi="ar-SA"/>
              </w:rPr>
              <w:t>福建省环境保护厅</w:t>
            </w:r>
            <w:r>
              <w:rPr>
                <w:rFonts w:hint="default" w:ascii="Times New Roman" w:hAnsi="Times New Roman" w:eastAsia="宋体" w:cs="Times New Roman"/>
                <w:color w:val="auto"/>
                <w:kern w:val="2"/>
                <w:sz w:val="24"/>
                <w:szCs w:val="24"/>
                <w:lang w:val="en-US" w:eastAsia="zh-CN" w:bidi="ar-SA"/>
              </w:rPr>
              <w:t>公开发布了</w:t>
            </w:r>
            <w:r>
              <w:rPr>
                <w:rFonts w:hint="eastAsia"/>
                <w:color w:val="auto"/>
                <w:sz w:val="24"/>
                <w:szCs w:val="24"/>
              </w:rPr>
              <w:t>《福建省重点行业挥发性有机物污染防治工作方案》</w:t>
            </w:r>
            <w:r>
              <w:rPr>
                <w:rFonts w:hint="eastAsia" w:ascii="宋体" w:hAnsi="宋体" w:eastAsia="宋体" w:cs="宋体"/>
                <w:color w:val="auto"/>
                <w:sz w:val="24"/>
                <w:szCs w:val="24"/>
              </w:rPr>
              <w:t>(</w:t>
            </w:r>
            <w:r>
              <w:rPr>
                <w:rFonts w:hint="eastAsia"/>
                <w:color w:val="auto"/>
                <w:sz w:val="24"/>
                <w:szCs w:val="24"/>
              </w:rPr>
              <w:t>闽环保大气〔2017〕6号</w:t>
            </w:r>
            <w:r>
              <w:rPr>
                <w:rFonts w:hint="eastAsia" w:ascii="宋体" w:hAnsi="宋体" w:eastAsia="宋体" w:cs="宋体"/>
                <w:color w:val="auto"/>
                <w:sz w:val="24"/>
                <w:szCs w:val="24"/>
              </w:rPr>
              <w:t>)</w:t>
            </w:r>
            <w:r>
              <w:rPr>
                <w:rFonts w:hint="eastAsia"/>
                <w:color w:val="auto"/>
                <w:sz w:val="24"/>
                <w:lang w:eastAsia="zh-CN"/>
              </w:rPr>
              <w:t>及</w:t>
            </w:r>
            <w:r>
              <w:rPr>
                <w:rFonts w:hint="eastAsia"/>
                <w:color w:val="auto"/>
                <w:sz w:val="24"/>
                <w:szCs w:val="24"/>
              </w:rPr>
              <w:t>《福建省重点行业挥发性有机物排放控制要求</w:t>
            </w:r>
            <w:r>
              <w:rPr>
                <w:rFonts w:hint="default" w:ascii="Times New Roman" w:hAnsi="Times New Roman" w:cs="Times New Roman"/>
                <w:color w:val="auto"/>
                <w:sz w:val="24"/>
                <w:szCs w:val="24"/>
              </w:rPr>
              <w:t>(</w:t>
            </w:r>
            <w:r>
              <w:rPr>
                <w:rFonts w:hint="eastAsia"/>
                <w:color w:val="auto"/>
                <w:sz w:val="24"/>
                <w:szCs w:val="24"/>
              </w:rPr>
              <w:t>试行</w:t>
            </w:r>
            <w:r>
              <w:rPr>
                <w:rFonts w:hint="default" w:ascii="Times New Roman" w:hAnsi="Times New Roman" w:cs="Times New Roman"/>
                <w:color w:val="auto"/>
                <w:sz w:val="24"/>
                <w:szCs w:val="24"/>
              </w:rPr>
              <w:t>)</w:t>
            </w:r>
            <w:r>
              <w:rPr>
                <w:rFonts w:hint="eastAsia"/>
                <w:color w:val="auto"/>
                <w:sz w:val="24"/>
                <w:szCs w:val="24"/>
              </w:rPr>
              <w:t>的通知》</w:t>
            </w:r>
            <w:r>
              <w:rPr>
                <w:rFonts w:hint="eastAsia" w:ascii="宋体" w:hAnsi="宋体" w:eastAsia="宋体" w:cs="宋体"/>
                <w:color w:val="auto"/>
                <w:sz w:val="24"/>
                <w:szCs w:val="24"/>
              </w:rPr>
              <w:t>(</w:t>
            </w:r>
            <w:r>
              <w:rPr>
                <w:rFonts w:hint="eastAsia"/>
                <w:color w:val="auto"/>
                <w:sz w:val="24"/>
                <w:szCs w:val="24"/>
              </w:rPr>
              <w:t>闽环保大气〔2017〕9号</w:t>
            </w:r>
            <w:r>
              <w:rPr>
                <w:rFonts w:hint="eastAsia" w:ascii="宋体" w:hAnsi="宋体" w:eastAsia="宋体" w:cs="宋体"/>
                <w:color w:val="auto"/>
                <w:sz w:val="24"/>
                <w:szCs w:val="24"/>
              </w:rPr>
              <w:t>)</w:t>
            </w:r>
            <w:r>
              <w:rPr>
                <w:rFonts w:hint="eastAsia"/>
                <w:color w:val="auto"/>
                <w:sz w:val="24"/>
                <w:szCs w:val="24"/>
              </w:rPr>
              <w:t>；</w:t>
            </w:r>
            <w:r>
              <w:rPr>
                <w:rFonts w:hint="default" w:ascii="Times New Roman" w:hAnsi="Times New Roman" w:eastAsia="宋体" w:cs="Times New Roman"/>
                <w:color w:val="auto"/>
                <w:kern w:val="2"/>
                <w:sz w:val="24"/>
                <w:szCs w:val="24"/>
                <w:lang w:val="en-US" w:eastAsia="zh-CN" w:bidi="ar-SA"/>
              </w:rPr>
              <w:t>20</w:t>
            </w:r>
            <w:r>
              <w:rPr>
                <w:rFonts w:hint="eastAsia" w:cs="Times New Roman"/>
                <w:color w:val="auto"/>
                <w:kern w:val="2"/>
                <w:sz w:val="24"/>
                <w:szCs w:val="24"/>
                <w:lang w:val="en-US" w:eastAsia="zh-CN" w:bidi="ar-SA"/>
              </w:rPr>
              <w:t>21</w:t>
            </w:r>
            <w:r>
              <w:rPr>
                <w:rFonts w:hint="default" w:ascii="Times New Roman" w:hAnsi="Times New Roman" w:eastAsia="宋体" w:cs="Times New Roman"/>
                <w:color w:val="auto"/>
                <w:kern w:val="2"/>
                <w:sz w:val="24"/>
                <w:szCs w:val="24"/>
                <w:lang w:val="en-US" w:eastAsia="zh-CN" w:bidi="ar-SA"/>
              </w:rPr>
              <w:t>年</w:t>
            </w:r>
            <w:r>
              <w:rPr>
                <w:rFonts w:hint="eastAsia" w:cs="Times New Roman"/>
                <w:color w:val="auto"/>
                <w:kern w:val="2"/>
                <w:sz w:val="24"/>
                <w:szCs w:val="24"/>
                <w:lang w:val="en-US" w:eastAsia="zh-CN" w:bidi="ar-SA"/>
              </w:rPr>
              <w:t>5</w:t>
            </w:r>
            <w:r>
              <w:rPr>
                <w:rFonts w:hint="default" w:ascii="Times New Roman" w:hAnsi="Times New Roman" w:eastAsia="宋体" w:cs="Times New Roman"/>
                <w:color w:val="auto"/>
                <w:kern w:val="2"/>
                <w:sz w:val="24"/>
                <w:szCs w:val="24"/>
                <w:lang w:val="en-US" w:eastAsia="zh-CN" w:bidi="ar-SA"/>
              </w:rPr>
              <w:t>月</w:t>
            </w:r>
            <w:r>
              <w:rPr>
                <w:rFonts w:hint="eastAsia" w:cs="Times New Roman"/>
                <w:color w:val="auto"/>
                <w:kern w:val="2"/>
                <w:sz w:val="24"/>
                <w:szCs w:val="24"/>
                <w:lang w:val="en-US" w:eastAsia="zh-CN" w:bidi="ar-SA"/>
              </w:rPr>
              <w:t>31</w:t>
            </w:r>
            <w:r>
              <w:rPr>
                <w:rFonts w:hint="default" w:ascii="Times New Roman" w:hAnsi="Times New Roman" w:eastAsia="宋体" w:cs="Times New Roman"/>
                <w:color w:val="auto"/>
                <w:kern w:val="2"/>
                <w:sz w:val="24"/>
                <w:szCs w:val="24"/>
                <w:lang w:val="en-US" w:eastAsia="zh-CN" w:bidi="ar-SA"/>
              </w:rPr>
              <w:t>日，</w:t>
            </w:r>
            <w:r>
              <w:rPr>
                <w:rFonts w:hint="eastAsia" w:cs="Times New Roman"/>
                <w:color w:val="auto"/>
                <w:kern w:val="2"/>
                <w:sz w:val="24"/>
                <w:szCs w:val="24"/>
                <w:lang w:val="en-US" w:eastAsia="zh-CN" w:bidi="ar-SA"/>
              </w:rPr>
              <w:t>福州市环境保护委员会办公室</w:t>
            </w:r>
            <w:r>
              <w:rPr>
                <w:rFonts w:hint="default" w:ascii="Times New Roman" w:hAnsi="Times New Roman" w:eastAsia="宋体" w:cs="Times New Roman"/>
                <w:color w:val="auto"/>
                <w:kern w:val="2"/>
                <w:sz w:val="24"/>
                <w:szCs w:val="24"/>
                <w:lang w:val="en-US" w:eastAsia="zh-CN" w:bidi="ar-SA"/>
              </w:rPr>
              <w:t>公开发布了</w:t>
            </w:r>
            <w:r>
              <w:rPr>
                <w:rFonts w:hint="eastAsia"/>
                <w:color w:val="auto"/>
                <w:sz w:val="24"/>
                <w:szCs w:val="24"/>
              </w:rPr>
              <w:t>《2021年福州市提升空气质量行动计划》的通知（榕环委办〔2021〕23号）。</w:t>
            </w:r>
          </w:p>
          <w:p w14:paraId="21130EDC">
            <w:pPr>
              <w:pStyle w:val="106"/>
              <w:keepNext w:val="0"/>
              <w:keepLines w:val="0"/>
              <w:pageBreakBefore w:val="0"/>
              <w:widowControl w:val="0"/>
              <w:kinsoku/>
              <w:wordWrap/>
              <w:overflowPunct/>
              <w:topLinePunct w:val="0"/>
              <w:autoSpaceDE/>
              <w:autoSpaceDN/>
              <w:bidi w:val="0"/>
              <w:adjustRightInd/>
              <w:snapToGrid/>
              <w:spacing w:before="157" w:beforeLines="50" w:line="240" w:lineRule="auto"/>
              <w:textAlignment w:val="auto"/>
              <w:rPr>
                <w:rFonts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 xml:space="preserve">表1.1-8  </w:t>
            </w:r>
            <w:r>
              <w:rPr>
                <w:rFonts w:ascii="Times New Roman" w:hAnsi="Times New Roman" w:cs="Times New Roman"/>
                <w:color w:val="000000" w:themeColor="text1"/>
                <w:sz w:val="24"/>
                <w:szCs w:val="24"/>
                <w14:textFill>
                  <w14:solidFill>
                    <w14:schemeClr w14:val="tx1"/>
                  </w14:solidFill>
                </w14:textFill>
              </w:rPr>
              <w:t>挥发性有机物污染防治政策相关内容</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709"/>
              <w:gridCol w:w="1588"/>
              <w:gridCol w:w="4679"/>
            </w:tblGrid>
            <w:tr w14:paraId="776910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508" w:type="pct"/>
                  <w:noWrap w:val="0"/>
                  <w:vAlign w:val="center"/>
                </w:tcPr>
                <w:p w14:paraId="29190158">
                  <w:pPr>
                    <w:pStyle w:val="73"/>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1138" w:type="pct"/>
                  <w:noWrap w:val="0"/>
                  <w:vAlign w:val="center"/>
                </w:tcPr>
                <w:p w14:paraId="1192B2BF">
                  <w:pPr>
                    <w:pStyle w:val="73"/>
                    <w:rPr>
                      <w:color w:val="000000" w:themeColor="text1"/>
                      <w14:textFill>
                        <w14:solidFill>
                          <w14:schemeClr w14:val="tx1"/>
                        </w14:solidFill>
                      </w14:textFill>
                    </w:rPr>
                  </w:pPr>
                  <w:r>
                    <w:rPr>
                      <w:color w:val="000000" w:themeColor="text1"/>
                      <w14:textFill>
                        <w14:solidFill>
                          <w14:schemeClr w14:val="tx1"/>
                        </w14:solidFill>
                      </w14:textFill>
                    </w:rPr>
                    <w:t>相关文件名称</w:t>
                  </w:r>
                </w:p>
              </w:tc>
              <w:tc>
                <w:tcPr>
                  <w:tcW w:w="3352" w:type="pct"/>
                  <w:noWrap w:val="0"/>
                  <w:vAlign w:val="center"/>
                </w:tcPr>
                <w:p w14:paraId="4B6EC915">
                  <w:pPr>
                    <w:pStyle w:val="73"/>
                    <w:rPr>
                      <w:color w:val="000000" w:themeColor="text1"/>
                      <w14:textFill>
                        <w14:solidFill>
                          <w14:schemeClr w14:val="tx1"/>
                        </w14:solidFill>
                      </w14:textFill>
                    </w:rPr>
                  </w:pPr>
                  <w:r>
                    <w:rPr>
                      <w:color w:val="000000" w:themeColor="text1"/>
                      <w14:textFill>
                        <w14:solidFill>
                          <w14:schemeClr w14:val="tx1"/>
                        </w14:solidFill>
                      </w14:textFill>
                    </w:rPr>
                    <w:t>相关内容</w:t>
                  </w:r>
                </w:p>
              </w:tc>
            </w:tr>
            <w:tr w14:paraId="2E2590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508" w:type="pct"/>
                  <w:noWrap w:val="0"/>
                  <w:vAlign w:val="center"/>
                </w:tcPr>
                <w:p w14:paraId="3FE2C9FB">
                  <w:pPr>
                    <w:pStyle w:val="73"/>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1138" w:type="pct"/>
                  <w:noWrap w:val="0"/>
                  <w:vAlign w:val="center"/>
                </w:tcPr>
                <w:p w14:paraId="71FB27D2">
                  <w:pPr>
                    <w:pStyle w:val="74"/>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福建省重点行业挥发性有机物污染防治工作方案</w:t>
                  </w:r>
                  <w:r>
                    <w:rPr>
                      <w:rFonts w:hint="eastAsia"/>
                      <w:color w:val="000000" w:themeColor="text1"/>
                      <w14:textFill>
                        <w14:solidFill>
                          <w14:schemeClr w14:val="tx1"/>
                        </w14:solidFill>
                      </w14:textFill>
                    </w:rPr>
                    <w:t>》</w:t>
                  </w:r>
                </w:p>
              </w:tc>
              <w:tc>
                <w:tcPr>
                  <w:tcW w:w="3352" w:type="pct"/>
                  <w:noWrap w:val="0"/>
                  <w:vAlign w:val="center"/>
                </w:tcPr>
                <w:p w14:paraId="2E59A631">
                  <w:pPr>
                    <w:pStyle w:val="74"/>
                    <w:jc w:val="both"/>
                    <w:rPr>
                      <w:color w:val="000000" w:themeColor="text1"/>
                      <w14:textFill>
                        <w14:solidFill>
                          <w14:schemeClr w14:val="tx1"/>
                        </w14:solidFill>
                      </w14:textFill>
                    </w:rPr>
                  </w:pPr>
                  <w:r>
                    <w:rPr>
                      <w:color w:val="000000" w:themeColor="text1"/>
                      <w14:textFill>
                        <w14:solidFill>
                          <w14:schemeClr w14:val="tx1"/>
                        </w14:solidFill>
                      </w14:textFill>
                    </w:rPr>
                    <w:t>二、主要任务</w:t>
                  </w:r>
                </w:p>
                <w:p w14:paraId="7EC5B541">
                  <w:pPr>
                    <w:pStyle w:val="74"/>
                    <w:jc w:val="both"/>
                    <w:rPr>
                      <w:color w:val="000000" w:themeColor="text1"/>
                      <w14:textFill>
                        <w14:solidFill>
                          <w14:schemeClr w14:val="tx1"/>
                        </w14:solidFill>
                      </w14:textFill>
                    </w:rPr>
                  </w:pPr>
                  <w:r>
                    <w:rPr>
                      <w:color w:val="000000" w:themeColor="text1"/>
                      <w14:textFill>
                        <w14:solidFill>
                          <w14:schemeClr w14:val="tx1"/>
                        </w14:solidFill>
                      </w14:textFill>
                    </w:rPr>
                    <w:t>（一）严格环境准入</w:t>
                  </w:r>
                </w:p>
                <w:p w14:paraId="0B9D0B41">
                  <w:pPr>
                    <w:pStyle w:val="74"/>
                    <w:jc w:val="both"/>
                    <w:rPr>
                      <w:color w:val="000000" w:themeColor="text1"/>
                      <w14:textFill>
                        <w14:solidFill>
                          <w14:schemeClr w14:val="tx1"/>
                        </w14:solidFill>
                      </w14:textFill>
                    </w:rPr>
                  </w:pPr>
                  <w:r>
                    <w:rPr>
                      <w:color w:val="000000" w:themeColor="text1"/>
                      <w14:textFill>
                        <w14:solidFill>
                          <w14:schemeClr w14:val="tx1"/>
                        </w14:solidFill>
                      </w14:textFill>
                    </w:rPr>
                    <w:t>进一步提高行业准入门槛，严格控制新增污染物排放量。严格限制石化、化工、包装印刷等高VOCs排放建设项目。新改扩建项目要使用</w:t>
                  </w:r>
                  <w:r>
                    <w:rPr>
                      <w:b/>
                      <w:bCs/>
                      <w:color w:val="000000" w:themeColor="text1"/>
                      <w14:textFill>
                        <w14:solidFill>
                          <w14:schemeClr w14:val="tx1"/>
                        </w14:solidFill>
                      </w14:textFill>
                    </w:rPr>
                    <w:t>低VOCs含量</w:t>
                  </w:r>
                  <w:r>
                    <w:rPr>
                      <w:color w:val="000000" w:themeColor="text1"/>
                      <w14:textFill>
                        <w14:solidFill>
                          <w14:schemeClr w14:val="tx1"/>
                        </w14:solidFill>
                      </w14:textFill>
                    </w:rPr>
                    <w:t>原辅材料，采取密闭措施，加强废气收集，配套安装高效治理设施，减少污染排放。淘汰国家及地方明令禁止的落后工艺和设备。</w:t>
                  </w:r>
                </w:p>
                <w:p w14:paraId="52F6257D">
                  <w:pPr>
                    <w:pStyle w:val="74"/>
                    <w:jc w:val="both"/>
                    <w:rPr>
                      <w:color w:val="000000" w:themeColor="text1"/>
                      <w14:textFill>
                        <w14:solidFill>
                          <w14:schemeClr w14:val="tx1"/>
                        </w14:solidFill>
                      </w14:textFill>
                    </w:rPr>
                  </w:pPr>
                  <w:r>
                    <w:rPr>
                      <w:color w:val="000000" w:themeColor="text1"/>
                      <w14:textFill>
                        <w14:solidFill>
                          <w14:schemeClr w14:val="tx1"/>
                        </w14:solidFill>
                      </w14:textFill>
                    </w:rPr>
                    <w:t>（二）大力推进清洁生产</w:t>
                  </w:r>
                </w:p>
                <w:p w14:paraId="318F0ECE">
                  <w:pPr>
                    <w:pStyle w:val="74"/>
                    <w:jc w:val="both"/>
                    <w:rPr>
                      <w:color w:val="000000" w:themeColor="text1"/>
                      <w14:textFill>
                        <w14:solidFill>
                          <w14:schemeClr w14:val="tx1"/>
                        </w14:solidFill>
                      </w14:textFill>
                    </w:rPr>
                  </w:pPr>
                  <w:r>
                    <w:rPr>
                      <w:color w:val="000000" w:themeColor="text1"/>
                      <w14:textFill>
                        <w14:solidFill>
                          <w14:schemeClr w14:val="tx1"/>
                        </w14:solidFill>
                      </w14:textFill>
                    </w:rPr>
                    <w:t>……在重点行业大力倡导环境标志产品生产及使用，尤其是水性涂料的生产和使用，从源头控制VOCs排放。</w:t>
                  </w:r>
                </w:p>
                <w:p w14:paraId="066135FA">
                  <w:pPr>
                    <w:pStyle w:val="74"/>
                    <w:jc w:val="both"/>
                    <w:rPr>
                      <w:color w:val="000000" w:themeColor="text1"/>
                      <w14:textFill>
                        <w14:solidFill>
                          <w14:schemeClr w14:val="tx1"/>
                        </w14:solidFill>
                      </w14:textFill>
                    </w:rPr>
                  </w:pPr>
                  <w:r>
                    <w:rPr>
                      <w:color w:val="000000" w:themeColor="text1"/>
                      <w14:textFill>
                        <w14:solidFill>
                          <w14:schemeClr w14:val="tx1"/>
                        </w14:solidFill>
                      </w14:textFill>
                    </w:rPr>
                    <w:t>（三）加快推进重点行业VOCs专项整治</w:t>
                  </w:r>
                </w:p>
                <w:p w14:paraId="014A2C02">
                  <w:pPr>
                    <w:pStyle w:val="74"/>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（2）加强化工企业污染综合整治</w:t>
                  </w:r>
                </w:p>
                <w:p w14:paraId="4AFBD146">
                  <w:pPr>
                    <w:pStyle w:val="74"/>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提升有机化工（含有机化学原料、合成材料、日用化工、涂料、油墨、</w:t>
                  </w:r>
                  <w:r>
                    <w:rPr>
                      <w:rFonts w:hint="eastAsia"/>
                      <w:color w:val="000000" w:themeColor="text1"/>
                      <w:lang w:eastAsia="zh-CN"/>
                      <w14:textFill>
                        <w14:solidFill>
                          <w14:schemeClr w14:val="tx1"/>
                        </w14:solidFill>
                      </w14:textFill>
                    </w:rPr>
                    <w:t>胶黏剂</w:t>
                  </w:r>
                  <w:r>
                    <w:rPr>
                      <w:rFonts w:hint="eastAsia"/>
                      <w:color w:val="000000" w:themeColor="text1"/>
                      <w14:textFill>
                        <w14:solidFill>
                          <w14:schemeClr w14:val="tx1"/>
                        </w14:solidFill>
                      </w14:textFill>
                    </w:rPr>
                    <w:t>、染料、化学溶剂、试剂生产等）、医药化工、</w:t>
                  </w:r>
                  <w:r>
                    <w:rPr>
                      <w:rFonts w:hint="eastAsia"/>
                      <w:b/>
                      <w:bCs/>
                      <w:color w:val="000000" w:themeColor="text1"/>
                      <w14:textFill>
                        <w14:solidFill>
                          <w14:schemeClr w14:val="tx1"/>
                        </w14:solidFill>
                      </w14:textFill>
                    </w:rPr>
                    <w:t>塑料制品企业装备水平</w:t>
                  </w:r>
                  <w:r>
                    <w:rPr>
                      <w:rFonts w:hint="eastAsia"/>
                      <w:color w:val="000000" w:themeColor="text1"/>
                      <w14:textFill>
                        <w14:solidFill>
                          <w14:schemeClr w14:val="tx1"/>
                        </w14:solidFill>
                      </w14:textFill>
                    </w:rPr>
                    <w:t>，严格控制跑冒滴漏。原料、中间产品与成品应密闭储存，对于实际蒸汽压大于2.8千帕、容积大于100立方米的有机液体储罐，采用高效密封方式的浮顶罐或安装密闭排气系统进行净化处理。</w:t>
                  </w:r>
                  <w:r>
                    <w:rPr>
                      <w:rFonts w:hint="eastAsia"/>
                      <w:b/>
                      <w:bCs/>
                      <w:color w:val="000000" w:themeColor="text1"/>
                      <w14:textFill>
                        <w14:solidFill>
                          <w14:schemeClr w14:val="tx1"/>
                        </w14:solidFill>
                      </w14:textFill>
                    </w:rPr>
                    <w:t>排放VOCs的生产工序要在密闭空间或设备中实施，产生的含VOCs废气需进行净化处理，净化效率应不低于80%。</w:t>
                  </w:r>
                </w:p>
              </w:tc>
            </w:tr>
            <w:tr w14:paraId="6BAF1D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508" w:type="pct"/>
                  <w:noWrap w:val="0"/>
                  <w:vAlign w:val="center"/>
                </w:tcPr>
                <w:p w14:paraId="7EEEFAA6">
                  <w:pPr>
                    <w:pStyle w:val="73"/>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p>
              </w:tc>
              <w:tc>
                <w:tcPr>
                  <w:tcW w:w="1138" w:type="pct"/>
                  <w:noWrap w:val="0"/>
                  <w:vAlign w:val="center"/>
                </w:tcPr>
                <w:p w14:paraId="0F03CB07">
                  <w:pPr>
                    <w:pStyle w:val="74"/>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福建省重点行业挥发性有机物排放控制要求</w:t>
                  </w:r>
                  <w:r>
                    <w:rPr>
                      <w:rFonts w:hint="eastAsia"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试行</w:t>
                  </w:r>
                  <w:r>
                    <w:rPr>
                      <w:rFonts w:hint="eastAsia"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的通知</w:t>
                  </w:r>
                  <w:r>
                    <w:rPr>
                      <w:rFonts w:hint="eastAsia"/>
                      <w:color w:val="000000" w:themeColor="text1"/>
                      <w14:textFill>
                        <w14:solidFill>
                          <w14:schemeClr w14:val="tx1"/>
                        </w14:solidFill>
                      </w14:textFill>
                    </w:rPr>
                    <w:t>》</w:t>
                  </w:r>
                </w:p>
              </w:tc>
              <w:tc>
                <w:tcPr>
                  <w:tcW w:w="3352" w:type="pct"/>
                  <w:noWrap w:val="0"/>
                  <w:vAlign w:val="center"/>
                </w:tcPr>
                <w:p w14:paraId="22ED0EC9">
                  <w:pPr>
                    <w:pStyle w:val="74"/>
                    <w:jc w:val="both"/>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工艺过程控制要求</w:t>
                  </w:r>
                </w:p>
                <w:p w14:paraId="68745962">
                  <w:pPr>
                    <w:pStyle w:val="74"/>
                    <w:ind w:firstLine="42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含VOCs物料应储存于密闭容器中。盛装含VOCs物料的容器应存放于储存室内，或至少设置遮阳挡雨等设施；</w:t>
                  </w:r>
                </w:p>
                <w:p w14:paraId="002AC0FC">
                  <w:pPr>
                    <w:pStyle w:val="74"/>
                    <w:jc w:val="both"/>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其他控制要求</w:t>
                  </w:r>
                </w:p>
                <w:p w14:paraId="7791DEBF">
                  <w:pPr>
                    <w:pStyle w:val="74"/>
                    <w:ind w:firstLine="420" w:firstLineChars="200"/>
                    <w:jc w:val="both"/>
                    <w:rPr>
                      <w:color w:val="000000" w:themeColor="text1"/>
                      <w14:textFill>
                        <w14:solidFill>
                          <w14:schemeClr w14:val="tx1"/>
                        </w14:solidFill>
                      </w14:textFill>
                    </w:rPr>
                  </w:pPr>
                  <w:r>
                    <w:rPr>
                      <w:color w:val="000000" w:themeColor="text1"/>
                      <w14:textFill>
                        <w14:solidFill>
                          <w14:schemeClr w14:val="tx1"/>
                        </w14:solidFill>
                      </w14:textFill>
                    </w:rPr>
                    <w:t>产生废气的生产工艺和装置均设有收集系统和净化处理装置；所有产生VOCs的生产车间(或生产设施)均进行密闭，无露天和敞开式涂装、流平、干燥作业；不能完全密闭的部位设置软帘阻隔设施，减少废气排放；更换的VOCs吸附剂的废弃物等，产生后马上密闭，存放在不透气的容器内，贮存、转移期间保持密闭；密闭式局部收集的逸散的VOCs废气收集率达到80%以上；</w:t>
                  </w:r>
                </w:p>
              </w:tc>
            </w:tr>
            <w:tr w14:paraId="374057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508" w:type="pct"/>
                  <w:noWrap w:val="0"/>
                  <w:vAlign w:val="center"/>
                </w:tcPr>
                <w:p w14:paraId="63BF42F7">
                  <w:pPr>
                    <w:pStyle w:val="73"/>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1138" w:type="pct"/>
                  <w:noWrap w:val="0"/>
                  <w:vAlign w:val="center"/>
                </w:tcPr>
                <w:p w14:paraId="0EE0FDAA">
                  <w:pPr>
                    <w:pStyle w:val="74"/>
                    <w:rPr>
                      <w:color w:val="000000" w:themeColor="text1"/>
                      <w14:textFill>
                        <w14:solidFill>
                          <w14:schemeClr w14:val="tx1"/>
                        </w14:solidFill>
                      </w14:textFill>
                    </w:rPr>
                  </w:pPr>
                  <w:r>
                    <w:rPr>
                      <w:rFonts w:hint="eastAsia"/>
                      <w:color w:val="000000" w:themeColor="text1"/>
                      <w14:textFill>
                        <w14:solidFill>
                          <w14:schemeClr w14:val="tx1"/>
                        </w14:solidFill>
                      </w14:textFill>
                    </w:rPr>
                    <w:t>《2021年福州市提升空气质量行动计划的通知》</w:t>
                  </w:r>
                </w:p>
              </w:tc>
              <w:tc>
                <w:tcPr>
                  <w:tcW w:w="3352" w:type="pct"/>
                  <w:noWrap w:val="0"/>
                  <w:vAlign w:val="center"/>
                </w:tcPr>
                <w:p w14:paraId="1D046C41">
                  <w:pPr>
                    <w:pStyle w:val="74"/>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（2）严格涉VOCs建设项目环境影响评价审批，新、改、扩建涉VOCs排放项目，</w:t>
                  </w:r>
                  <w:r>
                    <w:rPr>
                      <w:rFonts w:hint="eastAsia"/>
                      <w:b/>
                      <w:bCs/>
                      <w:color w:val="000000" w:themeColor="text1"/>
                      <w14:textFill>
                        <w14:solidFill>
                          <w14:schemeClr w14:val="tx1"/>
                        </w14:solidFill>
                      </w14:textFill>
                    </w:rPr>
                    <w:t>应使用低</w:t>
                  </w:r>
                  <w:r>
                    <w:rPr>
                      <w:rFonts w:hint="eastAsia"/>
                      <w:b/>
                      <w:bCs/>
                      <w:color w:val="000000" w:themeColor="text1"/>
                      <w:lang w:eastAsia="zh-CN"/>
                      <w14:textFill>
                        <w14:solidFill>
                          <w14:schemeClr w14:val="tx1"/>
                        </w14:solidFill>
                      </w14:textFill>
                    </w:rPr>
                    <w:t>（无）</w:t>
                  </w:r>
                  <w:r>
                    <w:rPr>
                      <w:rFonts w:hint="eastAsia"/>
                      <w:b/>
                      <w:bCs/>
                      <w:color w:val="000000" w:themeColor="text1"/>
                      <w14:textFill>
                        <w14:solidFill>
                          <w14:schemeClr w14:val="tx1"/>
                        </w14:solidFill>
                      </w14:textFill>
                    </w:rPr>
                    <w:t>VOCs涂料、粘胶剂等，实施新建项目VOCs排放区域内倍量替代。</w:t>
                  </w:r>
                  <w:r>
                    <w:rPr>
                      <w:rFonts w:hint="eastAsia"/>
                      <w:color w:val="000000" w:themeColor="text1"/>
                      <w14:textFill>
                        <w14:solidFill>
                          <w14:schemeClr w14:val="tx1"/>
                        </w14:solidFill>
                      </w14:textFill>
                    </w:rPr>
                    <w:t>VOCs年排放量大于10吨的新建项目投运前应安装VOCs在线监控设备，并接入市生态云平台。</w:t>
                  </w:r>
                </w:p>
              </w:tc>
            </w:tr>
          </w:tbl>
          <w:p w14:paraId="18567E3B">
            <w:pPr>
              <w:pStyle w:val="55"/>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本项目</w:t>
            </w:r>
            <w:r>
              <w:rPr>
                <w:rFonts w:hint="eastAsia"/>
                <w:color w:val="000000" w:themeColor="text1"/>
                <w:sz w:val="24"/>
                <w:szCs w:val="24"/>
                <w14:textFill>
                  <w14:solidFill>
                    <w14:schemeClr w14:val="tx1"/>
                  </w14:solidFill>
                </w14:textFill>
              </w:rPr>
              <w:t>位于福州市闽侯县经济技术开发区二期南岭路1号3#楼，租赁</w:t>
            </w:r>
            <w:r>
              <w:rPr>
                <w:rFonts w:hint="eastAsia"/>
                <w:color w:val="000000" w:themeColor="text1"/>
                <w:sz w:val="24"/>
                <w:szCs w:val="24"/>
                <w:lang w:val="en-US" w:eastAsia="zh-CN"/>
                <w14:textFill>
                  <w14:solidFill>
                    <w14:schemeClr w14:val="tx1"/>
                  </w14:solidFill>
                </w14:textFill>
              </w:rPr>
              <w:t>元可</w:t>
            </w:r>
            <w:r>
              <w:rPr>
                <w:rFonts w:hint="eastAsia"/>
                <w:color w:val="000000" w:themeColor="text1"/>
                <w:sz w:val="24"/>
                <w:szCs w:val="24"/>
                <w14:textFill>
                  <w14:solidFill>
                    <w14:schemeClr w14:val="tx1"/>
                  </w14:solidFill>
                </w14:textFill>
              </w:rPr>
              <w:t>（福建）</w:t>
            </w:r>
            <w:r>
              <w:rPr>
                <w:rFonts w:hint="eastAsia"/>
                <w:color w:val="000000" w:themeColor="text1"/>
                <w:sz w:val="24"/>
                <w:szCs w:val="24"/>
                <w:lang w:val="en-US" w:eastAsia="zh-CN"/>
                <w14:textFill>
                  <w14:solidFill>
                    <w14:schemeClr w14:val="tx1"/>
                  </w14:solidFill>
                </w14:textFill>
              </w:rPr>
              <w:t>食品</w:t>
            </w:r>
            <w:r>
              <w:rPr>
                <w:rFonts w:hint="eastAsia"/>
                <w:color w:val="000000" w:themeColor="text1"/>
                <w:sz w:val="24"/>
                <w:szCs w:val="24"/>
                <w14:textFill>
                  <w14:solidFill>
                    <w14:schemeClr w14:val="tx1"/>
                  </w14:solidFill>
                </w14:textFill>
              </w:rPr>
              <w:t>有限公司的厂房现有厂房进行生产</w:t>
            </w:r>
            <w:r>
              <w:rPr>
                <w:color w:val="000000" w:themeColor="text1"/>
                <w:sz w:val="24"/>
                <w:szCs w:val="24"/>
                <w14:textFill>
                  <w14:solidFill>
                    <w14:schemeClr w14:val="tx1"/>
                  </w14:solidFill>
                </w14:textFill>
              </w:rPr>
              <w:t>；配套有机废气收集设施，收集效率80%以上，安装</w:t>
            </w:r>
            <w:r>
              <w:rPr>
                <w:rFonts w:hint="eastAsia"/>
                <w:color w:val="000000" w:themeColor="text1"/>
                <w:sz w:val="24"/>
                <w:szCs w:val="24"/>
                <w14:textFill>
                  <w14:solidFill>
                    <w14:schemeClr w14:val="tx1"/>
                  </w14:solidFill>
                </w14:textFill>
              </w:rPr>
              <w:t>了经济技术</w:t>
            </w:r>
            <w:r>
              <w:rPr>
                <w:color w:val="000000" w:themeColor="text1"/>
                <w:sz w:val="24"/>
                <w:szCs w:val="24"/>
                <w14:textFill>
                  <w14:solidFill>
                    <w14:schemeClr w14:val="tx1"/>
                  </w14:solidFill>
                </w14:textFill>
              </w:rPr>
              <w:t>可行的挥发性有机物治理设施（二级活性炭吸附设备），减少污染物排放。符合挥发性有机物污染防治工作方案的要求。</w:t>
            </w:r>
          </w:p>
          <w:p w14:paraId="17F89970">
            <w:pPr>
              <w:pStyle w:val="55"/>
              <w:numPr>
                <w:ilvl w:val="0"/>
                <w:numId w:val="4"/>
              </w:numPr>
              <w:ind w:firstLine="422"/>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与生态环境保护规划符合性分析</w:t>
            </w:r>
          </w:p>
          <w:p w14:paraId="6FF16566">
            <w:pPr>
              <w:pStyle w:val="55"/>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（1）水环境保护</w:t>
            </w:r>
          </w:p>
          <w:p w14:paraId="7B836D14">
            <w:pPr>
              <w:pStyle w:val="55"/>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w:t>
            </w:r>
            <w:r>
              <w:rPr>
                <w:rFonts w:hint="eastAsia"/>
                <w:color w:val="000000" w:themeColor="text1"/>
                <w:sz w:val="24"/>
                <w:szCs w:val="24"/>
                <w14:textFill>
                  <w14:solidFill>
                    <w14:schemeClr w14:val="tx1"/>
                  </w14:solidFill>
                </w14:textFill>
              </w:rPr>
              <w:t>无生产废水排放，生活污水</w:t>
            </w:r>
            <w:r>
              <w:rPr>
                <w:color w:val="000000" w:themeColor="text1"/>
                <w:sz w:val="24"/>
                <w:szCs w:val="24"/>
                <w14:textFill>
                  <w14:solidFill>
                    <w14:schemeClr w14:val="tx1"/>
                  </w14:solidFill>
                </w14:textFill>
              </w:rPr>
              <w:t>经预处理达标后，纳入</w:t>
            </w:r>
            <w:r>
              <w:rPr>
                <w:rFonts w:hint="eastAsia"/>
                <w:color w:val="000000" w:themeColor="text1"/>
                <w:sz w:val="24"/>
                <w:szCs w:val="24"/>
                <w:lang w:val="en-US" w:eastAsia="zh-CN"/>
                <w14:textFill>
                  <w14:solidFill>
                    <w14:schemeClr w14:val="tx1"/>
                  </w14:solidFill>
                </w14:textFill>
              </w:rPr>
              <w:t>闽侯县</w:t>
            </w:r>
            <w:r>
              <w:rPr>
                <w:rFonts w:hint="eastAsia"/>
                <w:color w:val="000000" w:themeColor="text1"/>
                <w:sz w:val="24"/>
                <w:szCs w:val="24"/>
                <w14:textFill>
                  <w14:solidFill>
                    <w14:schemeClr w14:val="tx1"/>
                  </w14:solidFill>
                </w14:textFill>
              </w:rPr>
              <w:t>污水处理厂</w:t>
            </w:r>
            <w:r>
              <w:rPr>
                <w:color w:val="000000" w:themeColor="text1"/>
                <w:sz w:val="24"/>
                <w:szCs w:val="24"/>
                <w14:textFill>
                  <w14:solidFill>
                    <w14:schemeClr w14:val="tx1"/>
                  </w14:solidFill>
                </w14:textFill>
              </w:rPr>
              <w:t>，不直接排放水体。项目外排废水水质简单，水量小，对</w:t>
            </w:r>
            <w:r>
              <w:rPr>
                <w:rFonts w:hint="eastAsia"/>
                <w:color w:val="000000" w:themeColor="text1"/>
                <w:sz w:val="24"/>
                <w:szCs w:val="24"/>
                <w14:textFill>
                  <w14:solidFill>
                    <w14:schemeClr w14:val="tx1"/>
                  </w14:solidFill>
                </w14:textFill>
              </w:rPr>
              <w:t>污水处理厂</w:t>
            </w:r>
            <w:r>
              <w:rPr>
                <w:color w:val="000000" w:themeColor="text1"/>
                <w:sz w:val="24"/>
                <w:szCs w:val="24"/>
                <w14:textFill>
                  <w14:solidFill>
                    <w14:schemeClr w14:val="tx1"/>
                  </w14:solidFill>
                </w14:textFill>
              </w:rPr>
              <w:t>不会造成冲击影响。本项目建设符合水环境功能区划要求。</w:t>
            </w:r>
          </w:p>
          <w:p w14:paraId="7CD65FE1">
            <w:pPr>
              <w:pStyle w:val="55"/>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（2）大气环境保护</w:t>
            </w:r>
          </w:p>
          <w:p w14:paraId="7913786A">
            <w:pPr>
              <w:pStyle w:val="55"/>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本项目所在区域大气环境规划为二类功能区，执行</w:t>
            </w:r>
            <w:r>
              <w:rPr>
                <w:rFonts w:hint="default" w:ascii="Times New Roman" w:hAnsi="Times New Roman" w:eastAsia="宋体" w:cs="Times New Roman"/>
                <w:color w:val="000000" w:themeColor="text1"/>
                <w:sz w:val="24"/>
                <w:szCs w:val="24"/>
                <w14:textFill>
                  <w14:solidFill>
                    <w14:schemeClr w14:val="tx1"/>
                  </w14:solidFill>
                </w14:textFill>
              </w:rPr>
              <w:t>《环境空气质量标准》（GB 3095-2026）中的二级标准</w:t>
            </w:r>
            <w:r>
              <w:rPr>
                <w:color w:val="000000" w:themeColor="text1"/>
                <w:sz w:val="24"/>
                <w:szCs w:val="24"/>
                <w14:textFill>
                  <w14:solidFill>
                    <w14:schemeClr w14:val="tx1"/>
                  </w14:solidFill>
                </w14:textFill>
              </w:rPr>
              <w:t>。在落实大气污染治理和环境管理措施的前提下，本项目废气能够达标排放，对区域环境空气影响较小，不会改变区域大气环境功能。从大气环境角度分析，项目建设符合大气环境功能区划要求。</w:t>
            </w:r>
          </w:p>
          <w:p w14:paraId="5AC26FFD">
            <w:pPr>
              <w:pStyle w:val="55"/>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（3）声环境保护</w:t>
            </w:r>
          </w:p>
          <w:p w14:paraId="7808B2A5">
            <w:pPr>
              <w:pStyle w:val="55"/>
              <w:rPr>
                <w:color w:val="000000" w:themeColor="text1"/>
                <w14:textFill>
                  <w14:solidFill>
                    <w14:schemeClr w14:val="tx1"/>
                  </w14:solidFill>
                </w14:textFill>
              </w:rPr>
            </w:pPr>
            <w:r>
              <w:rPr>
                <w:color w:val="000000" w:themeColor="text1"/>
                <w:sz w:val="24"/>
                <w:szCs w:val="24"/>
                <w14:textFill>
                  <w14:solidFill>
                    <w14:schemeClr w14:val="tx1"/>
                  </w14:solidFill>
                </w14:textFill>
              </w:rPr>
              <w:t>由噪声预测结果可知，通过采取有效的降噪减振措施后，厂界噪声可实现达标排放，符合声环境功能区划要求。</w:t>
            </w:r>
          </w:p>
        </w:tc>
      </w:tr>
    </w:tbl>
    <w:p w14:paraId="0478BDD1">
      <w:pPr>
        <w:rPr>
          <w:color w:val="auto"/>
        </w:rPr>
      </w:pPr>
    </w:p>
    <w:p w14:paraId="463E7E25">
      <w:pPr>
        <w:spacing w:line="360" w:lineRule="auto"/>
        <w:outlineLvl w:val="0"/>
        <w:rPr>
          <w:rFonts w:eastAsia="黑体"/>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type="lines" w:linePitch="312" w:charSpace="0"/>
        </w:sectPr>
      </w:pPr>
    </w:p>
    <w:p w14:paraId="1775FB1A">
      <w:pPr>
        <w:pStyle w:val="61"/>
        <w:jc w:val="both"/>
        <w:rPr>
          <w:rFonts w:ascii="Times New Roman" w:hAnsi="Times New Roman"/>
          <w:color w:val="auto"/>
        </w:rPr>
      </w:pPr>
      <w:r>
        <w:rPr>
          <w:rFonts w:hint="eastAsia" w:ascii="Times New Roman" w:hAnsi="Times New Roman"/>
          <w:color w:val="auto"/>
        </w:rPr>
        <w:t>建</w:t>
      </w:r>
      <w:r>
        <w:rPr>
          <w:rFonts w:ascii="Times New Roman" w:hAnsi="Times New Roman"/>
          <w:color w:val="auto"/>
        </w:rPr>
        <w:t>设项目工程分析</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8405"/>
      </w:tblGrid>
      <w:tr w14:paraId="37DEC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33" w:hRule="atLeast"/>
          <w:jc w:val="center"/>
        </w:trPr>
        <w:tc>
          <w:tcPr>
            <w:tcW w:w="744" w:type="dxa"/>
            <w:noWrap w:val="0"/>
            <w:vAlign w:val="center"/>
          </w:tcPr>
          <w:p w14:paraId="0EB38C42">
            <w:pPr>
              <w:pStyle w:val="20"/>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建设内容</w:t>
            </w:r>
          </w:p>
        </w:tc>
        <w:tc>
          <w:tcPr>
            <w:tcW w:w="8475" w:type="dxa"/>
            <w:noWrap w:val="0"/>
            <w:vAlign w:val="top"/>
          </w:tcPr>
          <w:p w14:paraId="4645F3C8">
            <w:pPr>
              <w:pStyle w:val="54"/>
              <w:rPr>
                <w:rFonts w:cs="Times New Roman"/>
                <w:color w:val="auto"/>
                <w:sz w:val="24"/>
                <w:szCs w:val="24"/>
              </w:rPr>
            </w:pPr>
            <w:r>
              <w:rPr>
                <w:rFonts w:cs="Times New Roman"/>
                <w:color w:val="auto"/>
                <w:sz w:val="24"/>
                <w:szCs w:val="24"/>
              </w:rPr>
              <w:t>项目概述</w:t>
            </w:r>
          </w:p>
          <w:p w14:paraId="58F4DF12">
            <w:pPr>
              <w:pStyle w:val="55"/>
              <w:rPr>
                <w:color w:val="auto"/>
                <w:sz w:val="24"/>
                <w:szCs w:val="24"/>
              </w:rPr>
            </w:pPr>
            <w:r>
              <w:rPr>
                <w:rFonts w:hint="eastAsia"/>
                <w:color w:val="auto"/>
                <w:sz w:val="24"/>
                <w:szCs w:val="24"/>
              </w:rPr>
              <w:t>福建艾迪恩环保科技有限公司主要从事高密度聚乙烯（HDPE）板材及家具生产，该公司租赁</w:t>
            </w:r>
            <w:r>
              <w:rPr>
                <w:rFonts w:hint="eastAsia"/>
                <w:color w:val="auto"/>
                <w:sz w:val="24"/>
                <w:szCs w:val="24"/>
                <w:lang w:eastAsia="zh-CN"/>
              </w:rPr>
              <w:t>元可（福建）食品有限公司（</w:t>
            </w:r>
            <w:r>
              <w:rPr>
                <w:rFonts w:hint="eastAsia"/>
                <w:color w:val="auto"/>
                <w:sz w:val="24"/>
                <w:szCs w:val="24"/>
                <w:lang w:val="en-US" w:eastAsia="zh-CN"/>
              </w:rPr>
              <w:t>以下简称“元可公司”</w:t>
            </w:r>
            <w:r>
              <w:rPr>
                <w:rFonts w:hint="eastAsia"/>
                <w:color w:val="auto"/>
                <w:sz w:val="24"/>
                <w:szCs w:val="24"/>
                <w:lang w:eastAsia="zh-CN"/>
              </w:rPr>
              <w:t>）</w:t>
            </w:r>
            <w:r>
              <w:rPr>
                <w:rFonts w:hint="eastAsia"/>
                <w:color w:val="auto"/>
                <w:sz w:val="24"/>
                <w:szCs w:val="24"/>
              </w:rPr>
              <w:t>的厂房（位于福州市闽侯县经济技术开发区二期南岭路1号3#楼），</w:t>
            </w:r>
            <w:r>
              <w:rPr>
                <w:rFonts w:hint="eastAsia"/>
                <w:color w:val="auto"/>
                <w:sz w:val="24"/>
                <w:szCs w:val="24"/>
                <w:lang w:val="en-US" w:eastAsia="zh-CN"/>
              </w:rPr>
              <w:t>拟建设</w:t>
            </w:r>
            <w:r>
              <w:rPr>
                <w:rFonts w:hint="eastAsia"/>
                <w:color w:val="auto"/>
                <w:sz w:val="24"/>
                <w:szCs w:val="24"/>
              </w:rPr>
              <w:t>福建艾迪恩环保科技有限公司年产750万方塑料板材，300万套塑料户外家具项目，总投资5</w:t>
            </w:r>
            <w:r>
              <w:rPr>
                <w:color w:val="auto"/>
                <w:sz w:val="24"/>
                <w:szCs w:val="24"/>
              </w:rPr>
              <w:t>00</w:t>
            </w:r>
            <w:r>
              <w:rPr>
                <w:rFonts w:hint="eastAsia"/>
                <w:color w:val="auto"/>
                <w:sz w:val="24"/>
                <w:szCs w:val="24"/>
              </w:rPr>
              <w:t>万元，总建筑面积</w:t>
            </w:r>
            <w:r>
              <w:rPr>
                <w:rFonts w:hint="eastAsia"/>
                <w:color w:val="auto"/>
                <w:sz w:val="24"/>
                <w:szCs w:val="24"/>
                <w:lang w:val="en-US" w:eastAsia="zh-CN"/>
              </w:rPr>
              <w:t>9750</w:t>
            </w:r>
            <w:r>
              <w:rPr>
                <w:rFonts w:hint="eastAsia"/>
                <w:color w:val="auto"/>
                <w:sz w:val="24"/>
                <w:szCs w:val="24"/>
              </w:rPr>
              <w:t>m</w:t>
            </w:r>
            <w:r>
              <w:rPr>
                <w:rFonts w:hint="eastAsia"/>
                <w:color w:val="auto"/>
                <w:sz w:val="24"/>
                <w:szCs w:val="24"/>
                <w:vertAlign w:val="superscript"/>
              </w:rPr>
              <w:t>2</w:t>
            </w:r>
            <w:r>
              <w:rPr>
                <w:rFonts w:hint="eastAsia"/>
                <w:color w:val="auto"/>
                <w:sz w:val="24"/>
                <w:szCs w:val="24"/>
              </w:rPr>
              <w:t>，年产750万方塑料板材，300万套塑料户外家具。本项目已取得福建省投资项目备案证明，备案号：</w:t>
            </w:r>
            <w:r>
              <w:rPr>
                <w:rFonts w:hint="eastAsia"/>
                <w:color w:val="auto"/>
                <w:sz w:val="24"/>
                <w:szCs w:val="24"/>
                <w:lang w:eastAsia="zh-CN"/>
              </w:rPr>
              <w:t>闽发改备〔2026〕A080382号</w:t>
            </w:r>
            <w:r>
              <w:rPr>
                <w:rFonts w:hint="eastAsia"/>
                <w:color w:val="auto"/>
                <w:sz w:val="24"/>
                <w:szCs w:val="24"/>
              </w:rPr>
              <w:t>（详见附件2）</w:t>
            </w:r>
            <w:r>
              <w:rPr>
                <w:color w:val="auto"/>
                <w:sz w:val="24"/>
                <w:szCs w:val="24"/>
              </w:rPr>
              <w:t>。</w:t>
            </w:r>
          </w:p>
          <w:p w14:paraId="401937A3">
            <w:pPr>
              <w:pStyle w:val="55"/>
              <w:rPr>
                <w:color w:val="auto"/>
                <w:sz w:val="24"/>
                <w:szCs w:val="24"/>
              </w:rPr>
            </w:pPr>
            <w:r>
              <w:rPr>
                <w:color w:val="auto"/>
                <w:sz w:val="24"/>
                <w:szCs w:val="24"/>
              </w:rPr>
              <w:t>根据《建设项目环境保护管理</w:t>
            </w:r>
            <w:r>
              <w:rPr>
                <w:rFonts w:hint="eastAsia"/>
                <w:color w:val="auto"/>
                <w:sz w:val="24"/>
                <w:szCs w:val="24"/>
                <w:lang w:eastAsia="zh-CN"/>
              </w:rPr>
              <w:t>条例</w:t>
            </w:r>
            <w:r>
              <w:rPr>
                <w:color w:val="auto"/>
                <w:sz w:val="24"/>
                <w:szCs w:val="24"/>
              </w:rPr>
              <w:t>》《建设项目环境保护分类管理名录》（2021年版）的相关规定，本项目属</w:t>
            </w:r>
            <w:r>
              <w:rPr>
                <w:rFonts w:hint="eastAsia"/>
                <w:color w:val="auto"/>
                <w:sz w:val="24"/>
                <w:szCs w:val="24"/>
              </w:rPr>
              <w:t>二十六、橡胶和塑料制品业29</w:t>
            </w:r>
            <w:r>
              <w:rPr>
                <w:rFonts w:hint="eastAsia" w:ascii="宋体" w:hAnsi="宋体" w:eastAsia="宋体" w:cs="宋体"/>
                <w:color w:val="auto"/>
                <w:sz w:val="24"/>
                <w:szCs w:val="24"/>
              </w:rPr>
              <w:t>－</w:t>
            </w:r>
            <w:r>
              <w:rPr>
                <w:rFonts w:hint="eastAsia"/>
                <w:color w:val="auto"/>
                <w:sz w:val="24"/>
                <w:szCs w:val="24"/>
              </w:rPr>
              <w:t>其他（年用非溶剂型低VOCs含量涂料10吨以下的除外）</w:t>
            </w:r>
            <w:r>
              <w:rPr>
                <w:color w:val="auto"/>
                <w:sz w:val="24"/>
                <w:szCs w:val="24"/>
              </w:rPr>
              <w:t>，详见</w:t>
            </w:r>
            <w:r>
              <w:rPr>
                <w:color w:val="auto"/>
                <w:sz w:val="24"/>
                <w:szCs w:val="24"/>
              </w:rPr>
              <w:fldChar w:fldCharType="begin"/>
            </w:r>
            <w:r>
              <w:rPr>
                <w:color w:val="auto"/>
                <w:sz w:val="24"/>
                <w:szCs w:val="24"/>
              </w:rPr>
              <w:instrText xml:space="preserve"> REF _Ref69658801 \r \h  \* MERGEFORMAT </w:instrText>
            </w:r>
            <w:r>
              <w:rPr>
                <w:color w:val="auto"/>
                <w:sz w:val="24"/>
                <w:szCs w:val="24"/>
              </w:rPr>
              <w:fldChar w:fldCharType="separate"/>
            </w:r>
            <w:r>
              <w:rPr>
                <w:rFonts w:hint="eastAsia"/>
                <w:color w:val="auto"/>
                <w:sz w:val="24"/>
                <w:szCs w:val="24"/>
              </w:rPr>
              <w:t>表2.1-1</w:t>
            </w:r>
            <w:r>
              <w:rPr>
                <w:color w:val="auto"/>
                <w:sz w:val="24"/>
                <w:szCs w:val="24"/>
              </w:rPr>
              <w:fldChar w:fldCharType="end"/>
            </w:r>
            <w:r>
              <w:rPr>
                <w:color w:val="auto"/>
                <w:sz w:val="24"/>
                <w:szCs w:val="24"/>
              </w:rPr>
              <w:t>。</w:t>
            </w:r>
          </w:p>
          <w:p w14:paraId="5FA4B847">
            <w:pPr>
              <w:pStyle w:val="59"/>
              <w:keepNext w:val="0"/>
              <w:keepLines w:val="0"/>
              <w:pageBreakBefore w:val="0"/>
              <w:widowControl w:val="0"/>
              <w:kinsoku/>
              <w:wordWrap/>
              <w:overflowPunct/>
              <w:topLinePunct w:val="0"/>
              <w:autoSpaceDE/>
              <w:autoSpaceDN/>
              <w:bidi w:val="0"/>
              <w:adjustRightInd/>
              <w:snapToGrid/>
              <w:spacing w:before="157" w:beforeLines="50" w:line="240" w:lineRule="auto"/>
              <w:textAlignment w:val="auto"/>
              <w:rPr>
                <w:rFonts w:ascii="Times New Roman" w:hAnsi="Times New Roman" w:cs="Times New Roman"/>
                <w:color w:val="auto"/>
                <w:sz w:val="24"/>
                <w:szCs w:val="24"/>
              </w:rPr>
            </w:pPr>
            <w:bookmarkStart w:id="9" w:name="_Ref69658801"/>
            <w:r>
              <w:rPr>
                <w:rFonts w:hint="eastAsia"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建设项目环境影响评价分类管理名录</w:t>
            </w:r>
            <w:bookmarkEnd w:id="9"/>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42"/>
              <w:gridCol w:w="1260"/>
              <w:gridCol w:w="2997"/>
              <w:gridCol w:w="1570"/>
              <w:gridCol w:w="857"/>
              <w:gridCol w:w="1053"/>
            </w:tblGrid>
            <w:tr w14:paraId="470A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1040" w:type="pct"/>
                  <w:gridSpan w:val="2"/>
                  <w:tcBorders>
                    <w:top w:val="single" w:color="auto" w:sz="12" w:space="0"/>
                    <w:left w:val="nil"/>
                    <w:tl2br w:val="single" w:color="auto" w:sz="4" w:space="0"/>
                  </w:tcBorders>
                  <w:noWrap w:val="0"/>
                  <w:vAlign w:val="center"/>
                </w:tcPr>
                <w:p w14:paraId="5F83D7E0">
                  <w:pPr>
                    <w:pStyle w:val="30"/>
                    <w:widowControl w:val="0"/>
                    <w:jc w:val="right"/>
                    <w:rPr>
                      <w:color w:val="auto"/>
                    </w:rPr>
                  </w:pPr>
                  <w:r>
                    <w:rPr>
                      <w:color w:val="auto"/>
                    </w:rPr>
                    <w:t>环评类别</w:t>
                  </w:r>
                </w:p>
                <w:p w14:paraId="0F910B94">
                  <w:pPr>
                    <w:pStyle w:val="30"/>
                    <w:jc w:val="both"/>
                    <w:rPr>
                      <w:color w:val="auto"/>
                    </w:rPr>
                  </w:pPr>
                  <w:r>
                    <w:rPr>
                      <w:color w:val="auto"/>
                    </w:rPr>
                    <w:t>项目类别</w:t>
                  </w:r>
                </w:p>
              </w:tc>
              <w:tc>
                <w:tcPr>
                  <w:tcW w:w="1832" w:type="pct"/>
                  <w:tcBorders>
                    <w:top w:val="single" w:color="auto" w:sz="12" w:space="0"/>
                  </w:tcBorders>
                  <w:noWrap w:val="0"/>
                  <w:vAlign w:val="center"/>
                </w:tcPr>
                <w:p w14:paraId="3EAFAB36">
                  <w:pPr>
                    <w:pStyle w:val="30"/>
                    <w:rPr>
                      <w:color w:val="auto"/>
                    </w:rPr>
                  </w:pPr>
                  <w:r>
                    <w:rPr>
                      <w:color w:val="auto"/>
                    </w:rPr>
                    <w:t>报告书</w:t>
                  </w:r>
                </w:p>
              </w:tc>
              <w:tc>
                <w:tcPr>
                  <w:tcW w:w="960" w:type="pct"/>
                  <w:tcBorders>
                    <w:top w:val="single" w:color="auto" w:sz="12" w:space="0"/>
                  </w:tcBorders>
                  <w:noWrap w:val="0"/>
                  <w:vAlign w:val="center"/>
                </w:tcPr>
                <w:p w14:paraId="4BB3D71B">
                  <w:pPr>
                    <w:pStyle w:val="30"/>
                    <w:rPr>
                      <w:color w:val="auto"/>
                    </w:rPr>
                  </w:pPr>
                  <w:r>
                    <w:rPr>
                      <w:color w:val="auto"/>
                    </w:rPr>
                    <w:t>报告表</w:t>
                  </w:r>
                </w:p>
              </w:tc>
              <w:tc>
                <w:tcPr>
                  <w:tcW w:w="524" w:type="pct"/>
                  <w:tcBorders>
                    <w:top w:val="single" w:color="auto" w:sz="12" w:space="0"/>
                  </w:tcBorders>
                  <w:noWrap w:val="0"/>
                  <w:vAlign w:val="center"/>
                </w:tcPr>
                <w:p w14:paraId="5BFABC43">
                  <w:pPr>
                    <w:pStyle w:val="30"/>
                    <w:rPr>
                      <w:color w:val="auto"/>
                    </w:rPr>
                  </w:pPr>
                  <w:r>
                    <w:rPr>
                      <w:color w:val="auto"/>
                    </w:rPr>
                    <w:t>登记表</w:t>
                  </w:r>
                </w:p>
              </w:tc>
              <w:tc>
                <w:tcPr>
                  <w:tcW w:w="645" w:type="pct"/>
                  <w:tcBorders>
                    <w:top w:val="single" w:color="auto" w:sz="12" w:space="0"/>
                    <w:right w:val="nil"/>
                  </w:tcBorders>
                  <w:noWrap w:val="0"/>
                  <w:vAlign w:val="center"/>
                </w:tcPr>
                <w:p w14:paraId="26E01776">
                  <w:pPr>
                    <w:pStyle w:val="30"/>
                    <w:widowControl w:val="0"/>
                    <w:rPr>
                      <w:color w:val="auto"/>
                    </w:rPr>
                  </w:pPr>
                  <w:r>
                    <w:rPr>
                      <w:color w:val="auto"/>
                    </w:rPr>
                    <w:t>环境敏感区含义</w:t>
                  </w:r>
                </w:p>
              </w:tc>
            </w:tr>
            <w:tr w14:paraId="26BE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5000" w:type="pct"/>
                  <w:gridSpan w:val="6"/>
                  <w:tcBorders>
                    <w:left w:val="nil"/>
                    <w:right w:val="nil"/>
                  </w:tcBorders>
                  <w:noWrap w:val="0"/>
                  <w:vAlign w:val="center"/>
                </w:tcPr>
                <w:p w14:paraId="334A9263">
                  <w:pPr>
                    <w:pStyle w:val="30"/>
                    <w:widowControl w:val="0"/>
                    <w:jc w:val="both"/>
                    <w:rPr>
                      <w:color w:val="auto"/>
                    </w:rPr>
                  </w:pPr>
                  <w:r>
                    <w:rPr>
                      <w:rFonts w:hint="eastAsia"/>
                      <w:color w:val="auto"/>
                    </w:rPr>
                    <w:t>二十六、橡胶和塑料制品业29</w:t>
                  </w:r>
                </w:p>
              </w:tc>
            </w:tr>
            <w:tr w14:paraId="1334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270" w:type="pct"/>
                  <w:tcBorders>
                    <w:left w:val="nil"/>
                    <w:bottom w:val="single" w:color="auto" w:sz="12" w:space="0"/>
                    <w:right w:val="single" w:color="auto" w:sz="4" w:space="0"/>
                  </w:tcBorders>
                  <w:noWrap w:val="0"/>
                  <w:vAlign w:val="center"/>
                </w:tcPr>
                <w:p w14:paraId="37802102">
                  <w:pPr>
                    <w:pStyle w:val="30"/>
                    <w:rPr>
                      <w:color w:val="auto"/>
                    </w:rPr>
                  </w:pPr>
                  <w:r>
                    <w:rPr>
                      <w:rFonts w:hint="eastAsia"/>
                      <w:color w:val="auto"/>
                    </w:rPr>
                    <w:t>5</w:t>
                  </w:r>
                  <w:r>
                    <w:rPr>
                      <w:color w:val="auto"/>
                    </w:rPr>
                    <w:t>3</w:t>
                  </w:r>
                </w:p>
              </w:tc>
              <w:tc>
                <w:tcPr>
                  <w:tcW w:w="770" w:type="pct"/>
                  <w:tcBorders>
                    <w:left w:val="single" w:color="auto" w:sz="4" w:space="0"/>
                    <w:bottom w:val="single" w:color="auto" w:sz="12" w:space="0"/>
                    <w:right w:val="single" w:color="auto" w:sz="4" w:space="0"/>
                  </w:tcBorders>
                  <w:noWrap w:val="0"/>
                  <w:vAlign w:val="center"/>
                </w:tcPr>
                <w:p w14:paraId="5635E0D4">
                  <w:pPr>
                    <w:pStyle w:val="30"/>
                    <w:jc w:val="both"/>
                    <w:rPr>
                      <w:color w:val="auto"/>
                    </w:rPr>
                  </w:pPr>
                  <w:r>
                    <w:rPr>
                      <w:rFonts w:hint="eastAsia"/>
                      <w:color w:val="auto"/>
                    </w:rPr>
                    <w:t>塑料制品业292</w:t>
                  </w:r>
                </w:p>
              </w:tc>
              <w:tc>
                <w:tcPr>
                  <w:tcW w:w="1832" w:type="pct"/>
                  <w:tcBorders>
                    <w:left w:val="single" w:color="auto" w:sz="4" w:space="0"/>
                    <w:bottom w:val="single" w:color="auto" w:sz="12" w:space="0"/>
                    <w:right w:val="single" w:color="auto" w:sz="4" w:space="0"/>
                  </w:tcBorders>
                  <w:noWrap w:val="0"/>
                  <w:vAlign w:val="center"/>
                </w:tcPr>
                <w:p w14:paraId="0A760CB5">
                  <w:pPr>
                    <w:pStyle w:val="30"/>
                    <w:rPr>
                      <w:color w:val="auto"/>
                    </w:rPr>
                  </w:pPr>
                  <w:r>
                    <w:rPr>
                      <w:rFonts w:hint="eastAsia"/>
                      <w:color w:val="auto"/>
                    </w:rPr>
                    <w:t>以再生塑料为原料生产的；有电镀工艺的；年用溶剂型</w:t>
                  </w:r>
                  <w:r>
                    <w:rPr>
                      <w:rFonts w:hint="eastAsia"/>
                      <w:color w:val="auto"/>
                      <w:lang w:eastAsia="zh-CN"/>
                    </w:rPr>
                    <w:t>胶黏剂</w:t>
                  </w:r>
                  <w:r>
                    <w:rPr>
                      <w:rFonts w:hint="eastAsia"/>
                      <w:color w:val="auto"/>
                    </w:rPr>
                    <w:t>10吨及以上的；年用溶剂型涂料（含稀释剂）10吨及以上的</w:t>
                  </w:r>
                </w:p>
              </w:tc>
              <w:tc>
                <w:tcPr>
                  <w:tcW w:w="960" w:type="pct"/>
                  <w:tcBorders>
                    <w:left w:val="single" w:color="auto" w:sz="4" w:space="0"/>
                    <w:bottom w:val="single" w:color="auto" w:sz="12" w:space="0"/>
                    <w:right w:val="single" w:color="auto" w:sz="4" w:space="0"/>
                  </w:tcBorders>
                  <w:noWrap w:val="0"/>
                  <w:vAlign w:val="center"/>
                </w:tcPr>
                <w:p w14:paraId="58949135">
                  <w:pPr>
                    <w:pStyle w:val="30"/>
                    <w:rPr>
                      <w:b/>
                      <w:color w:val="auto"/>
                    </w:rPr>
                  </w:pPr>
                  <w:r>
                    <w:rPr>
                      <w:rFonts w:hint="eastAsia"/>
                      <w:b/>
                      <w:color w:val="auto"/>
                    </w:rPr>
                    <w:t>其他（年用非溶剂型低VOCs含量涂料10吨以下的除外）</w:t>
                  </w:r>
                </w:p>
              </w:tc>
              <w:tc>
                <w:tcPr>
                  <w:tcW w:w="524" w:type="pct"/>
                  <w:tcBorders>
                    <w:left w:val="single" w:color="auto" w:sz="4" w:space="0"/>
                    <w:bottom w:val="single" w:color="auto" w:sz="12" w:space="0"/>
                    <w:right w:val="single" w:color="auto" w:sz="4" w:space="0"/>
                  </w:tcBorders>
                  <w:noWrap w:val="0"/>
                  <w:vAlign w:val="center"/>
                </w:tcPr>
                <w:p w14:paraId="3783B9AD">
                  <w:pPr>
                    <w:pStyle w:val="30"/>
                    <w:rPr>
                      <w:color w:val="auto"/>
                    </w:rPr>
                  </w:pPr>
                  <w:r>
                    <w:rPr>
                      <w:color w:val="auto"/>
                    </w:rPr>
                    <w:t>/</w:t>
                  </w:r>
                </w:p>
              </w:tc>
              <w:tc>
                <w:tcPr>
                  <w:tcW w:w="645" w:type="pct"/>
                  <w:tcBorders>
                    <w:left w:val="single" w:color="auto" w:sz="4" w:space="0"/>
                    <w:bottom w:val="single" w:color="auto" w:sz="12" w:space="0"/>
                    <w:right w:val="nil"/>
                  </w:tcBorders>
                  <w:noWrap w:val="0"/>
                  <w:vAlign w:val="center"/>
                </w:tcPr>
                <w:p w14:paraId="2780A14C">
                  <w:pPr>
                    <w:pStyle w:val="30"/>
                    <w:widowControl w:val="0"/>
                    <w:rPr>
                      <w:color w:val="auto"/>
                    </w:rPr>
                  </w:pPr>
                </w:p>
              </w:tc>
            </w:tr>
          </w:tbl>
          <w:p w14:paraId="30599D63">
            <w:pPr>
              <w:pStyle w:val="55"/>
              <w:rPr>
                <w:color w:val="auto"/>
                <w:sz w:val="24"/>
                <w:szCs w:val="24"/>
              </w:rPr>
            </w:pPr>
            <w:r>
              <w:rPr>
                <w:color w:val="auto"/>
                <w:sz w:val="24"/>
                <w:szCs w:val="24"/>
              </w:rPr>
              <w:t>本项目主要</w:t>
            </w:r>
            <w:r>
              <w:rPr>
                <w:rFonts w:hint="eastAsia"/>
                <w:color w:val="auto"/>
                <w:sz w:val="24"/>
                <w:szCs w:val="24"/>
              </w:rPr>
              <w:t>高密度聚乙烯（HDPE）板材及家具</w:t>
            </w:r>
            <w:r>
              <w:rPr>
                <w:color w:val="auto"/>
                <w:sz w:val="24"/>
                <w:szCs w:val="24"/>
              </w:rPr>
              <w:t>生产，</w:t>
            </w:r>
            <w:r>
              <w:rPr>
                <w:rFonts w:hint="eastAsia"/>
                <w:color w:val="auto"/>
                <w:sz w:val="24"/>
                <w:szCs w:val="24"/>
              </w:rPr>
              <w:t>属于塑料制品业中的其他</w:t>
            </w:r>
            <w:r>
              <w:rPr>
                <w:color w:val="auto"/>
                <w:sz w:val="24"/>
                <w:szCs w:val="24"/>
              </w:rPr>
              <w:t>，应编制环境影响评价报告表。为此，建设单位委托</w:t>
            </w:r>
            <w:r>
              <w:rPr>
                <w:rFonts w:hint="eastAsia"/>
                <w:color w:val="auto"/>
                <w:sz w:val="24"/>
                <w:szCs w:val="24"/>
                <w:lang w:val="en-US" w:eastAsia="zh-CN"/>
              </w:rPr>
              <w:t>我司</w:t>
            </w:r>
            <w:r>
              <w:rPr>
                <w:color w:val="auto"/>
                <w:sz w:val="24"/>
                <w:szCs w:val="24"/>
              </w:rPr>
              <w:t>开展该项目的环境影响评价工作（详见附件1：委托书）。我</w:t>
            </w:r>
            <w:r>
              <w:rPr>
                <w:rFonts w:hint="eastAsia"/>
                <w:color w:val="auto"/>
                <w:sz w:val="24"/>
                <w:szCs w:val="24"/>
              </w:rPr>
              <w:t>公</w:t>
            </w:r>
            <w:r>
              <w:rPr>
                <w:color w:val="auto"/>
                <w:sz w:val="24"/>
                <w:szCs w:val="24"/>
              </w:rPr>
              <w:t>司接受委托后即派技术人员现场踏勘和收集有关资料，并依照《中华人民共和国环境影响评价法》及《建设项目环境影响报告表编制技术指南（污染影响类）（试行）》等有关规定编写报告表，供建设单位报生态环境主管部门审批。</w:t>
            </w:r>
          </w:p>
          <w:p w14:paraId="490890C3">
            <w:pPr>
              <w:pStyle w:val="54"/>
              <w:rPr>
                <w:rFonts w:cs="Times New Roman"/>
                <w:color w:val="auto"/>
              </w:rPr>
            </w:pPr>
            <w:r>
              <w:rPr>
                <w:rFonts w:cs="Times New Roman"/>
                <w:color w:val="auto"/>
              </w:rPr>
              <w:t>项目概况</w:t>
            </w:r>
          </w:p>
          <w:p w14:paraId="6CDDABB4">
            <w:pPr>
              <w:pStyle w:val="55"/>
              <w:rPr>
                <w:rFonts w:hint="eastAsia" w:eastAsia="宋体"/>
                <w:color w:val="auto"/>
                <w:sz w:val="24"/>
                <w:szCs w:val="24"/>
                <w:lang w:eastAsia="zh-CN"/>
              </w:rPr>
            </w:pPr>
            <w:r>
              <w:rPr>
                <w:color w:val="auto"/>
                <w:sz w:val="24"/>
                <w:szCs w:val="24"/>
              </w:rPr>
              <w:t>（1）项目名称：</w:t>
            </w:r>
            <w:r>
              <w:rPr>
                <w:rFonts w:hint="eastAsia"/>
                <w:color w:val="auto"/>
                <w:sz w:val="24"/>
                <w:szCs w:val="24"/>
                <w:lang w:eastAsia="zh-CN"/>
              </w:rPr>
              <w:t>福建艾迪恩环保科技有限公司年产750万方塑料板材，300万套塑料户外家具项目</w:t>
            </w:r>
          </w:p>
          <w:p w14:paraId="7C9C3960">
            <w:pPr>
              <w:pStyle w:val="55"/>
              <w:rPr>
                <w:color w:val="auto"/>
                <w:sz w:val="24"/>
                <w:szCs w:val="24"/>
              </w:rPr>
            </w:pPr>
            <w:r>
              <w:rPr>
                <w:color w:val="auto"/>
                <w:sz w:val="24"/>
                <w:szCs w:val="24"/>
              </w:rPr>
              <w:t>（2）建设单位：</w:t>
            </w:r>
            <w:r>
              <w:rPr>
                <w:rFonts w:hint="eastAsia"/>
                <w:color w:val="auto"/>
                <w:sz w:val="24"/>
                <w:szCs w:val="24"/>
              </w:rPr>
              <w:t>福建艾迪恩环保科技有限公司</w:t>
            </w:r>
          </w:p>
          <w:p w14:paraId="543207E2">
            <w:pPr>
              <w:pStyle w:val="55"/>
              <w:rPr>
                <w:color w:val="auto"/>
                <w:sz w:val="24"/>
                <w:szCs w:val="24"/>
              </w:rPr>
            </w:pPr>
            <w:r>
              <w:rPr>
                <w:color w:val="auto"/>
                <w:sz w:val="24"/>
                <w:szCs w:val="24"/>
              </w:rPr>
              <w:t>（3）建设地点：</w:t>
            </w:r>
            <w:r>
              <w:rPr>
                <w:rFonts w:hint="eastAsia"/>
                <w:color w:val="auto"/>
                <w:sz w:val="24"/>
                <w:szCs w:val="24"/>
              </w:rPr>
              <w:t>福州市闽侯县</w:t>
            </w:r>
            <w:r>
              <w:rPr>
                <w:rFonts w:hint="eastAsia"/>
                <w:color w:val="auto"/>
                <w:sz w:val="24"/>
                <w:szCs w:val="24"/>
                <w:lang w:val="en-US" w:eastAsia="zh-CN"/>
              </w:rPr>
              <w:t>经济技术开发区二期南岭路1号3#楼</w:t>
            </w:r>
          </w:p>
          <w:p w14:paraId="449454C5">
            <w:pPr>
              <w:pStyle w:val="55"/>
              <w:rPr>
                <w:color w:val="auto"/>
                <w:sz w:val="24"/>
                <w:szCs w:val="24"/>
              </w:rPr>
            </w:pPr>
            <w:r>
              <w:rPr>
                <w:color w:val="auto"/>
                <w:sz w:val="24"/>
                <w:szCs w:val="24"/>
              </w:rPr>
              <w:t>（4）项目总投资：500万元</w:t>
            </w:r>
          </w:p>
          <w:p w14:paraId="7BF3AD36">
            <w:pPr>
              <w:pStyle w:val="55"/>
              <w:rPr>
                <w:color w:val="auto"/>
                <w:sz w:val="24"/>
                <w:szCs w:val="24"/>
              </w:rPr>
            </w:pPr>
            <w:r>
              <w:rPr>
                <w:color w:val="auto"/>
                <w:sz w:val="24"/>
                <w:szCs w:val="24"/>
              </w:rPr>
              <w:t>（5）建设规模：租赁建筑面积为</w:t>
            </w:r>
            <w:r>
              <w:rPr>
                <w:rFonts w:hint="eastAsia"/>
                <w:color w:val="auto"/>
                <w:sz w:val="24"/>
                <w:szCs w:val="24"/>
                <w:lang w:val="en-US" w:eastAsia="zh-CN"/>
              </w:rPr>
              <w:t>9750</w:t>
            </w:r>
            <w:r>
              <w:rPr>
                <w:color w:val="auto"/>
                <w:sz w:val="24"/>
                <w:szCs w:val="24"/>
              </w:rPr>
              <w:t>m</w:t>
            </w:r>
            <w:r>
              <w:rPr>
                <w:color w:val="auto"/>
                <w:sz w:val="24"/>
                <w:szCs w:val="24"/>
                <w:vertAlign w:val="superscript"/>
              </w:rPr>
              <w:t>2</w:t>
            </w:r>
          </w:p>
          <w:p w14:paraId="6C2EB8C9">
            <w:pPr>
              <w:pStyle w:val="55"/>
              <w:rPr>
                <w:rFonts w:hint="eastAsia" w:eastAsia="宋体"/>
                <w:color w:val="auto"/>
                <w:sz w:val="24"/>
                <w:szCs w:val="24"/>
                <w:lang w:eastAsia="zh-CN"/>
              </w:rPr>
            </w:pPr>
            <w:r>
              <w:rPr>
                <w:color w:val="auto"/>
                <w:sz w:val="24"/>
                <w:szCs w:val="24"/>
              </w:rPr>
              <w:t>（6）生产规模：</w:t>
            </w:r>
            <w:r>
              <w:rPr>
                <w:rFonts w:hint="eastAsia"/>
                <w:color w:val="auto"/>
                <w:sz w:val="24"/>
                <w:szCs w:val="24"/>
                <w:lang w:eastAsia="zh-CN"/>
              </w:rPr>
              <w:t>年产750万方塑料板材，300万套塑料户外家具</w:t>
            </w:r>
          </w:p>
          <w:p w14:paraId="6459A8EC">
            <w:pPr>
              <w:pStyle w:val="55"/>
              <w:rPr>
                <w:color w:val="auto"/>
                <w:sz w:val="24"/>
                <w:szCs w:val="24"/>
              </w:rPr>
            </w:pPr>
            <w:r>
              <w:rPr>
                <w:color w:val="auto"/>
                <w:sz w:val="24"/>
                <w:szCs w:val="24"/>
              </w:rPr>
              <w:t>（7）职工人数：</w:t>
            </w:r>
            <w:bookmarkStart w:id="10" w:name="_Hlk91164995"/>
            <w:r>
              <w:rPr>
                <w:color w:val="auto"/>
                <w:sz w:val="24"/>
                <w:szCs w:val="24"/>
              </w:rPr>
              <w:t>职工人数</w:t>
            </w:r>
            <w:r>
              <w:rPr>
                <w:rFonts w:hint="eastAsia"/>
                <w:color w:val="auto"/>
                <w:sz w:val="24"/>
                <w:szCs w:val="24"/>
                <w:lang w:val="en-US" w:eastAsia="zh-CN"/>
              </w:rPr>
              <w:t>3</w:t>
            </w:r>
            <w:r>
              <w:rPr>
                <w:color w:val="auto"/>
                <w:sz w:val="24"/>
                <w:szCs w:val="24"/>
              </w:rPr>
              <w:t>0</w:t>
            </w:r>
            <w:r>
              <w:rPr>
                <w:rFonts w:hint="eastAsia"/>
                <w:color w:val="auto"/>
                <w:sz w:val="24"/>
                <w:szCs w:val="24"/>
              </w:rPr>
              <w:t>人</w:t>
            </w:r>
            <w:bookmarkEnd w:id="10"/>
            <w:r>
              <w:rPr>
                <w:color w:val="auto"/>
                <w:sz w:val="24"/>
                <w:szCs w:val="24"/>
              </w:rPr>
              <w:t>，均不在厂区内进行食宿</w:t>
            </w:r>
          </w:p>
          <w:p w14:paraId="2B3AC4C1">
            <w:pPr>
              <w:pStyle w:val="55"/>
              <w:rPr>
                <w:color w:val="auto"/>
                <w:sz w:val="24"/>
                <w:szCs w:val="24"/>
              </w:rPr>
            </w:pPr>
            <w:r>
              <w:rPr>
                <w:color w:val="auto"/>
                <w:sz w:val="24"/>
                <w:szCs w:val="24"/>
              </w:rPr>
              <w:t>（8）工作制度：年工作日330天，</w:t>
            </w:r>
            <w:r>
              <w:rPr>
                <w:rFonts w:hint="eastAsia"/>
                <w:color w:val="auto"/>
                <w:sz w:val="24"/>
                <w:szCs w:val="24"/>
              </w:rPr>
              <w:t>单</w:t>
            </w:r>
            <w:r>
              <w:rPr>
                <w:color w:val="auto"/>
                <w:sz w:val="24"/>
                <w:szCs w:val="24"/>
              </w:rPr>
              <w:t>班制，每</w:t>
            </w:r>
            <w:r>
              <w:rPr>
                <w:rFonts w:hint="eastAsia"/>
                <w:color w:val="auto"/>
                <w:sz w:val="24"/>
                <w:szCs w:val="24"/>
              </w:rPr>
              <w:t>班</w:t>
            </w:r>
            <w:r>
              <w:rPr>
                <w:color w:val="auto"/>
                <w:sz w:val="24"/>
                <w:szCs w:val="24"/>
              </w:rPr>
              <w:t>工作时间8小时。</w:t>
            </w:r>
          </w:p>
          <w:p w14:paraId="340362FC">
            <w:pPr>
              <w:pStyle w:val="54"/>
              <w:rPr>
                <w:rFonts w:cs="Times New Roman"/>
                <w:color w:val="auto"/>
              </w:rPr>
            </w:pPr>
            <w:r>
              <w:rPr>
                <w:rFonts w:cs="Times New Roman"/>
                <w:color w:val="auto"/>
              </w:rPr>
              <w:t>建设内容</w:t>
            </w:r>
          </w:p>
          <w:p w14:paraId="7DE94C51">
            <w:pPr>
              <w:pStyle w:val="55"/>
              <w:rPr>
                <w:color w:val="auto"/>
                <w:sz w:val="24"/>
                <w:szCs w:val="24"/>
              </w:rPr>
            </w:pPr>
            <w:r>
              <w:rPr>
                <w:color w:val="auto"/>
                <w:sz w:val="24"/>
                <w:szCs w:val="24"/>
              </w:rPr>
              <w:t>本项目拟</w:t>
            </w:r>
            <w:r>
              <w:rPr>
                <w:rFonts w:hint="eastAsia"/>
                <w:color w:val="auto"/>
                <w:sz w:val="24"/>
                <w:szCs w:val="24"/>
              </w:rPr>
              <w:t>租赁</w:t>
            </w:r>
            <w:r>
              <w:rPr>
                <w:rFonts w:hint="eastAsia"/>
                <w:color w:val="auto"/>
                <w:sz w:val="24"/>
                <w:szCs w:val="24"/>
                <w:lang w:eastAsia="zh-CN"/>
              </w:rPr>
              <w:t>元可（福建）食品有限公司</w:t>
            </w:r>
            <w:r>
              <w:rPr>
                <w:rFonts w:hint="eastAsia"/>
                <w:color w:val="auto"/>
                <w:sz w:val="24"/>
                <w:szCs w:val="24"/>
              </w:rPr>
              <w:t>的厂房，位于福州市闽侯县经济技术开发区二期南岭路1号3#楼</w:t>
            </w: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rPr>
              <w:t>层</w:t>
            </w:r>
            <w:r>
              <w:rPr>
                <w:rFonts w:hint="eastAsia"/>
                <w:color w:val="auto"/>
                <w:sz w:val="24"/>
                <w:szCs w:val="24"/>
                <w:lang w:eastAsia="zh-CN"/>
              </w:rPr>
              <w:t>局部</w:t>
            </w:r>
            <w:r>
              <w:rPr>
                <w:rFonts w:hint="eastAsia"/>
                <w:color w:val="auto"/>
                <w:sz w:val="24"/>
                <w:szCs w:val="24"/>
              </w:rPr>
              <w:t>（</w:t>
            </w:r>
            <w:r>
              <w:rPr>
                <w:rFonts w:hint="eastAsia"/>
                <w:color w:val="auto"/>
                <w:sz w:val="24"/>
                <w:szCs w:val="24"/>
                <w:lang w:val="en-US" w:eastAsia="zh-CN"/>
              </w:rPr>
              <w:t>2625</w:t>
            </w:r>
            <w:r>
              <w:rPr>
                <w:rFonts w:hint="eastAsia"/>
                <w:color w:val="auto"/>
                <w:sz w:val="24"/>
                <w:szCs w:val="24"/>
              </w:rPr>
              <w:t>m</w:t>
            </w:r>
            <w:r>
              <w:rPr>
                <w:color w:val="auto"/>
                <w:sz w:val="24"/>
                <w:szCs w:val="24"/>
                <w:vertAlign w:val="superscript"/>
              </w:rPr>
              <w:t>2</w:t>
            </w:r>
            <w:r>
              <w:rPr>
                <w:rFonts w:hint="eastAsia"/>
                <w:color w:val="auto"/>
                <w:sz w:val="24"/>
                <w:szCs w:val="24"/>
              </w:rPr>
              <w:t>）、</w:t>
            </w:r>
            <w:r>
              <w:rPr>
                <w:rFonts w:hint="eastAsia"/>
                <w:color w:val="auto"/>
                <w:sz w:val="24"/>
                <w:szCs w:val="24"/>
                <w:lang w:val="en-US" w:eastAsia="zh-CN"/>
              </w:rPr>
              <w:t>2</w:t>
            </w:r>
            <w:r>
              <w:rPr>
                <w:rFonts w:hint="eastAsia"/>
                <w:color w:val="auto"/>
                <w:sz w:val="24"/>
                <w:szCs w:val="24"/>
              </w:rPr>
              <w:t>层（</w:t>
            </w:r>
            <w:r>
              <w:rPr>
                <w:rFonts w:hint="eastAsia"/>
                <w:color w:val="auto"/>
                <w:sz w:val="24"/>
                <w:szCs w:val="24"/>
                <w:lang w:val="en-US" w:eastAsia="zh-CN"/>
              </w:rPr>
              <w:t>7125</w:t>
            </w:r>
            <w:r>
              <w:rPr>
                <w:rFonts w:hint="eastAsia"/>
                <w:color w:val="auto"/>
                <w:sz w:val="24"/>
                <w:szCs w:val="24"/>
              </w:rPr>
              <w:t>m</w:t>
            </w:r>
            <w:r>
              <w:rPr>
                <w:color w:val="auto"/>
                <w:sz w:val="24"/>
                <w:szCs w:val="24"/>
                <w:vertAlign w:val="superscript"/>
              </w:rPr>
              <w:t>2</w:t>
            </w:r>
            <w:r>
              <w:rPr>
                <w:rFonts w:hint="eastAsia"/>
                <w:color w:val="auto"/>
                <w:sz w:val="24"/>
                <w:szCs w:val="24"/>
              </w:rPr>
              <w:t>），作为生产车间，租赁面积</w:t>
            </w:r>
            <w:r>
              <w:rPr>
                <w:rFonts w:hint="eastAsia"/>
                <w:color w:val="auto"/>
                <w:sz w:val="24"/>
                <w:szCs w:val="24"/>
                <w:lang w:val="en-US" w:eastAsia="zh-CN"/>
              </w:rPr>
              <w:t>9750</w:t>
            </w:r>
            <w:r>
              <w:rPr>
                <w:rFonts w:hint="eastAsia"/>
                <w:color w:val="auto"/>
                <w:sz w:val="24"/>
                <w:szCs w:val="24"/>
              </w:rPr>
              <w:t>m</w:t>
            </w:r>
            <w:r>
              <w:rPr>
                <w:color w:val="auto"/>
                <w:sz w:val="24"/>
                <w:szCs w:val="24"/>
                <w:vertAlign w:val="superscript"/>
              </w:rPr>
              <w:t>2</w:t>
            </w:r>
            <w:r>
              <w:rPr>
                <w:rFonts w:hint="eastAsia"/>
                <w:color w:val="auto"/>
                <w:sz w:val="24"/>
                <w:szCs w:val="24"/>
              </w:rPr>
              <w:t>，充分利用已建厂房，仅对厂房按要求进行装修</w:t>
            </w:r>
            <w:r>
              <w:rPr>
                <w:color w:val="auto"/>
                <w:sz w:val="24"/>
                <w:szCs w:val="24"/>
              </w:rPr>
              <w:t>不新增构建筑物。</w:t>
            </w:r>
          </w:p>
          <w:p w14:paraId="0B300100">
            <w:pPr>
              <w:pStyle w:val="55"/>
              <w:rPr>
                <w:color w:val="auto"/>
                <w:sz w:val="24"/>
                <w:szCs w:val="24"/>
              </w:rPr>
            </w:pPr>
            <w:r>
              <w:rPr>
                <w:color w:val="auto"/>
                <w:sz w:val="24"/>
                <w:szCs w:val="24"/>
              </w:rPr>
              <w:t>项目组成及建设内容见</w:t>
            </w:r>
            <w:r>
              <w:rPr>
                <w:color w:val="auto"/>
                <w:sz w:val="24"/>
                <w:szCs w:val="24"/>
              </w:rPr>
              <w:fldChar w:fldCharType="begin"/>
            </w:r>
            <w:r>
              <w:rPr>
                <w:color w:val="auto"/>
                <w:sz w:val="24"/>
                <w:szCs w:val="24"/>
              </w:rPr>
              <w:instrText xml:space="preserve"> REF _Ref69724484 \r \h  \* MERGEFORMAT </w:instrText>
            </w:r>
            <w:r>
              <w:rPr>
                <w:color w:val="auto"/>
                <w:sz w:val="24"/>
                <w:szCs w:val="24"/>
              </w:rPr>
              <w:fldChar w:fldCharType="separate"/>
            </w:r>
            <w:r>
              <w:rPr>
                <w:rFonts w:hint="eastAsia"/>
                <w:color w:val="auto"/>
                <w:sz w:val="24"/>
                <w:szCs w:val="24"/>
              </w:rPr>
              <w:t>表2.</w:t>
            </w:r>
            <w:r>
              <w:rPr>
                <w:rFonts w:hint="eastAsia"/>
                <w:color w:val="auto"/>
                <w:sz w:val="24"/>
                <w:szCs w:val="24"/>
                <w:lang w:val="en-US" w:eastAsia="zh-CN"/>
              </w:rPr>
              <w:t>3</w:t>
            </w:r>
            <w:r>
              <w:rPr>
                <w:rFonts w:hint="eastAsia"/>
                <w:color w:val="auto"/>
                <w:sz w:val="24"/>
                <w:szCs w:val="24"/>
              </w:rPr>
              <w:t>-1</w:t>
            </w:r>
            <w:r>
              <w:rPr>
                <w:color w:val="auto"/>
                <w:sz w:val="24"/>
                <w:szCs w:val="24"/>
              </w:rPr>
              <w:fldChar w:fldCharType="end"/>
            </w:r>
            <w:r>
              <w:rPr>
                <w:color w:val="auto"/>
                <w:sz w:val="24"/>
                <w:szCs w:val="24"/>
              </w:rPr>
              <w:t>。</w:t>
            </w:r>
          </w:p>
          <w:p w14:paraId="6F69B9DB">
            <w:pPr>
              <w:pStyle w:val="59"/>
              <w:keepNext w:val="0"/>
              <w:keepLines w:val="0"/>
              <w:pageBreakBefore w:val="0"/>
              <w:widowControl w:val="0"/>
              <w:kinsoku/>
              <w:wordWrap/>
              <w:overflowPunct/>
              <w:topLinePunct w:val="0"/>
              <w:autoSpaceDE/>
              <w:autoSpaceDN/>
              <w:bidi w:val="0"/>
              <w:adjustRightInd/>
              <w:snapToGrid/>
              <w:spacing w:before="157" w:beforeLines="50" w:line="240" w:lineRule="auto"/>
              <w:ind w:firstLine="0"/>
              <w:textAlignment w:val="auto"/>
              <w:rPr>
                <w:rFonts w:ascii="Times New Roman" w:hAnsi="Times New Roman" w:eastAsia="宋体" w:cs="Times New Roman"/>
                <w:b/>
                <w:bCs/>
                <w:color w:val="auto"/>
                <w:sz w:val="24"/>
                <w:szCs w:val="24"/>
              </w:rPr>
            </w:pPr>
            <w:bookmarkStart w:id="11" w:name="_Ref69724484"/>
            <w:r>
              <w:rPr>
                <w:rFonts w:ascii="Times New Roman" w:hAnsi="Times New Roman" w:eastAsia="宋体" w:cs="Times New Roman"/>
                <w:b/>
                <w:bCs/>
                <w:color w:val="auto"/>
                <w:sz w:val="24"/>
                <w:szCs w:val="24"/>
              </w:rPr>
              <w:t>建设项目组成一览表</w:t>
            </w:r>
            <w:bookmarkEnd w:id="11"/>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326"/>
              <w:gridCol w:w="1099"/>
              <w:gridCol w:w="6167"/>
              <w:gridCol w:w="594"/>
            </w:tblGrid>
            <w:tr w14:paraId="05CEC9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blHeader/>
                <w:jc w:val="center"/>
              </w:trPr>
              <w:tc>
                <w:tcPr>
                  <w:tcW w:w="870" w:type="pct"/>
                  <w:gridSpan w:val="2"/>
                  <w:noWrap w:val="0"/>
                  <w:tcMar>
                    <w:left w:w="57" w:type="dxa"/>
                    <w:right w:w="57" w:type="dxa"/>
                  </w:tcMar>
                  <w:vAlign w:val="center"/>
                </w:tcPr>
                <w:p w14:paraId="765FE721">
                  <w:pPr>
                    <w:pStyle w:val="30"/>
                    <w:rPr>
                      <w:color w:val="auto"/>
                      <w:szCs w:val="21"/>
                    </w:rPr>
                  </w:pPr>
                  <w:r>
                    <w:rPr>
                      <w:color w:val="auto"/>
                      <w:szCs w:val="21"/>
                    </w:rPr>
                    <w:t>主项名称</w:t>
                  </w:r>
                </w:p>
              </w:tc>
              <w:tc>
                <w:tcPr>
                  <w:tcW w:w="3766" w:type="pct"/>
                  <w:noWrap w:val="0"/>
                  <w:tcMar>
                    <w:left w:w="57" w:type="dxa"/>
                    <w:right w:w="57" w:type="dxa"/>
                  </w:tcMar>
                  <w:vAlign w:val="center"/>
                </w:tcPr>
                <w:p w14:paraId="353FB86B">
                  <w:pPr>
                    <w:pStyle w:val="30"/>
                    <w:jc w:val="center"/>
                    <w:rPr>
                      <w:color w:val="auto"/>
                      <w:szCs w:val="21"/>
                    </w:rPr>
                  </w:pPr>
                  <w:r>
                    <w:rPr>
                      <w:color w:val="auto"/>
                      <w:szCs w:val="21"/>
                    </w:rPr>
                    <w:t>主要内容及建设规模</w:t>
                  </w:r>
                </w:p>
              </w:tc>
              <w:tc>
                <w:tcPr>
                  <w:tcW w:w="363" w:type="pct"/>
                  <w:noWrap w:val="0"/>
                  <w:vAlign w:val="center"/>
                </w:tcPr>
                <w:p w14:paraId="5A30C7D5">
                  <w:pPr>
                    <w:pStyle w:val="30"/>
                    <w:rPr>
                      <w:color w:val="auto"/>
                      <w:szCs w:val="21"/>
                    </w:rPr>
                  </w:pPr>
                  <w:r>
                    <w:rPr>
                      <w:rFonts w:hint="eastAsia"/>
                      <w:color w:val="auto"/>
                      <w:szCs w:val="21"/>
                    </w:rPr>
                    <w:t>备注</w:t>
                  </w:r>
                </w:p>
              </w:tc>
            </w:tr>
            <w:tr w14:paraId="26C675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99" w:type="pct"/>
                  <w:vMerge w:val="restart"/>
                  <w:noWrap w:val="0"/>
                  <w:tcMar>
                    <w:left w:w="57" w:type="dxa"/>
                    <w:right w:w="57" w:type="dxa"/>
                  </w:tcMar>
                  <w:vAlign w:val="center"/>
                </w:tcPr>
                <w:p w14:paraId="774186CE">
                  <w:pPr>
                    <w:pStyle w:val="30"/>
                    <w:rPr>
                      <w:rFonts w:hint="eastAsia" w:eastAsia="宋体"/>
                      <w:color w:val="auto"/>
                      <w:szCs w:val="21"/>
                      <w:lang w:eastAsia="zh-CN"/>
                    </w:rPr>
                  </w:pPr>
                  <w:r>
                    <w:rPr>
                      <w:rFonts w:hint="eastAsia"/>
                      <w:color w:val="auto"/>
                      <w:szCs w:val="21"/>
                      <w:lang w:eastAsia="zh-CN"/>
                    </w:rPr>
                    <w:t>主体工程</w:t>
                  </w:r>
                </w:p>
              </w:tc>
              <w:tc>
                <w:tcPr>
                  <w:tcW w:w="671" w:type="pct"/>
                  <w:noWrap w:val="0"/>
                  <w:tcMar>
                    <w:left w:w="57" w:type="dxa"/>
                    <w:right w:w="57" w:type="dxa"/>
                  </w:tcMar>
                  <w:vAlign w:val="center"/>
                </w:tcPr>
                <w:p w14:paraId="19EC3E07">
                  <w:pPr>
                    <w:pStyle w:val="30"/>
                    <w:rPr>
                      <w:rFonts w:hint="eastAsia" w:eastAsia="宋体"/>
                      <w:color w:val="auto"/>
                      <w:szCs w:val="21"/>
                      <w:lang w:eastAsia="zh-CN"/>
                    </w:rPr>
                  </w:pPr>
                  <w:r>
                    <w:rPr>
                      <w:rFonts w:hint="eastAsia"/>
                      <w:color w:val="auto"/>
                      <w:szCs w:val="21"/>
                      <w:lang w:eastAsia="zh-CN"/>
                    </w:rPr>
                    <w:t>一层车间</w:t>
                  </w:r>
                </w:p>
              </w:tc>
              <w:tc>
                <w:tcPr>
                  <w:tcW w:w="3766" w:type="pct"/>
                  <w:noWrap w:val="0"/>
                  <w:tcMar>
                    <w:left w:w="57" w:type="dxa"/>
                    <w:right w:w="57" w:type="dxa"/>
                  </w:tcMar>
                  <w:vAlign w:val="center"/>
                </w:tcPr>
                <w:p w14:paraId="573E77CA">
                  <w:pPr>
                    <w:pStyle w:val="30"/>
                    <w:jc w:val="both"/>
                    <w:rPr>
                      <w:rFonts w:hint="eastAsia" w:eastAsia="宋体"/>
                      <w:color w:val="auto"/>
                      <w:kern w:val="0"/>
                      <w:szCs w:val="21"/>
                      <w:lang w:eastAsia="zh-CN"/>
                    </w:rPr>
                  </w:pPr>
                  <w:r>
                    <w:rPr>
                      <w:rFonts w:hint="eastAsia"/>
                      <w:color w:val="auto"/>
                      <w:kern w:val="0"/>
                      <w:szCs w:val="21"/>
                    </w:rPr>
                    <w:t>中部</w:t>
                  </w:r>
                  <w:r>
                    <w:rPr>
                      <w:rFonts w:hint="eastAsia"/>
                      <w:color w:val="auto"/>
                      <w:kern w:val="0"/>
                      <w:szCs w:val="21"/>
                      <w:lang w:val="en-US" w:eastAsia="zh-CN"/>
                    </w:rPr>
                    <w:t>设置家具</w:t>
                  </w:r>
                  <w:r>
                    <w:rPr>
                      <w:rFonts w:hint="eastAsia"/>
                      <w:color w:val="auto"/>
                      <w:kern w:val="0"/>
                      <w:szCs w:val="21"/>
                    </w:rPr>
                    <w:t>加工区、成品组装区，</w:t>
                  </w:r>
                  <w:r>
                    <w:rPr>
                      <w:color w:val="auto"/>
                      <w:kern w:val="0"/>
                      <w:szCs w:val="21"/>
                    </w:rPr>
                    <w:t>面积</w:t>
                  </w:r>
                  <w:r>
                    <w:rPr>
                      <w:rFonts w:hint="eastAsia"/>
                      <w:color w:val="auto"/>
                      <w:kern w:val="0"/>
                      <w:szCs w:val="21"/>
                    </w:rPr>
                    <w:t>约</w:t>
                  </w:r>
                  <w:r>
                    <w:rPr>
                      <w:rFonts w:hint="eastAsia"/>
                      <w:color w:val="auto"/>
                      <w:kern w:val="0"/>
                      <w:szCs w:val="21"/>
                      <w:lang w:val="en-US" w:eastAsia="zh-CN"/>
                    </w:rPr>
                    <w:t>2000</w:t>
                  </w:r>
                  <w:r>
                    <w:rPr>
                      <w:color w:val="auto"/>
                      <w:kern w:val="0"/>
                      <w:szCs w:val="21"/>
                    </w:rPr>
                    <w:t>m</w:t>
                  </w:r>
                  <w:r>
                    <w:rPr>
                      <w:color w:val="auto"/>
                      <w:kern w:val="0"/>
                      <w:szCs w:val="21"/>
                      <w:vertAlign w:val="superscript"/>
                    </w:rPr>
                    <w:t>2</w:t>
                  </w:r>
                </w:p>
              </w:tc>
              <w:tc>
                <w:tcPr>
                  <w:tcW w:w="363" w:type="pct"/>
                  <w:noWrap w:val="0"/>
                  <w:vAlign w:val="center"/>
                </w:tcPr>
                <w:p w14:paraId="0E3CB909">
                  <w:pPr>
                    <w:pStyle w:val="30"/>
                    <w:rPr>
                      <w:rFonts w:hint="eastAsia"/>
                      <w:color w:val="auto"/>
                      <w:kern w:val="0"/>
                      <w:szCs w:val="21"/>
                    </w:rPr>
                  </w:pPr>
                </w:p>
              </w:tc>
            </w:tr>
            <w:tr w14:paraId="529846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99" w:type="pct"/>
                  <w:vMerge w:val="continue"/>
                  <w:noWrap w:val="0"/>
                  <w:tcMar>
                    <w:left w:w="57" w:type="dxa"/>
                    <w:right w:w="57" w:type="dxa"/>
                  </w:tcMar>
                  <w:vAlign w:val="center"/>
                </w:tcPr>
                <w:p w14:paraId="7DB79988">
                  <w:pPr>
                    <w:pStyle w:val="30"/>
                    <w:rPr>
                      <w:color w:val="auto"/>
                      <w:szCs w:val="21"/>
                    </w:rPr>
                  </w:pPr>
                </w:p>
              </w:tc>
              <w:tc>
                <w:tcPr>
                  <w:tcW w:w="671" w:type="pct"/>
                  <w:noWrap w:val="0"/>
                  <w:tcMar>
                    <w:left w:w="57" w:type="dxa"/>
                    <w:right w:w="57" w:type="dxa"/>
                  </w:tcMar>
                  <w:vAlign w:val="center"/>
                </w:tcPr>
                <w:p w14:paraId="7B468B58">
                  <w:pPr>
                    <w:pStyle w:val="30"/>
                    <w:rPr>
                      <w:rFonts w:hint="eastAsia"/>
                      <w:color w:val="auto"/>
                      <w:szCs w:val="21"/>
                      <w:lang w:eastAsia="zh-CN"/>
                    </w:rPr>
                  </w:pPr>
                  <w:r>
                    <w:rPr>
                      <w:rFonts w:hint="eastAsia"/>
                      <w:color w:val="auto"/>
                      <w:szCs w:val="21"/>
                      <w:lang w:eastAsia="zh-CN"/>
                    </w:rPr>
                    <w:t>二层车间</w:t>
                  </w:r>
                </w:p>
              </w:tc>
              <w:tc>
                <w:tcPr>
                  <w:tcW w:w="3766" w:type="pct"/>
                  <w:noWrap w:val="0"/>
                  <w:tcMar>
                    <w:left w:w="57" w:type="dxa"/>
                    <w:right w:w="57" w:type="dxa"/>
                  </w:tcMar>
                  <w:vAlign w:val="center"/>
                </w:tcPr>
                <w:p w14:paraId="65E5AECE">
                  <w:pPr>
                    <w:pStyle w:val="30"/>
                    <w:jc w:val="both"/>
                    <w:rPr>
                      <w:rFonts w:hint="eastAsia" w:eastAsia="宋体"/>
                      <w:color w:val="auto"/>
                      <w:kern w:val="0"/>
                      <w:szCs w:val="21"/>
                      <w:lang w:eastAsia="zh-CN"/>
                    </w:rPr>
                  </w:pPr>
                  <w:r>
                    <w:rPr>
                      <w:rFonts w:hint="eastAsia"/>
                      <w:color w:val="auto"/>
                      <w:kern w:val="0"/>
                      <w:szCs w:val="21"/>
                      <w:lang w:val="en-US" w:eastAsia="zh-CN"/>
                    </w:rPr>
                    <w:t>北侧</w:t>
                  </w:r>
                  <w:r>
                    <w:rPr>
                      <w:rFonts w:hint="eastAsia"/>
                      <w:color w:val="auto"/>
                      <w:kern w:val="0"/>
                      <w:szCs w:val="21"/>
                    </w:rPr>
                    <w:t>设置挤压成型车间，面积</w:t>
                  </w:r>
                  <w:r>
                    <w:rPr>
                      <w:rFonts w:hint="eastAsia"/>
                      <w:color w:val="auto"/>
                      <w:kern w:val="0"/>
                      <w:szCs w:val="21"/>
                      <w:lang w:eastAsia="zh-CN"/>
                    </w:rPr>
                    <w:t>约</w:t>
                  </w:r>
                  <w:r>
                    <w:rPr>
                      <w:rFonts w:hint="eastAsia"/>
                      <w:color w:val="auto"/>
                      <w:kern w:val="0"/>
                      <w:szCs w:val="21"/>
                      <w:lang w:val="en-US" w:eastAsia="zh-CN"/>
                    </w:rPr>
                    <w:t>10</w:t>
                  </w:r>
                  <w:r>
                    <w:rPr>
                      <w:color w:val="auto"/>
                      <w:kern w:val="0"/>
                      <w:szCs w:val="21"/>
                    </w:rPr>
                    <w:t>00</w:t>
                  </w:r>
                  <w:r>
                    <w:rPr>
                      <w:rFonts w:hint="eastAsia"/>
                      <w:color w:val="auto"/>
                      <w:kern w:val="0"/>
                      <w:szCs w:val="21"/>
                    </w:rPr>
                    <w:t>m</w:t>
                  </w:r>
                  <w:r>
                    <w:rPr>
                      <w:color w:val="auto"/>
                      <w:kern w:val="0"/>
                      <w:szCs w:val="21"/>
                      <w:vertAlign w:val="superscript"/>
                    </w:rPr>
                    <w:t>2</w:t>
                  </w:r>
                  <w:r>
                    <w:rPr>
                      <w:rFonts w:hint="eastAsia"/>
                      <w:color w:val="auto"/>
                      <w:kern w:val="0"/>
                      <w:szCs w:val="21"/>
                    </w:rPr>
                    <w:t>，布设挤压、成型设备</w:t>
                  </w:r>
                  <w:r>
                    <w:rPr>
                      <w:rFonts w:hint="eastAsia"/>
                      <w:color w:val="auto"/>
                      <w:kern w:val="0"/>
                      <w:szCs w:val="21"/>
                      <w:lang w:eastAsia="zh-CN"/>
                    </w:rPr>
                    <w:t>；</w:t>
                  </w:r>
                  <w:r>
                    <w:rPr>
                      <w:rFonts w:hint="eastAsia"/>
                      <w:color w:val="auto"/>
                      <w:kern w:val="0"/>
                      <w:szCs w:val="21"/>
                      <w:lang w:val="en-US" w:eastAsia="zh-CN"/>
                    </w:rPr>
                    <w:t>东南侧设置</w:t>
                  </w:r>
                  <w:r>
                    <w:rPr>
                      <w:rFonts w:hint="eastAsia"/>
                      <w:color w:val="auto"/>
                      <w:kern w:val="0"/>
                      <w:szCs w:val="21"/>
                    </w:rPr>
                    <w:t>破碎</w:t>
                  </w:r>
                  <w:r>
                    <w:rPr>
                      <w:rFonts w:hint="eastAsia"/>
                      <w:color w:val="auto"/>
                      <w:kern w:val="0"/>
                      <w:szCs w:val="21"/>
                      <w:lang w:eastAsia="zh-CN"/>
                    </w:rPr>
                    <w:t>车间</w:t>
                  </w:r>
                  <w:r>
                    <w:rPr>
                      <w:rFonts w:hint="eastAsia"/>
                      <w:color w:val="auto"/>
                      <w:kern w:val="0"/>
                      <w:szCs w:val="21"/>
                      <w:lang w:val="en-US" w:eastAsia="zh-CN"/>
                    </w:rPr>
                    <w:t>，面积约500</w:t>
                  </w:r>
                  <w:r>
                    <w:rPr>
                      <w:rFonts w:hint="eastAsia"/>
                      <w:color w:val="auto"/>
                      <w:kern w:val="0"/>
                      <w:szCs w:val="21"/>
                    </w:rPr>
                    <w:t>m</w:t>
                  </w:r>
                  <w:r>
                    <w:rPr>
                      <w:color w:val="auto"/>
                      <w:kern w:val="0"/>
                      <w:szCs w:val="21"/>
                      <w:vertAlign w:val="superscript"/>
                    </w:rPr>
                    <w:t>2</w:t>
                  </w:r>
                  <w:r>
                    <w:rPr>
                      <w:rFonts w:hint="eastAsia"/>
                      <w:color w:val="auto"/>
                      <w:kern w:val="0"/>
                      <w:szCs w:val="21"/>
                    </w:rPr>
                    <w:t>，</w:t>
                  </w:r>
                  <w:r>
                    <w:rPr>
                      <w:rFonts w:hint="eastAsia"/>
                      <w:color w:val="auto"/>
                      <w:kern w:val="0"/>
                      <w:szCs w:val="21"/>
                      <w:lang w:eastAsia="zh-CN"/>
                    </w:rPr>
                    <w:t>西</w:t>
                  </w:r>
                  <w:r>
                    <w:rPr>
                      <w:rFonts w:hint="eastAsia"/>
                      <w:color w:val="auto"/>
                      <w:kern w:val="0"/>
                      <w:szCs w:val="21"/>
                      <w:highlight w:val="none"/>
                      <w:lang w:val="en-US" w:eastAsia="zh-CN"/>
                    </w:rPr>
                    <w:t>侧设置机加工车间，面积约1410</w:t>
                  </w:r>
                  <w:r>
                    <w:rPr>
                      <w:rFonts w:hint="eastAsia"/>
                      <w:color w:val="auto"/>
                      <w:kern w:val="0"/>
                      <w:szCs w:val="21"/>
                      <w:highlight w:val="none"/>
                    </w:rPr>
                    <w:t>m</w:t>
                  </w:r>
                  <w:r>
                    <w:rPr>
                      <w:color w:val="auto"/>
                      <w:kern w:val="0"/>
                      <w:szCs w:val="21"/>
                      <w:highlight w:val="none"/>
                      <w:vertAlign w:val="superscript"/>
                    </w:rPr>
                    <w:t>2</w:t>
                  </w:r>
                </w:p>
              </w:tc>
              <w:tc>
                <w:tcPr>
                  <w:tcW w:w="363" w:type="pct"/>
                  <w:noWrap w:val="0"/>
                  <w:vAlign w:val="center"/>
                </w:tcPr>
                <w:p w14:paraId="73988A26">
                  <w:pPr>
                    <w:pStyle w:val="30"/>
                    <w:rPr>
                      <w:rFonts w:hint="eastAsia"/>
                      <w:color w:val="auto"/>
                      <w:kern w:val="0"/>
                      <w:szCs w:val="21"/>
                    </w:rPr>
                  </w:pPr>
                </w:p>
              </w:tc>
            </w:tr>
            <w:tr w14:paraId="4EA195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99" w:type="pct"/>
                  <w:vMerge w:val="restart"/>
                  <w:noWrap w:val="0"/>
                  <w:tcMar>
                    <w:left w:w="57" w:type="dxa"/>
                    <w:right w:w="57" w:type="dxa"/>
                  </w:tcMar>
                  <w:vAlign w:val="center"/>
                </w:tcPr>
                <w:p w14:paraId="6254567A">
                  <w:pPr>
                    <w:pStyle w:val="30"/>
                    <w:rPr>
                      <w:color w:val="auto"/>
                      <w:szCs w:val="21"/>
                    </w:rPr>
                  </w:pPr>
                  <w:r>
                    <w:rPr>
                      <w:rFonts w:hint="eastAsia"/>
                      <w:color w:val="auto"/>
                      <w:szCs w:val="21"/>
                    </w:rPr>
                    <w:t>辅助工程</w:t>
                  </w:r>
                </w:p>
              </w:tc>
              <w:tc>
                <w:tcPr>
                  <w:tcW w:w="671" w:type="pct"/>
                  <w:noWrap w:val="0"/>
                  <w:tcMar>
                    <w:left w:w="57" w:type="dxa"/>
                    <w:right w:w="57" w:type="dxa"/>
                  </w:tcMar>
                  <w:vAlign w:val="center"/>
                </w:tcPr>
                <w:p w14:paraId="23A258A8">
                  <w:pPr>
                    <w:pStyle w:val="30"/>
                    <w:rPr>
                      <w:rFonts w:hint="eastAsia"/>
                      <w:color w:val="auto"/>
                      <w:szCs w:val="21"/>
                    </w:rPr>
                  </w:pPr>
                  <w:r>
                    <w:rPr>
                      <w:rFonts w:hint="eastAsia"/>
                      <w:color w:val="auto"/>
                      <w:szCs w:val="21"/>
                    </w:rPr>
                    <w:t>办公室</w:t>
                  </w:r>
                </w:p>
              </w:tc>
              <w:tc>
                <w:tcPr>
                  <w:tcW w:w="3766" w:type="pct"/>
                  <w:noWrap w:val="0"/>
                  <w:tcMar>
                    <w:left w:w="57" w:type="dxa"/>
                    <w:right w:w="57" w:type="dxa"/>
                  </w:tcMar>
                  <w:vAlign w:val="center"/>
                </w:tcPr>
                <w:p w14:paraId="3CF61F54">
                  <w:pPr>
                    <w:pStyle w:val="30"/>
                    <w:jc w:val="both"/>
                    <w:rPr>
                      <w:rFonts w:hint="eastAsia"/>
                      <w:color w:val="auto"/>
                      <w:kern w:val="0"/>
                      <w:szCs w:val="21"/>
                    </w:rPr>
                  </w:pPr>
                  <w:r>
                    <w:rPr>
                      <w:rFonts w:hint="eastAsia"/>
                      <w:color w:val="auto"/>
                      <w:kern w:val="0"/>
                      <w:szCs w:val="21"/>
                    </w:rPr>
                    <w:t>位于</w:t>
                  </w:r>
                  <w:r>
                    <w:rPr>
                      <w:rFonts w:hint="eastAsia"/>
                      <w:color w:val="auto"/>
                      <w:kern w:val="0"/>
                      <w:szCs w:val="21"/>
                      <w:lang w:eastAsia="zh-CN"/>
                    </w:rPr>
                    <w:t>一</w:t>
                  </w:r>
                  <w:r>
                    <w:rPr>
                      <w:rFonts w:hint="eastAsia"/>
                      <w:color w:val="auto"/>
                      <w:kern w:val="0"/>
                      <w:szCs w:val="21"/>
                    </w:rPr>
                    <w:t>层生产车间</w:t>
                  </w:r>
                  <w:r>
                    <w:rPr>
                      <w:rFonts w:hint="eastAsia"/>
                      <w:color w:val="auto"/>
                      <w:kern w:val="0"/>
                      <w:szCs w:val="21"/>
                      <w:lang w:val="en-US" w:eastAsia="zh-CN"/>
                    </w:rPr>
                    <w:t>南</w:t>
                  </w:r>
                  <w:r>
                    <w:rPr>
                      <w:rFonts w:hint="eastAsia"/>
                      <w:color w:val="auto"/>
                      <w:kern w:val="0"/>
                      <w:szCs w:val="21"/>
                    </w:rPr>
                    <w:t>侧，面积约</w:t>
                  </w:r>
                  <w:r>
                    <w:rPr>
                      <w:rFonts w:hint="eastAsia"/>
                      <w:color w:val="auto"/>
                      <w:kern w:val="0"/>
                      <w:szCs w:val="21"/>
                      <w:lang w:val="en-US" w:eastAsia="zh-CN"/>
                    </w:rPr>
                    <w:t>10</w:t>
                  </w:r>
                  <w:r>
                    <w:rPr>
                      <w:color w:val="auto"/>
                      <w:kern w:val="0"/>
                      <w:szCs w:val="21"/>
                    </w:rPr>
                    <w:t>0</w:t>
                  </w:r>
                  <w:r>
                    <w:rPr>
                      <w:rFonts w:hint="eastAsia"/>
                      <w:color w:val="auto"/>
                      <w:kern w:val="0"/>
                      <w:szCs w:val="21"/>
                    </w:rPr>
                    <w:t>m</w:t>
                  </w:r>
                  <w:r>
                    <w:rPr>
                      <w:color w:val="auto"/>
                      <w:kern w:val="0"/>
                      <w:szCs w:val="21"/>
                      <w:vertAlign w:val="superscript"/>
                    </w:rPr>
                    <w:t>2</w:t>
                  </w:r>
                </w:p>
              </w:tc>
              <w:tc>
                <w:tcPr>
                  <w:tcW w:w="363" w:type="pct"/>
                  <w:vMerge w:val="restart"/>
                  <w:noWrap w:val="0"/>
                  <w:vAlign w:val="center"/>
                </w:tcPr>
                <w:p w14:paraId="705CEF1B">
                  <w:pPr>
                    <w:pStyle w:val="30"/>
                    <w:rPr>
                      <w:rFonts w:hint="eastAsia"/>
                      <w:color w:val="auto"/>
                      <w:kern w:val="0"/>
                      <w:szCs w:val="21"/>
                    </w:rPr>
                  </w:pPr>
                  <w:r>
                    <w:rPr>
                      <w:rFonts w:hint="eastAsia"/>
                      <w:color w:val="auto"/>
                      <w:kern w:val="0"/>
                      <w:szCs w:val="21"/>
                    </w:rPr>
                    <w:t>厂房已建</w:t>
                  </w:r>
                </w:p>
              </w:tc>
            </w:tr>
            <w:tr w14:paraId="39795A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99" w:type="pct"/>
                  <w:vMerge w:val="continue"/>
                  <w:noWrap w:val="0"/>
                  <w:tcMar>
                    <w:left w:w="57" w:type="dxa"/>
                    <w:right w:w="57" w:type="dxa"/>
                  </w:tcMar>
                  <w:vAlign w:val="center"/>
                </w:tcPr>
                <w:p w14:paraId="5541590C">
                  <w:pPr>
                    <w:pStyle w:val="30"/>
                    <w:rPr>
                      <w:rFonts w:hint="eastAsia"/>
                      <w:color w:val="auto"/>
                      <w:szCs w:val="21"/>
                    </w:rPr>
                  </w:pPr>
                </w:p>
              </w:tc>
              <w:tc>
                <w:tcPr>
                  <w:tcW w:w="671" w:type="pct"/>
                  <w:noWrap w:val="0"/>
                  <w:tcMar>
                    <w:left w:w="57" w:type="dxa"/>
                    <w:right w:w="57" w:type="dxa"/>
                  </w:tcMar>
                  <w:vAlign w:val="center"/>
                </w:tcPr>
                <w:p w14:paraId="704A0E6C">
                  <w:pPr>
                    <w:pStyle w:val="30"/>
                    <w:rPr>
                      <w:color w:val="auto"/>
                      <w:szCs w:val="21"/>
                    </w:rPr>
                  </w:pPr>
                  <w:r>
                    <w:rPr>
                      <w:rFonts w:hint="eastAsia"/>
                      <w:color w:val="auto"/>
                      <w:szCs w:val="21"/>
                    </w:rPr>
                    <w:t>空压机房</w:t>
                  </w:r>
                </w:p>
              </w:tc>
              <w:tc>
                <w:tcPr>
                  <w:tcW w:w="3766" w:type="pct"/>
                  <w:noWrap w:val="0"/>
                  <w:tcMar>
                    <w:left w:w="57" w:type="dxa"/>
                    <w:right w:w="57" w:type="dxa"/>
                  </w:tcMar>
                  <w:vAlign w:val="center"/>
                </w:tcPr>
                <w:p w14:paraId="712426FF">
                  <w:pPr>
                    <w:pStyle w:val="30"/>
                    <w:jc w:val="both"/>
                    <w:rPr>
                      <w:color w:val="auto"/>
                      <w:kern w:val="0"/>
                      <w:szCs w:val="21"/>
                    </w:rPr>
                  </w:pPr>
                  <w:r>
                    <w:rPr>
                      <w:rFonts w:hint="eastAsia"/>
                      <w:color w:val="auto"/>
                      <w:kern w:val="0"/>
                      <w:szCs w:val="21"/>
                    </w:rPr>
                    <w:t>位于</w:t>
                  </w:r>
                  <w:r>
                    <w:rPr>
                      <w:rFonts w:hint="eastAsia"/>
                      <w:color w:val="auto"/>
                      <w:kern w:val="0"/>
                      <w:szCs w:val="21"/>
                      <w:lang w:eastAsia="zh-CN"/>
                    </w:rPr>
                    <w:t>二</w:t>
                  </w:r>
                  <w:r>
                    <w:rPr>
                      <w:rFonts w:hint="eastAsia"/>
                      <w:color w:val="auto"/>
                      <w:kern w:val="0"/>
                      <w:szCs w:val="21"/>
                    </w:rPr>
                    <w:t>层生产车间东侧，面积约</w:t>
                  </w:r>
                  <w:r>
                    <w:rPr>
                      <w:rFonts w:hint="eastAsia"/>
                      <w:color w:val="auto"/>
                      <w:kern w:val="0"/>
                      <w:szCs w:val="21"/>
                      <w:lang w:val="en-US" w:eastAsia="zh-CN"/>
                    </w:rPr>
                    <w:t>100</w:t>
                  </w:r>
                  <w:r>
                    <w:rPr>
                      <w:rFonts w:hint="eastAsia"/>
                      <w:color w:val="auto"/>
                      <w:kern w:val="0"/>
                      <w:szCs w:val="21"/>
                    </w:rPr>
                    <w:t>m</w:t>
                  </w:r>
                  <w:r>
                    <w:rPr>
                      <w:color w:val="auto"/>
                      <w:kern w:val="0"/>
                      <w:szCs w:val="21"/>
                      <w:vertAlign w:val="superscript"/>
                    </w:rPr>
                    <w:t>2</w:t>
                  </w:r>
                </w:p>
              </w:tc>
              <w:tc>
                <w:tcPr>
                  <w:tcW w:w="363" w:type="pct"/>
                  <w:vMerge w:val="continue"/>
                  <w:noWrap w:val="0"/>
                  <w:vAlign w:val="center"/>
                </w:tcPr>
                <w:p w14:paraId="0C3F5BCA">
                  <w:pPr>
                    <w:pStyle w:val="30"/>
                    <w:rPr>
                      <w:rFonts w:hint="eastAsia"/>
                      <w:color w:val="auto"/>
                      <w:kern w:val="0"/>
                      <w:szCs w:val="21"/>
                    </w:rPr>
                  </w:pPr>
                </w:p>
              </w:tc>
            </w:tr>
            <w:tr w14:paraId="071FDE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99" w:type="pct"/>
                  <w:vMerge w:val="continue"/>
                  <w:noWrap w:val="0"/>
                  <w:tcMar>
                    <w:left w:w="57" w:type="dxa"/>
                    <w:right w:w="57" w:type="dxa"/>
                  </w:tcMar>
                  <w:vAlign w:val="center"/>
                </w:tcPr>
                <w:p w14:paraId="492F271F">
                  <w:pPr>
                    <w:pStyle w:val="30"/>
                    <w:rPr>
                      <w:rFonts w:hint="eastAsia"/>
                      <w:color w:val="auto"/>
                      <w:szCs w:val="21"/>
                    </w:rPr>
                  </w:pPr>
                </w:p>
              </w:tc>
              <w:tc>
                <w:tcPr>
                  <w:tcW w:w="671" w:type="pct"/>
                  <w:noWrap w:val="0"/>
                  <w:tcMar>
                    <w:left w:w="57" w:type="dxa"/>
                    <w:right w:w="57" w:type="dxa"/>
                  </w:tcMar>
                  <w:vAlign w:val="center"/>
                </w:tcPr>
                <w:p w14:paraId="59E3068D">
                  <w:pPr>
                    <w:pStyle w:val="30"/>
                    <w:rPr>
                      <w:rFonts w:hint="eastAsia"/>
                      <w:color w:val="auto"/>
                      <w:szCs w:val="21"/>
                    </w:rPr>
                  </w:pPr>
                  <w:r>
                    <w:rPr>
                      <w:rFonts w:hint="eastAsia"/>
                      <w:color w:val="auto"/>
                      <w:szCs w:val="21"/>
                    </w:rPr>
                    <w:t>配电机房</w:t>
                  </w:r>
                </w:p>
              </w:tc>
              <w:tc>
                <w:tcPr>
                  <w:tcW w:w="3766" w:type="pct"/>
                  <w:noWrap w:val="0"/>
                  <w:tcMar>
                    <w:left w:w="57" w:type="dxa"/>
                    <w:right w:w="57" w:type="dxa"/>
                  </w:tcMar>
                  <w:vAlign w:val="center"/>
                </w:tcPr>
                <w:p w14:paraId="3FFE467F">
                  <w:pPr>
                    <w:pStyle w:val="30"/>
                    <w:jc w:val="both"/>
                    <w:rPr>
                      <w:color w:val="auto"/>
                      <w:kern w:val="0"/>
                      <w:szCs w:val="21"/>
                    </w:rPr>
                  </w:pPr>
                  <w:r>
                    <w:rPr>
                      <w:rFonts w:hint="eastAsia"/>
                      <w:color w:val="auto"/>
                      <w:kern w:val="0"/>
                      <w:szCs w:val="21"/>
                    </w:rPr>
                    <w:t>位于</w:t>
                  </w:r>
                  <w:r>
                    <w:rPr>
                      <w:rFonts w:hint="eastAsia"/>
                      <w:color w:val="auto"/>
                      <w:kern w:val="0"/>
                      <w:szCs w:val="21"/>
                      <w:lang w:eastAsia="zh-CN"/>
                    </w:rPr>
                    <w:t>二</w:t>
                  </w:r>
                  <w:r>
                    <w:rPr>
                      <w:rFonts w:hint="eastAsia"/>
                      <w:color w:val="auto"/>
                      <w:kern w:val="0"/>
                      <w:szCs w:val="21"/>
                    </w:rPr>
                    <w:t>层生产车间东侧，面积约1</w:t>
                  </w:r>
                  <w:r>
                    <w:rPr>
                      <w:rFonts w:hint="eastAsia"/>
                      <w:color w:val="auto"/>
                      <w:kern w:val="0"/>
                      <w:szCs w:val="21"/>
                      <w:lang w:val="en-US" w:eastAsia="zh-CN"/>
                    </w:rPr>
                    <w:t>0</w:t>
                  </w:r>
                  <w:r>
                    <w:rPr>
                      <w:color w:val="auto"/>
                      <w:kern w:val="0"/>
                      <w:szCs w:val="21"/>
                    </w:rPr>
                    <w:t>0</w:t>
                  </w:r>
                  <w:r>
                    <w:rPr>
                      <w:rFonts w:hint="eastAsia"/>
                      <w:color w:val="auto"/>
                      <w:kern w:val="0"/>
                      <w:szCs w:val="21"/>
                    </w:rPr>
                    <w:t>m</w:t>
                  </w:r>
                  <w:r>
                    <w:rPr>
                      <w:color w:val="auto"/>
                      <w:kern w:val="0"/>
                      <w:szCs w:val="21"/>
                      <w:vertAlign w:val="superscript"/>
                    </w:rPr>
                    <w:t>2</w:t>
                  </w:r>
                </w:p>
              </w:tc>
              <w:tc>
                <w:tcPr>
                  <w:tcW w:w="363" w:type="pct"/>
                  <w:vMerge w:val="continue"/>
                  <w:noWrap w:val="0"/>
                  <w:vAlign w:val="center"/>
                </w:tcPr>
                <w:p w14:paraId="3318E248">
                  <w:pPr>
                    <w:pStyle w:val="30"/>
                    <w:rPr>
                      <w:rFonts w:hint="eastAsia"/>
                      <w:color w:val="auto"/>
                      <w:kern w:val="0"/>
                      <w:szCs w:val="21"/>
                    </w:rPr>
                  </w:pPr>
                </w:p>
              </w:tc>
            </w:tr>
            <w:tr w14:paraId="319905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99" w:type="pct"/>
                  <w:vMerge w:val="restart"/>
                  <w:noWrap w:val="0"/>
                  <w:tcMar>
                    <w:left w:w="57" w:type="dxa"/>
                    <w:right w:w="57" w:type="dxa"/>
                  </w:tcMar>
                  <w:vAlign w:val="center"/>
                </w:tcPr>
                <w:p w14:paraId="4613F488">
                  <w:pPr>
                    <w:pStyle w:val="30"/>
                    <w:rPr>
                      <w:color w:val="auto"/>
                      <w:szCs w:val="21"/>
                    </w:rPr>
                  </w:pPr>
                  <w:r>
                    <w:rPr>
                      <w:color w:val="auto"/>
                      <w:szCs w:val="21"/>
                    </w:rPr>
                    <w:t>公用工程</w:t>
                  </w:r>
                </w:p>
              </w:tc>
              <w:tc>
                <w:tcPr>
                  <w:tcW w:w="671" w:type="pct"/>
                  <w:noWrap w:val="0"/>
                  <w:tcMar>
                    <w:left w:w="57" w:type="dxa"/>
                    <w:right w:w="57" w:type="dxa"/>
                  </w:tcMar>
                  <w:vAlign w:val="center"/>
                </w:tcPr>
                <w:p w14:paraId="7981BC37">
                  <w:pPr>
                    <w:pStyle w:val="30"/>
                    <w:rPr>
                      <w:color w:val="auto"/>
                      <w:szCs w:val="21"/>
                    </w:rPr>
                  </w:pPr>
                  <w:r>
                    <w:rPr>
                      <w:color w:val="auto"/>
                      <w:szCs w:val="21"/>
                    </w:rPr>
                    <w:t>供电</w:t>
                  </w:r>
                </w:p>
              </w:tc>
              <w:tc>
                <w:tcPr>
                  <w:tcW w:w="3766" w:type="pct"/>
                  <w:noWrap w:val="0"/>
                  <w:vAlign w:val="center"/>
                </w:tcPr>
                <w:p w14:paraId="63385EE5">
                  <w:pPr>
                    <w:pStyle w:val="30"/>
                    <w:jc w:val="both"/>
                    <w:rPr>
                      <w:color w:val="auto"/>
                      <w:szCs w:val="21"/>
                    </w:rPr>
                  </w:pPr>
                  <w:r>
                    <w:rPr>
                      <w:color w:val="auto"/>
                      <w:szCs w:val="21"/>
                    </w:rPr>
                    <w:t>由市政电力系统提供</w:t>
                  </w:r>
                </w:p>
              </w:tc>
              <w:tc>
                <w:tcPr>
                  <w:tcW w:w="363" w:type="pct"/>
                  <w:vMerge w:val="restart"/>
                  <w:noWrap w:val="0"/>
                  <w:vAlign w:val="center"/>
                </w:tcPr>
                <w:p w14:paraId="08292D61">
                  <w:pPr>
                    <w:pStyle w:val="30"/>
                    <w:rPr>
                      <w:color w:val="auto"/>
                      <w:szCs w:val="21"/>
                    </w:rPr>
                  </w:pPr>
                  <w:r>
                    <w:rPr>
                      <w:rFonts w:hint="eastAsia"/>
                      <w:color w:val="auto"/>
                      <w:szCs w:val="21"/>
                    </w:rPr>
                    <w:t>依托现有</w:t>
                  </w:r>
                </w:p>
              </w:tc>
            </w:tr>
            <w:tr w14:paraId="7FF185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99" w:type="pct"/>
                  <w:vMerge w:val="continue"/>
                  <w:noWrap w:val="0"/>
                  <w:tcMar>
                    <w:left w:w="57" w:type="dxa"/>
                    <w:right w:w="57" w:type="dxa"/>
                  </w:tcMar>
                  <w:vAlign w:val="center"/>
                </w:tcPr>
                <w:p w14:paraId="0956AC56">
                  <w:pPr>
                    <w:pStyle w:val="30"/>
                    <w:rPr>
                      <w:color w:val="auto"/>
                      <w:szCs w:val="21"/>
                    </w:rPr>
                  </w:pPr>
                </w:p>
              </w:tc>
              <w:tc>
                <w:tcPr>
                  <w:tcW w:w="671" w:type="pct"/>
                  <w:noWrap w:val="0"/>
                  <w:tcMar>
                    <w:left w:w="57" w:type="dxa"/>
                    <w:right w:w="57" w:type="dxa"/>
                  </w:tcMar>
                  <w:vAlign w:val="center"/>
                </w:tcPr>
                <w:p w14:paraId="3FE2F357">
                  <w:pPr>
                    <w:pStyle w:val="30"/>
                    <w:rPr>
                      <w:color w:val="auto"/>
                      <w:szCs w:val="21"/>
                    </w:rPr>
                  </w:pPr>
                  <w:r>
                    <w:rPr>
                      <w:color w:val="auto"/>
                      <w:szCs w:val="21"/>
                    </w:rPr>
                    <w:t>给水</w:t>
                  </w:r>
                </w:p>
              </w:tc>
              <w:tc>
                <w:tcPr>
                  <w:tcW w:w="3766" w:type="pct"/>
                  <w:noWrap w:val="0"/>
                  <w:vAlign w:val="center"/>
                </w:tcPr>
                <w:p w14:paraId="665C9191">
                  <w:pPr>
                    <w:pStyle w:val="30"/>
                    <w:jc w:val="both"/>
                    <w:rPr>
                      <w:color w:val="auto"/>
                      <w:szCs w:val="21"/>
                    </w:rPr>
                  </w:pPr>
                  <w:r>
                    <w:rPr>
                      <w:color w:val="auto"/>
                      <w:szCs w:val="21"/>
                    </w:rPr>
                    <w:t>由市政供水系统提供</w:t>
                  </w:r>
                </w:p>
              </w:tc>
              <w:tc>
                <w:tcPr>
                  <w:tcW w:w="363" w:type="pct"/>
                  <w:vMerge w:val="continue"/>
                  <w:noWrap w:val="0"/>
                  <w:vAlign w:val="center"/>
                </w:tcPr>
                <w:p w14:paraId="7B8A2CCA">
                  <w:pPr>
                    <w:pStyle w:val="30"/>
                    <w:rPr>
                      <w:color w:val="auto"/>
                      <w:szCs w:val="21"/>
                    </w:rPr>
                  </w:pPr>
                </w:p>
              </w:tc>
            </w:tr>
            <w:tr w14:paraId="402A8F0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12" w:hRule="atLeast"/>
                <w:jc w:val="center"/>
              </w:trPr>
              <w:tc>
                <w:tcPr>
                  <w:tcW w:w="199" w:type="pct"/>
                  <w:vMerge w:val="continue"/>
                  <w:noWrap w:val="0"/>
                  <w:tcMar>
                    <w:left w:w="57" w:type="dxa"/>
                    <w:right w:w="57" w:type="dxa"/>
                  </w:tcMar>
                  <w:vAlign w:val="center"/>
                </w:tcPr>
                <w:p w14:paraId="0990DCA9">
                  <w:pPr>
                    <w:pStyle w:val="30"/>
                    <w:rPr>
                      <w:color w:val="auto"/>
                      <w:szCs w:val="21"/>
                    </w:rPr>
                  </w:pPr>
                </w:p>
              </w:tc>
              <w:tc>
                <w:tcPr>
                  <w:tcW w:w="671" w:type="pct"/>
                  <w:noWrap w:val="0"/>
                  <w:tcMar>
                    <w:left w:w="57" w:type="dxa"/>
                    <w:right w:w="57" w:type="dxa"/>
                  </w:tcMar>
                  <w:vAlign w:val="center"/>
                </w:tcPr>
                <w:p w14:paraId="25A4FBF6">
                  <w:pPr>
                    <w:pStyle w:val="30"/>
                    <w:rPr>
                      <w:color w:val="auto"/>
                      <w:szCs w:val="21"/>
                    </w:rPr>
                  </w:pPr>
                  <w:r>
                    <w:rPr>
                      <w:color w:val="auto"/>
                      <w:szCs w:val="21"/>
                    </w:rPr>
                    <w:t>排水</w:t>
                  </w:r>
                </w:p>
              </w:tc>
              <w:tc>
                <w:tcPr>
                  <w:tcW w:w="3766" w:type="pct"/>
                  <w:noWrap w:val="0"/>
                  <w:vAlign w:val="center"/>
                </w:tcPr>
                <w:p w14:paraId="70C59300">
                  <w:pPr>
                    <w:pStyle w:val="30"/>
                    <w:jc w:val="both"/>
                    <w:rPr>
                      <w:rFonts w:hint="eastAsia"/>
                      <w:color w:val="auto"/>
                      <w:szCs w:val="21"/>
                    </w:rPr>
                  </w:pPr>
                  <w:r>
                    <w:rPr>
                      <w:rFonts w:hint="eastAsia"/>
                      <w:color w:val="auto"/>
                      <w:szCs w:val="21"/>
                    </w:rPr>
                    <w:t>雨、污分流制</w:t>
                  </w:r>
                </w:p>
              </w:tc>
              <w:tc>
                <w:tcPr>
                  <w:tcW w:w="363" w:type="pct"/>
                  <w:vMerge w:val="continue"/>
                  <w:noWrap w:val="0"/>
                  <w:vAlign w:val="center"/>
                </w:tcPr>
                <w:p w14:paraId="2158292E">
                  <w:pPr>
                    <w:pStyle w:val="30"/>
                    <w:rPr>
                      <w:color w:val="auto"/>
                      <w:szCs w:val="21"/>
                    </w:rPr>
                  </w:pPr>
                </w:p>
              </w:tc>
            </w:tr>
            <w:tr w14:paraId="4FA64B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99" w:type="pct"/>
                  <w:vMerge w:val="restart"/>
                  <w:noWrap w:val="0"/>
                  <w:tcMar>
                    <w:left w:w="57" w:type="dxa"/>
                    <w:right w:w="57" w:type="dxa"/>
                  </w:tcMar>
                  <w:vAlign w:val="center"/>
                </w:tcPr>
                <w:p w14:paraId="0C341471">
                  <w:pPr>
                    <w:pStyle w:val="30"/>
                    <w:rPr>
                      <w:color w:val="auto"/>
                      <w:szCs w:val="21"/>
                    </w:rPr>
                  </w:pPr>
                  <w:r>
                    <w:rPr>
                      <w:color w:val="auto"/>
                      <w:szCs w:val="21"/>
                    </w:rPr>
                    <w:t>环保工程</w:t>
                  </w:r>
                </w:p>
              </w:tc>
              <w:tc>
                <w:tcPr>
                  <w:tcW w:w="671" w:type="pct"/>
                  <w:noWrap w:val="0"/>
                  <w:tcMar>
                    <w:left w:w="57" w:type="dxa"/>
                    <w:right w:w="57" w:type="dxa"/>
                  </w:tcMar>
                  <w:vAlign w:val="center"/>
                </w:tcPr>
                <w:p w14:paraId="738F83E4">
                  <w:pPr>
                    <w:pStyle w:val="30"/>
                    <w:rPr>
                      <w:color w:val="auto"/>
                      <w:szCs w:val="21"/>
                    </w:rPr>
                  </w:pPr>
                  <w:r>
                    <w:rPr>
                      <w:color w:val="auto"/>
                      <w:szCs w:val="21"/>
                    </w:rPr>
                    <w:t>废水</w:t>
                  </w:r>
                </w:p>
              </w:tc>
              <w:tc>
                <w:tcPr>
                  <w:tcW w:w="3766" w:type="pct"/>
                  <w:noWrap w:val="0"/>
                  <w:vAlign w:val="center"/>
                </w:tcPr>
                <w:p w14:paraId="3D11BC4F">
                  <w:pPr>
                    <w:pStyle w:val="30"/>
                    <w:jc w:val="both"/>
                    <w:rPr>
                      <w:color w:val="auto"/>
                      <w:szCs w:val="21"/>
                    </w:rPr>
                  </w:pPr>
                  <w:r>
                    <w:rPr>
                      <w:color w:val="auto"/>
                    </w:rPr>
                    <w:t>生活污水</w:t>
                  </w:r>
                  <w:r>
                    <w:rPr>
                      <w:rFonts w:hint="eastAsia"/>
                      <w:color w:val="auto"/>
                    </w:rPr>
                    <w:t>依托</w:t>
                  </w:r>
                  <w:r>
                    <w:rPr>
                      <w:rFonts w:hint="eastAsia"/>
                      <w:color w:val="auto"/>
                      <w:lang w:val="en-US" w:eastAsia="zh-CN"/>
                    </w:rPr>
                    <w:t>元可公司</w:t>
                  </w:r>
                  <w:r>
                    <w:rPr>
                      <w:rFonts w:hint="eastAsia"/>
                      <w:color w:val="auto"/>
                    </w:rPr>
                    <w:t>已建化粪池处理后，通过市政污水管网排入</w:t>
                  </w:r>
                  <w:r>
                    <w:rPr>
                      <w:rFonts w:hint="eastAsia"/>
                      <w:color w:val="auto"/>
                      <w:lang w:val="en-US" w:eastAsia="zh-CN"/>
                    </w:rPr>
                    <w:t>闽侯县</w:t>
                  </w:r>
                  <w:r>
                    <w:rPr>
                      <w:rFonts w:hint="eastAsia"/>
                      <w:color w:val="auto"/>
                    </w:rPr>
                    <w:t>污水处理厂</w:t>
                  </w:r>
                </w:p>
              </w:tc>
              <w:tc>
                <w:tcPr>
                  <w:tcW w:w="363" w:type="pct"/>
                  <w:noWrap w:val="0"/>
                  <w:vAlign w:val="center"/>
                </w:tcPr>
                <w:p w14:paraId="71355779">
                  <w:pPr>
                    <w:pStyle w:val="30"/>
                    <w:rPr>
                      <w:rFonts w:hint="eastAsia"/>
                      <w:color w:val="auto"/>
                      <w:szCs w:val="21"/>
                    </w:rPr>
                  </w:pPr>
                  <w:r>
                    <w:rPr>
                      <w:rFonts w:hint="eastAsia"/>
                      <w:color w:val="auto"/>
                      <w:szCs w:val="21"/>
                    </w:rPr>
                    <w:t>依托现有</w:t>
                  </w:r>
                </w:p>
              </w:tc>
            </w:tr>
            <w:tr w14:paraId="47BCE1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99" w:type="pct"/>
                  <w:vMerge w:val="continue"/>
                  <w:noWrap w:val="0"/>
                  <w:tcMar>
                    <w:left w:w="57" w:type="dxa"/>
                    <w:right w:w="57" w:type="dxa"/>
                  </w:tcMar>
                  <w:vAlign w:val="center"/>
                </w:tcPr>
                <w:p w14:paraId="47BFFC50">
                  <w:pPr>
                    <w:pStyle w:val="30"/>
                    <w:rPr>
                      <w:color w:val="auto"/>
                      <w:szCs w:val="21"/>
                    </w:rPr>
                  </w:pPr>
                </w:p>
              </w:tc>
              <w:tc>
                <w:tcPr>
                  <w:tcW w:w="671" w:type="pct"/>
                  <w:noWrap w:val="0"/>
                  <w:tcMar>
                    <w:left w:w="57" w:type="dxa"/>
                    <w:right w:w="57" w:type="dxa"/>
                  </w:tcMar>
                  <w:vAlign w:val="center"/>
                </w:tcPr>
                <w:p w14:paraId="65BD6C0D">
                  <w:pPr>
                    <w:pStyle w:val="30"/>
                    <w:rPr>
                      <w:color w:val="auto"/>
                      <w:szCs w:val="21"/>
                    </w:rPr>
                  </w:pPr>
                  <w:r>
                    <w:rPr>
                      <w:color w:val="auto"/>
                      <w:szCs w:val="21"/>
                    </w:rPr>
                    <w:t>废气</w:t>
                  </w:r>
                </w:p>
              </w:tc>
              <w:tc>
                <w:tcPr>
                  <w:tcW w:w="3766" w:type="pct"/>
                  <w:noWrap w:val="0"/>
                  <w:vAlign w:val="center"/>
                </w:tcPr>
                <w:p w14:paraId="57422B6A">
                  <w:pPr>
                    <w:pStyle w:val="30"/>
                    <w:jc w:val="both"/>
                    <w:rPr>
                      <w:color w:val="auto"/>
                      <w:szCs w:val="21"/>
                    </w:rPr>
                  </w:pPr>
                  <w:r>
                    <w:rPr>
                      <w:rFonts w:hint="eastAsia" w:ascii="宋体" w:hAnsi="宋体" w:cs="宋体"/>
                      <w:color w:val="auto"/>
                      <w:szCs w:val="21"/>
                    </w:rPr>
                    <w:t>①边角料、次品</w:t>
                  </w:r>
                  <w:r>
                    <w:rPr>
                      <w:rFonts w:hint="eastAsia"/>
                      <w:color w:val="auto"/>
                      <w:szCs w:val="21"/>
                    </w:rPr>
                    <w:t>破碎</w:t>
                  </w:r>
                  <w:r>
                    <w:rPr>
                      <w:color w:val="auto"/>
                      <w:szCs w:val="21"/>
                    </w:rPr>
                    <w:t>粉尘经</w:t>
                  </w:r>
                  <w:r>
                    <w:rPr>
                      <w:rFonts w:hint="eastAsia"/>
                      <w:color w:val="auto"/>
                      <w:szCs w:val="21"/>
                    </w:rPr>
                    <w:t>袋式除尘器</w:t>
                  </w:r>
                  <w:r>
                    <w:rPr>
                      <w:color w:val="auto"/>
                      <w:szCs w:val="21"/>
                    </w:rPr>
                    <w:t>处理达标后</w:t>
                  </w:r>
                  <w:r>
                    <w:rPr>
                      <w:rFonts w:hint="eastAsia"/>
                      <w:color w:val="auto"/>
                      <w:szCs w:val="21"/>
                    </w:rPr>
                    <w:t>车间排</w:t>
                  </w:r>
                  <w:r>
                    <w:rPr>
                      <w:color w:val="auto"/>
                      <w:szCs w:val="21"/>
                    </w:rPr>
                    <w:t>；</w:t>
                  </w:r>
                </w:p>
                <w:p w14:paraId="5C95B31B">
                  <w:pPr>
                    <w:pStyle w:val="30"/>
                    <w:jc w:val="both"/>
                    <w:rPr>
                      <w:color w:val="auto"/>
                      <w:szCs w:val="21"/>
                    </w:rPr>
                  </w:pPr>
                  <w:r>
                    <w:rPr>
                      <w:rFonts w:hint="eastAsia" w:ascii="宋体" w:hAnsi="宋体" w:cs="宋体"/>
                      <w:color w:val="auto"/>
                      <w:szCs w:val="21"/>
                    </w:rPr>
                    <w:t>②</w:t>
                  </w:r>
                  <w:r>
                    <w:rPr>
                      <w:rFonts w:hint="eastAsia" w:ascii="宋体" w:hAnsi="宋体" w:cs="宋体"/>
                      <w:color w:val="auto"/>
                      <w:szCs w:val="21"/>
                      <w:lang w:eastAsia="zh-CN"/>
                    </w:rPr>
                    <w:t>熔融</w:t>
                  </w:r>
                  <w:r>
                    <w:rPr>
                      <w:rFonts w:hint="eastAsia" w:ascii="宋体" w:hAnsi="宋体" w:cs="宋体"/>
                      <w:color w:val="auto"/>
                      <w:szCs w:val="21"/>
                    </w:rPr>
                    <w:t>、挤压产生的废气经收集后</w:t>
                  </w:r>
                  <w:r>
                    <w:rPr>
                      <w:rFonts w:hint="eastAsia"/>
                      <w:color w:val="auto"/>
                      <w:szCs w:val="21"/>
                    </w:rPr>
                    <w:t>经二级活性炭吸附装置处理后</w:t>
                  </w:r>
                  <w:r>
                    <w:rPr>
                      <w:color w:val="auto"/>
                      <w:szCs w:val="21"/>
                    </w:rPr>
                    <w:t>，</w:t>
                  </w:r>
                  <w:r>
                    <w:rPr>
                      <w:rFonts w:hint="eastAsia"/>
                      <w:color w:val="auto"/>
                      <w:szCs w:val="21"/>
                    </w:rPr>
                    <w:t>引至</w:t>
                  </w:r>
                  <w:r>
                    <w:rPr>
                      <w:rFonts w:hint="eastAsia"/>
                      <w:color w:val="auto"/>
                      <w:szCs w:val="21"/>
                      <w:lang w:val="en-US" w:eastAsia="zh-CN"/>
                    </w:rPr>
                    <w:t>15</w:t>
                  </w:r>
                  <w:r>
                    <w:rPr>
                      <w:rFonts w:hint="eastAsia"/>
                      <w:color w:val="auto"/>
                      <w:szCs w:val="21"/>
                    </w:rPr>
                    <w:t>m高</w:t>
                  </w:r>
                  <w:r>
                    <w:rPr>
                      <w:color w:val="auto"/>
                      <w:szCs w:val="21"/>
                    </w:rPr>
                    <w:t>DA001排气筒</w:t>
                  </w:r>
                  <w:r>
                    <w:rPr>
                      <w:rFonts w:hint="eastAsia"/>
                      <w:color w:val="auto"/>
                      <w:szCs w:val="21"/>
                    </w:rPr>
                    <w:t>排放</w:t>
                  </w:r>
                </w:p>
              </w:tc>
              <w:tc>
                <w:tcPr>
                  <w:tcW w:w="363" w:type="pct"/>
                  <w:noWrap w:val="0"/>
                  <w:vAlign w:val="center"/>
                </w:tcPr>
                <w:p w14:paraId="42CE2589">
                  <w:pPr>
                    <w:pStyle w:val="30"/>
                    <w:rPr>
                      <w:rFonts w:hint="eastAsia" w:ascii="宋体" w:hAnsi="宋体" w:cs="宋体"/>
                      <w:color w:val="auto"/>
                      <w:szCs w:val="21"/>
                    </w:rPr>
                  </w:pPr>
                  <w:r>
                    <w:rPr>
                      <w:rFonts w:hint="eastAsia" w:ascii="宋体" w:hAnsi="宋体" w:cs="宋体"/>
                      <w:color w:val="auto"/>
                      <w:szCs w:val="21"/>
                    </w:rPr>
                    <w:t>新建</w:t>
                  </w:r>
                </w:p>
              </w:tc>
            </w:tr>
            <w:tr w14:paraId="61FD90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99" w:type="pct"/>
                  <w:vMerge w:val="continue"/>
                  <w:noWrap w:val="0"/>
                  <w:tcMar>
                    <w:left w:w="57" w:type="dxa"/>
                    <w:right w:w="57" w:type="dxa"/>
                  </w:tcMar>
                  <w:vAlign w:val="center"/>
                </w:tcPr>
                <w:p w14:paraId="59BA05C0">
                  <w:pPr>
                    <w:pStyle w:val="30"/>
                    <w:rPr>
                      <w:color w:val="auto"/>
                      <w:szCs w:val="21"/>
                    </w:rPr>
                  </w:pPr>
                </w:p>
              </w:tc>
              <w:tc>
                <w:tcPr>
                  <w:tcW w:w="671" w:type="pct"/>
                  <w:noWrap w:val="0"/>
                  <w:tcMar>
                    <w:left w:w="57" w:type="dxa"/>
                    <w:right w:w="57" w:type="dxa"/>
                  </w:tcMar>
                  <w:vAlign w:val="center"/>
                </w:tcPr>
                <w:p w14:paraId="2F2BE2C3">
                  <w:pPr>
                    <w:pStyle w:val="30"/>
                    <w:rPr>
                      <w:color w:val="auto"/>
                      <w:szCs w:val="21"/>
                    </w:rPr>
                  </w:pPr>
                  <w:r>
                    <w:rPr>
                      <w:color w:val="auto"/>
                      <w:szCs w:val="21"/>
                    </w:rPr>
                    <w:t>噪声</w:t>
                  </w:r>
                </w:p>
              </w:tc>
              <w:tc>
                <w:tcPr>
                  <w:tcW w:w="3766" w:type="pct"/>
                  <w:noWrap w:val="0"/>
                  <w:vAlign w:val="center"/>
                </w:tcPr>
                <w:p w14:paraId="712D37BE">
                  <w:pPr>
                    <w:pStyle w:val="30"/>
                    <w:jc w:val="both"/>
                    <w:rPr>
                      <w:color w:val="auto"/>
                      <w:szCs w:val="21"/>
                    </w:rPr>
                  </w:pPr>
                  <w:r>
                    <w:rPr>
                      <w:color w:val="auto"/>
                      <w:szCs w:val="21"/>
                    </w:rPr>
                    <w:t>采取消声、基础减振、厂房隔声等降噪措施</w:t>
                  </w:r>
                </w:p>
              </w:tc>
              <w:tc>
                <w:tcPr>
                  <w:tcW w:w="363" w:type="pct"/>
                  <w:noWrap w:val="0"/>
                  <w:vAlign w:val="center"/>
                </w:tcPr>
                <w:p w14:paraId="5F3AE8B7">
                  <w:pPr>
                    <w:pStyle w:val="30"/>
                    <w:rPr>
                      <w:rFonts w:hint="eastAsia"/>
                      <w:color w:val="auto"/>
                      <w:szCs w:val="21"/>
                    </w:rPr>
                  </w:pPr>
                  <w:r>
                    <w:rPr>
                      <w:rFonts w:hint="eastAsia"/>
                      <w:color w:val="auto"/>
                      <w:szCs w:val="21"/>
                    </w:rPr>
                    <w:t>新建</w:t>
                  </w:r>
                </w:p>
              </w:tc>
            </w:tr>
            <w:tr w14:paraId="723522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99" w:type="pct"/>
                  <w:vMerge w:val="continue"/>
                  <w:noWrap w:val="0"/>
                  <w:tcMar>
                    <w:left w:w="57" w:type="dxa"/>
                    <w:right w:w="57" w:type="dxa"/>
                  </w:tcMar>
                  <w:vAlign w:val="center"/>
                </w:tcPr>
                <w:p w14:paraId="1A5F1EC7">
                  <w:pPr>
                    <w:pStyle w:val="30"/>
                    <w:rPr>
                      <w:color w:val="auto"/>
                      <w:szCs w:val="21"/>
                    </w:rPr>
                  </w:pPr>
                </w:p>
              </w:tc>
              <w:tc>
                <w:tcPr>
                  <w:tcW w:w="671" w:type="pct"/>
                  <w:noWrap w:val="0"/>
                  <w:tcMar>
                    <w:left w:w="57" w:type="dxa"/>
                    <w:right w:w="57" w:type="dxa"/>
                  </w:tcMar>
                  <w:vAlign w:val="center"/>
                </w:tcPr>
                <w:p w14:paraId="77E68A61">
                  <w:pPr>
                    <w:pStyle w:val="30"/>
                    <w:rPr>
                      <w:color w:val="auto"/>
                      <w:szCs w:val="21"/>
                    </w:rPr>
                  </w:pPr>
                  <w:r>
                    <w:rPr>
                      <w:color w:val="auto"/>
                      <w:szCs w:val="21"/>
                    </w:rPr>
                    <w:t>固体废物</w:t>
                  </w:r>
                </w:p>
              </w:tc>
              <w:tc>
                <w:tcPr>
                  <w:tcW w:w="3766" w:type="pct"/>
                  <w:noWrap w:val="0"/>
                  <w:tcMar>
                    <w:left w:w="57" w:type="dxa"/>
                    <w:right w:w="57" w:type="dxa"/>
                  </w:tcMar>
                  <w:vAlign w:val="center"/>
                </w:tcPr>
                <w:p w14:paraId="0FF73576">
                  <w:pPr>
                    <w:pStyle w:val="30"/>
                    <w:jc w:val="both"/>
                    <w:rPr>
                      <w:color w:val="auto"/>
                      <w:szCs w:val="21"/>
                    </w:rPr>
                  </w:pPr>
                  <w:r>
                    <w:rPr>
                      <w:color w:val="auto"/>
                      <w:szCs w:val="21"/>
                    </w:rPr>
                    <w:t>在</w:t>
                  </w:r>
                  <w:r>
                    <w:rPr>
                      <w:rFonts w:hint="eastAsia"/>
                      <w:color w:val="auto"/>
                      <w:szCs w:val="21"/>
                      <w:lang w:eastAsia="zh-CN"/>
                    </w:rPr>
                    <w:t>二</w:t>
                  </w:r>
                  <w:r>
                    <w:rPr>
                      <w:rFonts w:hint="eastAsia"/>
                      <w:color w:val="auto"/>
                      <w:szCs w:val="21"/>
                    </w:rPr>
                    <w:t>层生产车间南侧</w:t>
                  </w:r>
                  <w:r>
                    <w:rPr>
                      <w:color w:val="auto"/>
                      <w:szCs w:val="21"/>
                    </w:rPr>
                    <w:t>划定专门的区域，分别设置作为一般工业固废暂存场所和危废暂存间，其中危废暂存间面积约</w:t>
                  </w:r>
                  <w:r>
                    <w:rPr>
                      <w:rFonts w:hint="eastAsia"/>
                      <w:color w:val="auto"/>
                      <w:szCs w:val="21"/>
                      <w:lang w:val="en-US" w:eastAsia="zh-CN"/>
                    </w:rPr>
                    <w:t>50</w:t>
                  </w:r>
                  <w:r>
                    <w:rPr>
                      <w:color w:val="auto"/>
                      <w:szCs w:val="21"/>
                    </w:rPr>
                    <w:t>m</w:t>
                  </w:r>
                  <w:r>
                    <w:rPr>
                      <w:color w:val="auto"/>
                      <w:szCs w:val="21"/>
                      <w:vertAlign w:val="superscript"/>
                    </w:rPr>
                    <w:t>2</w:t>
                  </w:r>
                  <w:r>
                    <w:rPr>
                      <w:rFonts w:hint="eastAsia"/>
                      <w:color w:val="auto"/>
                      <w:szCs w:val="21"/>
                    </w:rPr>
                    <w:t>、一般</w:t>
                  </w:r>
                  <w:r>
                    <w:rPr>
                      <w:rFonts w:hint="eastAsia"/>
                      <w:iCs/>
                      <w:color w:val="auto"/>
                    </w:rPr>
                    <w:t>工业</w:t>
                  </w:r>
                  <w:r>
                    <w:rPr>
                      <w:rFonts w:hint="eastAsia"/>
                      <w:color w:val="auto"/>
                      <w:szCs w:val="21"/>
                    </w:rPr>
                    <w:t>固废</w:t>
                  </w:r>
                  <w:r>
                    <w:rPr>
                      <w:color w:val="auto"/>
                      <w:szCs w:val="21"/>
                    </w:rPr>
                    <w:t>暂存间面积约</w:t>
                  </w:r>
                  <w:r>
                    <w:rPr>
                      <w:rFonts w:hint="eastAsia"/>
                      <w:color w:val="auto"/>
                      <w:szCs w:val="21"/>
                      <w:lang w:val="en-US" w:eastAsia="zh-CN"/>
                    </w:rPr>
                    <w:t>20</w:t>
                  </w:r>
                  <w:r>
                    <w:rPr>
                      <w:color w:val="auto"/>
                      <w:szCs w:val="21"/>
                    </w:rPr>
                    <w:t>m</w:t>
                  </w:r>
                  <w:r>
                    <w:rPr>
                      <w:color w:val="auto"/>
                      <w:szCs w:val="21"/>
                      <w:vertAlign w:val="superscript"/>
                    </w:rPr>
                    <w:t>2</w:t>
                  </w:r>
                </w:p>
              </w:tc>
              <w:tc>
                <w:tcPr>
                  <w:tcW w:w="363" w:type="pct"/>
                  <w:noWrap w:val="0"/>
                  <w:vAlign w:val="center"/>
                </w:tcPr>
                <w:p w14:paraId="1677364C">
                  <w:pPr>
                    <w:pStyle w:val="30"/>
                    <w:rPr>
                      <w:rFonts w:hint="eastAsia"/>
                      <w:color w:val="auto"/>
                      <w:szCs w:val="21"/>
                    </w:rPr>
                  </w:pPr>
                  <w:r>
                    <w:rPr>
                      <w:rFonts w:hint="eastAsia"/>
                      <w:color w:val="auto"/>
                      <w:szCs w:val="21"/>
                    </w:rPr>
                    <w:t>新建</w:t>
                  </w:r>
                </w:p>
              </w:tc>
            </w:tr>
            <w:tr w14:paraId="52C832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99" w:type="pct"/>
                  <w:vMerge w:val="restart"/>
                  <w:noWrap w:val="0"/>
                  <w:tcMar>
                    <w:left w:w="57" w:type="dxa"/>
                    <w:right w:w="57" w:type="dxa"/>
                  </w:tcMar>
                  <w:vAlign w:val="center"/>
                </w:tcPr>
                <w:p w14:paraId="4DA3CB8A">
                  <w:pPr>
                    <w:pStyle w:val="30"/>
                    <w:rPr>
                      <w:color w:val="auto"/>
                      <w:szCs w:val="21"/>
                    </w:rPr>
                  </w:pPr>
                  <w:r>
                    <w:rPr>
                      <w:color w:val="auto"/>
                      <w:szCs w:val="21"/>
                    </w:rPr>
                    <w:t>储运工程</w:t>
                  </w:r>
                </w:p>
              </w:tc>
              <w:tc>
                <w:tcPr>
                  <w:tcW w:w="671" w:type="pct"/>
                  <w:noWrap w:val="0"/>
                  <w:tcMar>
                    <w:left w:w="57" w:type="dxa"/>
                    <w:right w:w="57" w:type="dxa"/>
                  </w:tcMar>
                  <w:vAlign w:val="center"/>
                </w:tcPr>
                <w:p w14:paraId="06DB4EE6">
                  <w:pPr>
                    <w:pStyle w:val="30"/>
                    <w:rPr>
                      <w:color w:val="auto"/>
                      <w:szCs w:val="21"/>
                    </w:rPr>
                  </w:pPr>
                  <w:r>
                    <w:rPr>
                      <w:rFonts w:hint="eastAsia"/>
                      <w:color w:val="auto"/>
                      <w:szCs w:val="21"/>
                    </w:rPr>
                    <w:t>配件区</w:t>
                  </w:r>
                </w:p>
              </w:tc>
              <w:tc>
                <w:tcPr>
                  <w:tcW w:w="3766" w:type="pct"/>
                  <w:noWrap w:val="0"/>
                  <w:tcMar>
                    <w:left w:w="57" w:type="dxa"/>
                    <w:right w:w="57" w:type="dxa"/>
                  </w:tcMar>
                  <w:vAlign w:val="center"/>
                </w:tcPr>
                <w:p w14:paraId="798E263C">
                  <w:pPr>
                    <w:pStyle w:val="30"/>
                    <w:jc w:val="both"/>
                    <w:rPr>
                      <w:color w:val="auto"/>
                      <w:szCs w:val="21"/>
                    </w:rPr>
                  </w:pPr>
                  <w:r>
                    <w:rPr>
                      <w:rFonts w:hint="eastAsia"/>
                      <w:color w:val="auto"/>
                      <w:kern w:val="0"/>
                      <w:szCs w:val="21"/>
                      <w:lang w:val="en-US" w:eastAsia="zh-CN"/>
                    </w:rPr>
                    <w:t>一</w:t>
                  </w:r>
                  <w:r>
                    <w:rPr>
                      <w:rFonts w:hint="eastAsia"/>
                      <w:color w:val="auto"/>
                      <w:kern w:val="0"/>
                      <w:szCs w:val="21"/>
                    </w:rPr>
                    <w:t>层生产车间</w:t>
                  </w:r>
                  <w:r>
                    <w:rPr>
                      <w:rFonts w:hint="eastAsia"/>
                      <w:color w:val="auto"/>
                      <w:kern w:val="0"/>
                      <w:szCs w:val="21"/>
                      <w:lang w:eastAsia="zh-CN"/>
                    </w:rPr>
                    <w:t>西</w:t>
                  </w:r>
                  <w:r>
                    <w:rPr>
                      <w:rFonts w:hint="eastAsia"/>
                      <w:color w:val="auto"/>
                      <w:kern w:val="0"/>
                      <w:szCs w:val="21"/>
                    </w:rPr>
                    <w:t>侧设置五金配件储存区，面积约</w:t>
                  </w:r>
                  <w:r>
                    <w:rPr>
                      <w:rFonts w:hint="eastAsia"/>
                      <w:color w:val="auto"/>
                      <w:kern w:val="0"/>
                      <w:szCs w:val="21"/>
                      <w:lang w:val="en-US" w:eastAsia="zh-CN"/>
                    </w:rPr>
                    <w:t>5</w:t>
                  </w:r>
                  <w:r>
                    <w:rPr>
                      <w:color w:val="auto"/>
                      <w:szCs w:val="21"/>
                    </w:rPr>
                    <w:t>0m</w:t>
                  </w:r>
                  <w:r>
                    <w:rPr>
                      <w:color w:val="auto"/>
                      <w:szCs w:val="21"/>
                      <w:vertAlign w:val="superscript"/>
                    </w:rPr>
                    <w:t>2</w:t>
                  </w:r>
                </w:p>
              </w:tc>
              <w:tc>
                <w:tcPr>
                  <w:tcW w:w="363" w:type="pct"/>
                  <w:vMerge w:val="restart"/>
                  <w:noWrap w:val="0"/>
                  <w:vAlign w:val="center"/>
                </w:tcPr>
                <w:p w14:paraId="76899FEE">
                  <w:pPr>
                    <w:pStyle w:val="30"/>
                    <w:rPr>
                      <w:color w:val="auto"/>
                      <w:szCs w:val="21"/>
                    </w:rPr>
                  </w:pPr>
                  <w:r>
                    <w:rPr>
                      <w:rFonts w:hint="eastAsia"/>
                      <w:color w:val="auto"/>
                      <w:szCs w:val="21"/>
                    </w:rPr>
                    <w:t>厂房已建</w:t>
                  </w:r>
                </w:p>
              </w:tc>
            </w:tr>
            <w:tr w14:paraId="4F9357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99" w:type="pct"/>
                  <w:vMerge w:val="continue"/>
                  <w:noWrap w:val="0"/>
                  <w:tcMar>
                    <w:left w:w="57" w:type="dxa"/>
                    <w:right w:w="57" w:type="dxa"/>
                  </w:tcMar>
                  <w:vAlign w:val="center"/>
                </w:tcPr>
                <w:p w14:paraId="1BDA9186">
                  <w:pPr>
                    <w:pStyle w:val="30"/>
                    <w:rPr>
                      <w:color w:val="auto"/>
                      <w:szCs w:val="21"/>
                    </w:rPr>
                  </w:pPr>
                </w:p>
              </w:tc>
              <w:tc>
                <w:tcPr>
                  <w:tcW w:w="671" w:type="pct"/>
                  <w:noWrap w:val="0"/>
                  <w:tcMar>
                    <w:left w:w="57" w:type="dxa"/>
                    <w:right w:w="57" w:type="dxa"/>
                  </w:tcMar>
                  <w:vAlign w:val="center"/>
                </w:tcPr>
                <w:p w14:paraId="1F90E231">
                  <w:pPr>
                    <w:pStyle w:val="30"/>
                    <w:rPr>
                      <w:rFonts w:hint="eastAsia"/>
                      <w:color w:val="auto"/>
                      <w:szCs w:val="21"/>
                    </w:rPr>
                  </w:pPr>
                  <w:r>
                    <w:rPr>
                      <w:rFonts w:hint="eastAsia"/>
                      <w:color w:val="auto"/>
                      <w:szCs w:val="21"/>
                    </w:rPr>
                    <w:t>原料库区</w:t>
                  </w:r>
                </w:p>
              </w:tc>
              <w:tc>
                <w:tcPr>
                  <w:tcW w:w="3766" w:type="pct"/>
                  <w:noWrap w:val="0"/>
                  <w:tcMar>
                    <w:left w:w="57" w:type="dxa"/>
                    <w:right w:w="57" w:type="dxa"/>
                  </w:tcMar>
                  <w:vAlign w:val="center"/>
                </w:tcPr>
                <w:p w14:paraId="033AA12E">
                  <w:pPr>
                    <w:pStyle w:val="30"/>
                    <w:jc w:val="both"/>
                    <w:rPr>
                      <w:color w:val="auto"/>
                      <w:szCs w:val="21"/>
                    </w:rPr>
                  </w:pPr>
                  <w:r>
                    <w:rPr>
                      <w:color w:val="auto"/>
                      <w:szCs w:val="21"/>
                    </w:rPr>
                    <w:t>在</w:t>
                  </w:r>
                  <w:r>
                    <w:rPr>
                      <w:rFonts w:hint="eastAsia"/>
                      <w:color w:val="auto"/>
                      <w:szCs w:val="21"/>
                      <w:lang w:eastAsia="zh-CN"/>
                    </w:rPr>
                    <w:t>二</w:t>
                  </w:r>
                  <w:r>
                    <w:rPr>
                      <w:rFonts w:hint="eastAsia"/>
                      <w:color w:val="auto"/>
                      <w:szCs w:val="21"/>
                    </w:rPr>
                    <w:t>层生产车间南侧</w:t>
                  </w:r>
                  <w:r>
                    <w:rPr>
                      <w:color w:val="auto"/>
                      <w:szCs w:val="21"/>
                    </w:rPr>
                    <w:t>划定专门的区域，</w:t>
                  </w:r>
                  <w:r>
                    <w:rPr>
                      <w:color w:val="auto"/>
                      <w:szCs w:val="21"/>
                      <w:highlight w:val="none"/>
                    </w:rPr>
                    <w:t>设置</w:t>
                  </w:r>
                  <w:r>
                    <w:rPr>
                      <w:rFonts w:hint="eastAsia"/>
                      <w:color w:val="auto"/>
                      <w:szCs w:val="21"/>
                      <w:highlight w:val="none"/>
                      <w:lang w:eastAsia="zh-CN"/>
                    </w:rPr>
                    <w:t>原辅材料车间</w:t>
                  </w:r>
                  <w:r>
                    <w:rPr>
                      <w:color w:val="auto"/>
                      <w:szCs w:val="21"/>
                      <w:highlight w:val="none"/>
                    </w:rPr>
                    <w:t>，面积约</w:t>
                  </w:r>
                  <w:r>
                    <w:rPr>
                      <w:rFonts w:hint="eastAsia"/>
                      <w:color w:val="auto"/>
                      <w:szCs w:val="21"/>
                      <w:highlight w:val="none"/>
                      <w:lang w:val="en-US" w:eastAsia="zh-CN"/>
                    </w:rPr>
                    <w:t>150</w:t>
                  </w:r>
                  <w:r>
                    <w:rPr>
                      <w:color w:val="auto"/>
                      <w:szCs w:val="21"/>
                      <w:highlight w:val="none"/>
                    </w:rPr>
                    <w:t>0m</w:t>
                  </w:r>
                  <w:r>
                    <w:rPr>
                      <w:color w:val="auto"/>
                      <w:szCs w:val="21"/>
                      <w:highlight w:val="none"/>
                      <w:vertAlign w:val="superscript"/>
                    </w:rPr>
                    <w:t>2</w:t>
                  </w:r>
                </w:p>
              </w:tc>
              <w:tc>
                <w:tcPr>
                  <w:tcW w:w="363" w:type="pct"/>
                  <w:vMerge w:val="continue"/>
                  <w:noWrap w:val="0"/>
                  <w:vAlign w:val="center"/>
                </w:tcPr>
                <w:p w14:paraId="0A67C980">
                  <w:pPr>
                    <w:pStyle w:val="30"/>
                    <w:rPr>
                      <w:color w:val="auto"/>
                      <w:szCs w:val="21"/>
                    </w:rPr>
                  </w:pPr>
                </w:p>
              </w:tc>
            </w:tr>
            <w:tr w14:paraId="1D2DC13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99" w:type="pct"/>
                  <w:vMerge w:val="continue"/>
                  <w:noWrap w:val="0"/>
                  <w:tcMar>
                    <w:left w:w="57" w:type="dxa"/>
                    <w:right w:w="57" w:type="dxa"/>
                  </w:tcMar>
                  <w:vAlign w:val="center"/>
                </w:tcPr>
                <w:p w14:paraId="05BA95C5">
                  <w:pPr>
                    <w:pStyle w:val="30"/>
                    <w:rPr>
                      <w:color w:val="auto"/>
                      <w:szCs w:val="21"/>
                    </w:rPr>
                  </w:pPr>
                </w:p>
              </w:tc>
              <w:tc>
                <w:tcPr>
                  <w:tcW w:w="671" w:type="pct"/>
                  <w:noWrap w:val="0"/>
                  <w:tcMar>
                    <w:left w:w="57" w:type="dxa"/>
                    <w:right w:w="57" w:type="dxa"/>
                  </w:tcMar>
                  <w:vAlign w:val="center"/>
                </w:tcPr>
                <w:p w14:paraId="721187B4">
                  <w:pPr>
                    <w:pStyle w:val="30"/>
                    <w:rPr>
                      <w:rFonts w:hint="eastAsia"/>
                      <w:color w:val="auto"/>
                      <w:szCs w:val="21"/>
                    </w:rPr>
                  </w:pPr>
                  <w:r>
                    <w:rPr>
                      <w:rFonts w:hint="eastAsia"/>
                      <w:color w:val="auto"/>
                      <w:szCs w:val="21"/>
                    </w:rPr>
                    <w:t>半成品库区</w:t>
                  </w:r>
                </w:p>
              </w:tc>
              <w:tc>
                <w:tcPr>
                  <w:tcW w:w="3766" w:type="pct"/>
                  <w:noWrap w:val="0"/>
                  <w:tcMar>
                    <w:left w:w="57" w:type="dxa"/>
                    <w:right w:w="57" w:type="dxa"/>
                  </w:tcMar>
                  <w:vAlign w:val="center"/>
                </w:tcPr>
                <w:p w14:paraId="29F61DAA">
                  <w:pPr>
                    <w:pStyle w:val="30"/>
                    <w:jc w:val="both"/>
                    <w:rPr>
                      <w:color w:val="auto"/>
                      <w:szCs w:val="21"/>
                    </w:rPr>
                  </w:pPr>
                  <w:r>
                    <w:rPr>
                      <w:color w:val="auto"/>
                      <w:szCs w:val="21"/>
                    </w:rPr>
                    <w:t>在</w:t>
                  </w:r>
                  <w:r>
                    <w:rPr>
                      <w:rFonts w:hint="eastAsia"/>
                      <w:color w:val="auto"/>
                      <w:szCs w:val="21"/>
                      <w:lang w:eastAsia="zh-CN"/>
                    </w:rPr>
                    <w:t>二</w:t>
                  </w:r>
                  <w:r>
                    <w:rPr>
                      <w:rFonts w:hint="eastAsia"/>
                      <w:color w:val="auto"/>
                      <w:szCs w:val="21"/>
                    </w:rPr>
                    <w:t>层生产车间</w:t>
                  </w:r>
                  <w:r>
                    <w:rPr>
                      <w:rFonts w:hint="eastAsia"/>
                      <w:color w:val="auto"/>
                      <w:szCs w:val="21"/>
                      <w:lang w:eastAsia="zh-CN"/>
                    </w:rPr>
                    <w:t>东</w:t>
                  </w:r>
                  <w:r>
                    <w:rPr>
                      <w:rFonts w:hint="eastAsia"/>
                      <w:color w:val="auto"/>
                      <w:szCs w:val="21"/>
                    </w:rPr>
                    <w:t>侧</w:t>
                  </w:r>
                  <w:r>
                    <w:rPr>
                      <w:color w:val="auto"/>
                      <w:szCs w:val="21"/>
                    </w:rPr>
                    <w:t>划定专门的区域，设置</w:t>
                  </w:r>
                  <w:r>
                    <w:rPr>
                      <w:rFonts w:hint="eastAsia"/>
                      <w:color w:val="auto"/>
                      <w:szCs w:val="21"/>
                    </w:rPr>
                    <w:t>半成品库</w:t>
                  </w:r>
                  <w:r>
                    <w:rPr>
                      <w:color w:val="auto"/>
                      <w:szCs w:val="21"/>
                    </w:rPr>
                    <w:t>区，</w:t>
                  </w:r>
                  <w:r>
                    <w:rPr>
                      <w:rFonts w:hint="eastAsia"/>
                      <w:color w:val="auto"/>
                      <w:szCs w:val="21"/>
                    </w:rPr>
                    <w:t>储存半成品板材</w:t>
                  </w:r>
                  <w:r>
                    <w:rPr>
                      <w:color w:val="auto"/>
                      <w:szCs w:val="21"/>
                    </w:rPr>
                    <w:t>面积约</w:t>
                  </w:r>
                  <w:r>
                    <w:rPr>
                      <w:rFonts w:hint="eastAsia"/>
                      <w:color w:val="auto"/>
                      <w:szCs w:val="21"/>
                      <w:lang w:val="en-US" w:eastAsia="zh-CN"/>
                    </w:rPr>
                    <w:t>100</w:t>
                  </w:r>
                  <w:r>
                    <w:rPr>
                      <w:color w:val="auto"/>
                      <w:szCs w:val="21"/>
                    </w:rPr>
                    <w:t>0m</w:t>
                  </w:r>
                  <w:r>
                    <w:rPr>
                      <w:color w:val="auto"/>
                      <w:szCs w:val="21"/>
                      <w:vertAlign w:val="superscript"/>
                    </w:rPr>
                    <w:t>2</w:t>
                  </w:r>
                </w:p>
              </w:tc>
              <w:tc>
                <w:tcPr>
                  <w:tcW w:w="363" w:type="pct"/>
                  <w:vMerge w:val="continue"/>
                  <w:noWrap w:val="0"/>
                  <w:vAlign w:val="center"/>
                </w:tcPr>
                <w:p w14:paraId="0AF69672">
                  <w:pPr>
                    <w:pStyle w:val="30"/>
                    <w:rPr>
                      <w:color w:val="auto"/>
                      <w:szCs w:val="21"/>
                    </w:rPr>
                  </w:pPr>
                </w:p>
              </w:tc>
            </w:tr>
            <w:tr w14:paraId="534D85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99" w:type="pct"/>
                  <w:vMerge w:val="continue"/>
                  <w:noWrap w:val="0"/>
                  <w:tcMar>
                    <w:left w:w="57" w:type="dxa"/>
                    <w:right w:w="57" w:type="dxa"/>
                  </w:tcMar>
                  <w:vAlign w:val="center"/>
                </w:tcPr>
                <w:p w14:paraId="3AF0C5DF">
                  <w:pPr>
                    <w:pStyle w:val="30"/>
                    <w:rPr>
                      <w:color w:val="auto"/>
                      <w:szCs w:val="21"/>
                    </w:rPr>
                  </w:pPr>
                </w:p>
              </w:tc>
              <w:tc>
                <w:tcPr>
                  <w:tcW w:w="671" w:type="pct"/>
                  <w:noWrap w:val="0"/>
                  <w:tcMar>
                    <w:left w:w="57" w:type="dxa"/>
                    <w:right w:w="57" w:type="dxa"/>
                  </w:tcMar>
                  <w:vAlign w:val="center"/>
                </w:tcPr>
                <w:p w14:paraId="142AD68C">
                  <w:pPr>
                    <w:pStyle w:val="30"/>
                    <w:rPr>
                      <w:rFonts w:hint="eastAsia"/>
                      <w:color w:val="auto"/>
                      <w:szCs w:val="21"/>
                    </w:rPr>
                  </w:pPr>
                  <w:r>
                    <w:rPr>
                      <w:rFonts w:hint="eastAsia"/>
                      <w:color w:val="auto"/>
                      <w:szCs w:val="21"/>
                    </w:rPr>
                    <w:t>成品库区</w:t>
                  </w:r>
                </w:p>
              </w:tc>
              <w:tc>
                <w:tcPr>
                  <w:tcW w:w="3766" w:type="pct"/>
                  <w:noWrap w:val="0"/>
                  <w:tcMar>
                    <w:left w:w="57" w:type="dxa"/>
                    <w:right w:w="57" w:type="dxa"/>
                  </w:tcMar>
                  <w:vAlign w:val="center"/>
                </w:tcPr>
                <w:p w14:paraId="3EECFFD3">
                  <w:pPr>
                    <w:pStyle w:val="30"/>
                    <w:jc w:val="both"/>
                    <w:rPr>
                      <w:rFonts w:hint="eastAsia" w:eastAsia="宋体"/>
                      <w:color w:val="auto"/>
                      <w:szCs w:val="21"/>
                      <w:lang w:eastAsia="zh-CN"/>
                    </w:rPr>
                  </w:pPr>
                  <w:r>
                    <w:rPr>
                      <w:rFonts w:hint="eastAsia"/>
                      <w:color w:val="auto"/>
                      <w:kern w:val="0"/>
                      <w:szCs w:val="21"/>
                    </w:rPr>
                    <w:t>位于</w:t>
                  </w:r>
                  <w:r>
                    <w:rPr>
                      <w:rFonts w:hint="eastAsia"/>
                      <w:color w:val="auto"/>
                      <w:kern w:val="0"/>
                      <w:szCs w:val="21"/>
                      <w:lang w:eastAsia="zh-CN"/>
                    </w:rPr>
                    <w:t>一</w:t>
                  </w:r>
                  <w:r>
                    <w:rPr>
                      <w:rFonts w:hint="eastAsia"/>
                      <w:color w:val="auto"/>
                      <w:kern w:val="0"/>
                      <w:szCs w:val="21"/>
                    </w:rPr>
                    <w:t>层生产车间南侧</w:t>
                  </w:r>
                  <w:r>
                    <w:rPr>
                      <w:rFonts w:hint="eastAsia"/>
                      <w:color w:val="auto"/>
                      <w:kern w:val="0"/>
                      <w:szCs w:val="21"/>
                      <w:lang w:eastAsia="zh-CN"/>
                    </w:rPr>
                    <w:t>（</w:t>
                  </w:r>
                  <w:r>
                    <w:rPr>
                      <w:rFonts w:hint="eastAsia"/>
                      <w:color w:val="auto"/>
                      <w:kern w:val="0"/>
                      <w:szCs w:val="21"/>
                      <w:lang w:val="en-US" w:eastAsia="zh-CN"/>
                    </w:rPr>
                    <w:t>475</w:t>
                  </w:r>
                  <w:r>
                    <w:rPr>
                      <w:color w:val="auto"/>
                      <w:szCs w:val="21"/>
                    </w:rPr>
                    <w:t>m</w:t>
                  </w:r>
                  <w:r>
                    <w:rPr>
                      <w:color w:val="auto"/>
                      <w:szCs w:val="21"/>
                      <w:vertAlign w:val="superscript"/>
                    </w:rPr>
                    <w:t>2</w:t>
                  </w:r>
                  <w:r>
                    <w:rPr>
                      <w:rFonts w:hint="eastAsia"/>
                      <w:color w:val="auto"/>
                      <w:kern w:val="0"/>
                      <w:szCs w:val="21"/>
                      <w:lang w:eastAsia="zh-CN"/>
                    </w:rPr>
                    <w:t>）</w:t>
                  </w:r>
                  <w:r>
                    <w:rPr>
                      <w:rFonts w:hint="eastAsia"/>
                      <w:color w:val="auto"/>
                      <w:kern w:val="0"/>
                      <w:szCs w:val="21"/>
                    </w:rPr>
                    <w:t>及</w:t>
                  </w:r>
                  <w:r>
                    <w:rPr>
                      <w:rFonts w:hint="eastAsia"/>
                      <w:color w:val="auto"/>
                      <w:kern w:val="0"/>
                      <w:szCs w:val="21"/>
                      <w:lang w:eastAsia="zh-CN"/>
                    </w:rPr>
                    <w:t>二</w:t>
                  </w:r>
                  <w:r>
                    <w:rPr>
                      <w:rFonts w:hint="eastAsia"/>
                      <w:color w:val="auto"/>
                      <w:kern w:val="0"/>
                      <w:szCs w:val="21"/>
                      <w:lang w:val="en-US" w:eastAsia="zh-CN"/>
                    </w:rPr>
                    <w:t>层东</w:t>
                  </w:r>
                  <w:r>
                    <w:rPr>
                      <w:rFonts w:hint="eastAsia"/>
                      <w:color w:val="auto"/>
                      <w:kern w:val="0"/>
                      <w:szCs w:val="21"/>
                    </w:rPr>
                    <w:t>侧</w:t>
                  </w:r>
                  <w:r>
                    <w:rPr>
                      <w:rFonts w:hint="eastAsia"/>
                      <w:color w:val="auto"/>
                      <w:kern w:val="0"/>
                      <w:szCs w:val="21"/>
                      <w:lang w:eastAsia="zh-CN"/>
                    </w:rPr>
                    <w:t>（</w:t>
                  </w:r>
                  <w:r>
                    <w:rPr>
                      <w:rFonts w:hint="eastAsia"/>
                      <w:color w:val="auto"/>
                      <w:kern w:val="0"/>
                      <w:szCs w:val="21"/>
                      <w:lang w:val="en-US" w:eastAsia="zh-CN"/>
                    </w:rPr>
                    <w:t>1445</w:t>
                  </w:r>
                  <w:r>
                    <w:rPr>
                      <w:color w:val="auto"/>
                      <w:szCs w:val="21"/>
                    </w:rPr>
                    <w:t>m</w:t>
                  </w:r>
                  <w:r>
                    <w:rPr>
                      <w:color w:val="auto"/>
                      <w:szCs w:val="21"/>
                      <w:vertAlign w:val="superscript"/>
                    </w:rPr>
                    <w:t>2</w:t>
                  </w:r>
                  <w:r>
                    <w:rPr>
                      <w:rFonts w:hint="eastAsia"/>
                      <w:color w:val="auto"/>
                      <w:kern w:val="0"/>
                      <w:szCs w:val="21"/>
                      <w:lang w:eastAsia="zh-CN"/>
                    </w:rPr>
                    <w:t>）</w:t>
                  </w:r>
                  <w:r>
                    <w:rPr>
                      <w:color w:val="auto"/>
                      <w:szCs w:val="21"/>
                    </w:rPr>
                    <w:t>，设置</w:t>
                  </w:r>
                  <w:r>
                    <w:rPr>
                      <w:rFonts w:hint="eastAsia"/>
                      <w:color w:val="auto"/>
                      <w:szCs w:val="21"/>
                    </w:rPr>
                    <w:t>成品堆放库区</w:t>
                  </w:r>
                  <w:r>
                    <w:rPr>
                      <w:color w:val="auto"/>
                      <w:szCs w:val="21"/>
                    </w:rPr>
                    <w:t>，</w:t>
                  </w:r>
                  <w:r>
                    <w:rPr>
                      <w:rFonts w:hint="eastAsia"/>
                      <w:color w:val="auto"/>
                      <w:szCs w:val="21"/>
                    </w:rPr>
                    <w:t>储存成品家具</w:t>
                  </w:r>
                </w:p>
              </w:tc>
              <w:tc>
                <w:tcPr>
                  <w:tcW w:w="363" w:type="pct"/>
                  <w:vMerge w:val="continue"/>
                  <w:noWrap w:val="0"/>
                  <w:vAlign w:val="center"/>
                </w:tcPr>
                <w:p w14:paraId="0EB9C339">
                  <w:pPr>
                    <w:pStyle w:val="30"/>
                    <w:rPr>
                      <w:color w:val="auto"/>
                      <w:szCs w:val="21"/>
                    </w:rPr>
                  </w:pPr>
                </w:p>
              </w:tc>
            </w:tr>
          </w:tbl>
          <w:p w14:paraId="0D8EBE97">
            <w:pPr>
              <w:pStyle w:val="54"/>
              <w:rPr>
                <w:rFonts w:cs="Times New Roman"/>
                <w:color w:val="auto"/>
                <w:sz w:val="24"/>
                <w:szCs w:val="24"/>
              </w:rPr>
            </w:pPr>
            <w:r>
              <w:rPr>
                <w:rFonts w:cs="Times New Roman"/>
                <w:color w:val="auto"/>
                <w:sz w:val="24"/>
                <w:szCs w:val="24"/>
              </w:rPr>
              <w:t>产品方案</w:t>
            </w:r>
          </w:p>
          <w:p w14:paraId="0C01331A">
            <w:pPr>
              <w:pStyle w:val="55"/>
              <w:rPr>
                <w:color w:val="auto"/>
                <w:sz w:val="24"/>
                <w:szCs w:val="24"/>
              </w:rPr>
            </w:pPr>
            <w:r>
              <w:rPr>
                <w:rFonts w:hint="eastAsia"/>
                <w:color w:val="auto"/>
                <w:sz w:val="24"/>
                <w:szCs w:val="24"/>
              </w:rPr>
              <w:t>本项目年产塑料板材</w:t>
            </w:r>
            <w:r>
              <w:rPr>
                <w:rFonts w:hint="eastAsia"/>
                <w:color w:val="auto"/>
                <w:sz w:val="24"/>
                <w:szCs w:val="24"/>
                <w:lang w:val="en-US" w:eastAsia="zh-CN"/>
              </w:rPr>
              <w:t>75</w:t>
            </w:r>
            <w:r>
              <w:rPr>
                <w:color w:val="auto"/>
                <w:sz w:val="24"/>
                <w:szCs w:val="24"/>
              </w:rPr>
              <w:t>0</w:t>
            </w:r>
            <w:r>
              <w:rPr>
                <w:rFonts w:hint="eastAsia"/>
                <w:color w:val="auto"/>
                <w:sz w:val="24"/>
                <w:szCs w:val="24"/>
                <w:lang w:eastAsia="zh-CN"/>
              </w:rPr>
              <w:t>万</w:t>
            </w:r>
            <w:r>
              <w:rPr>
                <w:rFonts w:hint="eastAsia"/>
                <w:color w:val="auto"/>
                <w:szCs w:val="21"/>
              </w:rPr>
              <w:t>m</w:t>
            </w:r>
            <w:r>
              <w:rPr>
                <w:color w:val="auto"/>
                <w:szCs w:val="21"/>
                <w:vertAlign w:val="superscript"/>
              </w:rPr>
              <w:t>3</w:t>
            </w:r>
            <w:r>
              <w:rPr>
                <w:rFonts w:hint="eastAsia"/>
                <w:color w:val="auto"/>
                <w:sz w:val="24"/>
                <w:szCs w:val="24"/>
              </w:rPr>
              <w:t>，其中</w:t>
            </w:r>
            <w:r>
              <w:rPr>
                <w:rFonts w:hint="eastAsia"/>
                <w:color w:val="auto"/>
                <w:sz w:val="24"/>
                <w:szCs w:val="24"/>
                <w:lang w:val="en-US" w:eastAsia="zh-CN"/>
              </w:rPr>
              <w:t>75万</w:t>
            </w:r>
            <w:r>
              <w:rPr>
                <w:rFonts w:hint="eastAsia"/>
                <w:color w:val="auto"/>
                <w:szCs w:val="21"/>
              </w:rPr>
              <w:t>m</w:t>
            </w:r>
            <w:r>
              <w:rPr>
                <w:color w:val="auto"/>
                <w:szCs w:val="21"/>
                <w:vertAlign w:val="superscript"/>
              </w:rPr>
              <w:t>3</w:t>
            </w:r>
            <w:r>
              <w:rPr>
                <w:rFonts w:hint="eastAsia"/>
                <w:color w:val="auto"/>
                <w:sz w:val="24"/>
                <w:szCs w:val="24"/>
              </w:rPr>
              <w:t>作为成品板材出售，剩余</w:t>
            </w:r>
            <w:r>
              <w:rPr>
                <w:rFonts w:hint="eastAsia"/>
                <w:color w:val="auto"/>
                <w:sz w:val="24"/>
                <w:szCs w:val="24"/>
                <w:lang w:val="en-US" w:eastAsia="zh-CN"/>
              </w:rPr>
              <w:t>675</w:t>
            </w:r>
            <w:r>
              <w:rPr>
                <w:rFonts w:hint="eastAsia"/>
                <w:color w:val="auto"/>
                <w:sz w:val="24"/>
                <w:szCs w:val="24"/>
              </w:rPr>
              <w:t>万</w:t>
            </w:r>
            <w:r>
              <w:rPr>
                <w:rFonts w:hint="eastAsia"/>
                <w:color w:val="auto"/>
                <w:szCs w:val="21"/>
              </w:rPr>
              <w:t>m</w:t>
            </w:r>
            <w:r>
              <w:rPr>
                <w:color w:val="auto"/>
                <w:szCs w:val="21"/>
                <w:vertAlign w:val="superscript"/>
              </w:rPr>
              <w:t>3</w:t>
            </w:r>
            <w:r>
              <w:rPr>
                <w:rFonts w:hint="eastAsia"/>
                <w:color w:val="auto"/>
                <w:sz w:val="24"/>
                <w:szCs w:val="24"/>
              </w:rPr>
              <w:t>板材组装成</w:t>
            </w:r>
            <w:r>
              <w:rPr>
                <w:rFonts w:hint="eastAsia"/>
                <w:color w:val="auto"/>
                <w:sz w:val="24"/>
                <w:szCs w:val="24"/>
                <w:lang w:val="en-US" w:eastAsia="zh-CN"/>
              </w:rPr>
              <w:t>3</w:t>
            </w:r>
            <w:r>
              <w:rPr>
                <w:rFonts w:hint="eastAsia"/>
                <w:color w:val="auto"/>
                <w:sz w:val="24"/>
                <w:szCs w:val="24"/>
              </w:rPr>
              <w:t>00万套塑料户外家具即沙滩椅、沙滩桌</w:t>
            </w:r>
            <w:r>
              <w:rPr>
                <w:color w:val="auto"/>
                <w:sz w:val="24"/>
                <w:szCs w:val="24"/>
              </w:rPr>
              <w:t>。</w:t>
            </w:r>
          </w:p>
          <w:p w14:paraId="3A9D0B21">
            <w:pPr>
              <w:pStyle w:val="59"/>
              <w:keepNext w:val="0"/>
              <w:keepLines w:val="0"/>
              <w:pageBreakBefore w:val="0"/>
              <w:widowControl w:val="0"/>
              <w:kinsoku/>
              <w:wordWrap/>
              <w:overflowPunct/>
              <w:topLinePunct w:val="0"/>
              <w:autoSpaceDE/>
              <w:autoSpaceDN/>
              <w:bidi w:val="0"/>
              <w:adjustRightInd/>
              <w:snapToGrid/>
              <w:spacing w:before="157" w:beforeLines="50" w:line="240" w:lineRule="auto"/>
              <w:ind w:firstLine="0"/>
              <w:textAlignment w:val="auto"/>
              <w:rPr>
                <w:rFonts w:ascii="Times New Roman" w:hAnsi="Times New Roman" w:cs="Times New Roman"/>
                <w:color w:val="auto"/>
                <w:sz w:val="24"/>
                <w:szCs w:val="24"/>
              </w:rPr>
            </w:pPr>
            <w:bookmarkStart w:id="12" w:name="_Hlk89850106"/>
            <w:r>
              <w:rPr>
                <w:rFonts w:hint="eastAsia" w:ascii="Times New Roman" w:hAnsi="Times New Roman" w:cs="Times New Roman"/>
                <w:color w:val="auto"/>
                <w:sz w:val="24"/>
                <w:szCs w:val="24"/>
              </w:rPr>
              <w:t>产品</w:t>
            </w:r>
            <w:r>
              <w:rPr>
                <w:rFonts w:hint="eastAsia" w:ascii="Times New Roman" w:hAnsi="Times New Roman" w:eastAsia="宋体" w:cs="Times New Roman"/>
                <w:b/>
                <w:bCs/>
                <w:color w:val="auto"/>
                <w:sz w:val="24"/>
                <w:szCs w:val="24"/>
              </w:rPr>
              <w:t>方案</w:t>
            </w:r>
            <w:r>
              <w:rPr>
                <w:rFonts w:hint="eastAsia" w:ascii="Times New Roman" w:hAnsi="Times New Roman" w:cs="Times New Roman"/>
                <w:color w:val="auto"/>
                <w:sz w:val="24"/>
                <w:szCs w:val="24"/>
              </w:rPr>
              <w:t>及生产规模</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1008"/>
              <w:gridCol w:w="2433"/>
              <w:gridCol w:w="2371"/>
              <w:gridCol w:w="2374"/>
            </w:tblGrid>
            <w:tr w14:paraId="6647CC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29" w:hRule="atLeast"/>
                <w:jc w:val="center"/>
              </w:trPr>
              <w:tc>
                <w:tcPr>
                  <w:tcW w:w="616" w:type="pct"/>
                  <w:noWrap w:val="0"/>
                  <w:tcMar>
                    <w:left w:w="57" w:type="dxa"/>
                    <w:right w:w="57" w:type="dxa"/>
                  </w:tcMar>
                  <w:vAlign w:val="center"/>
                </w:tcPr>
                <w:p w14:paraId="6221B426">
                  <w:pPr>
                    <w:pStyle w:val="30"/>
                    <w:rPr>
                      <w:rFonts w:hint="eastAsia"/>
                      <w:color w:val="auto"/>
                      <w:szCs w:val="21"/>
                    </w:rPr>
                  </w:pPr>
                  <w:r>
                    <w:rPr>
                      <w:rFonts w:hint="eastAsia"/>
                      <w:color w:val="auto"/>
                      <w:szCs w:val="21"/>
                    </w:rPr>
                    <w:t>产品名称</w:t>
                  </w:r>
                </w:p>
              </w:tc>
              <w:tc>
                <w:tcPr>
                  <w:tcW w:w="1486" w:type="pct"/>
                  <w:noWrap w:val="0"/>
                  <w:tcMar>
                    <w:left w:w="57" w:type="dxa"/>
                    <w:right w:w="57" w:type="dxa"/>
                  </w:tcMar>
                  <w:vAlign w:val="center"/>
                </w:tcPr>
                <w:p w14:paraId="07F6EF21">
                  <w:pPr>
                    <w:pStyle w:val="30"/>
                    <w:rPr>
                      <w:rFonts w:hint="eastAsia"/>
                      <w:color w:val="auto"/>
                      <w:szCs w:val="21"/>
                    </w:rPr>
                  </w:pPr>
                  <w:r>
                    <w:rPr>
                      <w:rFonts w:hint="eastAsia"/>
                      <w:color w:val="auto"/>
                      <w:szCs w:val="21"/>
                    </w:rPr>
                    <w:t>产量</w:t>
                  </w:r>
                </w:p>
              </w:tc>
              <w:tc>
                <w:tcPr>
                  <w:tcW w:w="1448" w:type="pct"/>
                  <w:noWrap w:val="0"/>
                  <w:tcMar>
                    <w:left w:w="57" w:type="dxa"/>
                    <w:right w:w="57" w:type="dxa"/>
                  </w:tcMar>
                  <w:vAlign w:val="center"/>
                </w:tcPr>
                <w:p w14:paraId="6C4C1A83">
                  <w:pPr>
                    <w:pStyle w:val="30"/>
                    <w:rPr>
                      <w:rFonts w:hint="eastAsia"/>
                      <w:color w:val="auto"/>
                      <w:kern w:val="0"/>
                      <w:szCs w:val="21"/>
                    </w:rPr>
                  </w:pPr>
                  <w:r>
                    <w:rPr>
                      <w:rFonts w:hint="eastAsia"/>
                      <w:color w:val="auto"/>
                      <w:kern w:val="0"/>
                      <w:szCs w:val="21"/>
                    </w:rPr>
                    <w:t>规格</w:t>
                  </w:r>
                </w:p>
              </w:tc>
              <w:tc>
                <w:tcPr>
                  <w:tcW w:w="1448" w:type="pct"/>
                  <w:noWrap w:val="0"/>
                  <w:tcMar>
                    <w:left w:w="57" w:type="dxa"/>
                    <w:right w:w="57" w:type="dxa"/>
                  </w:tcMar>
                  <w:vAlign w:val="center"/>
                </w:tcPr>
                <w:p w14:paraId="734DE1FF">
                  <w:pPr>
                    <w:pStyle w:val="30"/>
                    <w:rPr>
                      <w:rFonts w:hint="eastAsia" w:eastAsia="宋体"/>
                      <w:color w:val="auto"/>
                      <w:kern w:val="0"/>
                      <w:szCs w:val="21"/>
                      <w:lang w:eastAsia="zh-CN"/>
                    </w:rPr>
                  </w:pPr>
                  <w:r>
                    <w:rPr>
                      <w:rFonts w:hint="eastAsia"/>
                      <w:color w:val="auto"/>
                      <w:kern w:val="0"/>
                      <w:szCs w:val="21"/>
                      <w:lang w:eastAsia="zh-CN"/>
                    </w:rPr>
                    <w:t>备注</w:t>
                  </w:r>
                </w:p>
              </w:tc>
            </w:tr>
            <w:tr w14:paraId="7B07086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29" w:hRule="atLeast"/>
                <w:jc w:val="center"/>
              </w:trPr>
              <w:tc>
                <w:tcPr>
                  <w:tcW w:w="616" w:type="pct"/>
                  <w:noWrap w:val="0"/>
                  <w:tcMar>
                    <w:left w:w="57" w:type="dxa"/>
                    <w:right w:w="57" w:type="dxa"/>
                  </w:tcMar>
                  <w:vAlign w:val="center"/>
                </w:tcPr>
                <w:p w14:paraId="066AAE3E">
                  <w:pPr>
                    <w:pStyle w:val="30"/>
                    <w:rPr>
                      <w:color w:val="auto"/>
                      <w:szCs w:val="21"/>
                    </w:rPr>
                  </w:pPr>
                  <w:r>
                    <w:rPr>
                      <w:rFonts w:hint="eastAsia"/>
                      <w:color w:val="auto"/>
                      <w:szCs w:val="21"/>
                    </w:rPr>
                    <w:t>塑料板材</w:t>
                  </w:r>
                </w:p>
              </w:tc>
              <w:tc>
                <w:tcPr>
                  <w:tcW w:w="1486" w:type="pct"/>
                  <w:noWrap w:val="0"/>
                  <w:tcMar>
                    <w:left w:w="57" w:type="dxa"/>
                    <w:right w:w="57" w:type="dxa"/>
                  </w:tcMar>
                  <w:vAlign w:val="center"/>
                </w:tcPr>
                <w:p w14:paraId="50541E78">
                  <w:pPr>
                    <w:pStyle w:val="30"/>
                    <w:rPr>
                      <w:rFonts w:hint="eastAsia"/>
                      <w:color w:val="auto"/>
                      <w:szCs w:val="21"/>
                    </w:rPr>
                  </w:pPr>
                  <w:r>
                    <w:rPr>
                      <w:rFonts w:hint="eastAsia"/>
                      <w:color w:val="auto"/>
                      <w:szCs w:val="21"/>
                      <w:lang w:val="en-US" w:eastAsia="zh-CN"/>
                    </w:rPr>
                    <w:t>750</w:t>
                  </w:r>
                  <w:r>
                    <w:rPr>
                      <w:rFonts w:hint="eastAsia"/>
                      <w:color w:val="auto"/>
                      <w:szCs w:val="21"/>
                    </w:rPr>
                    <w:t>万m</w:t>
                  </w:r>
                  <w:r>
                    <w:rPr>
                      <w:color w:val="auto"/>
                      <w:szCs w:val="21"/>
                      <w:vertAlign w:val="superscript"/>
                    </w:rPr>
                    <w:t>3</w:t>
                  </w:r>
                  <w:r>
                    <w:rPr>
                      <w:rFonts w:hint="eastAsia"/>
                      <w:color w:val="auto"/>
                      <w:szCs w:val="21"/>
                    </w:rPr>
                    <w:t>（折合重量约1</w:t>
                  </w:r>
                  <w:r>
                    <w:rPr>
                      <w:rFonts w:hint="eastAsia"/>
                      <w:color w:val="auto"/>
                      <w:szCs w:val="21"/>
                      <w:lang w:val="en-US" w:eastAsia="zh-CN"/>
                    </w:rPr>
                    <w:t>8</w:t>
                  </w:r>
                  <w:r>
                    <w:rPr>
                      <w:color w:val="auto"/>
                      <w:szCs w:val="21"/>
                    </w:rPr>
                    <w:t>0</w:t>
                  </w:r>
                  <w:r>
                    <w:rPr>
                      <w:rFonts w:hint="eastAsia"/>
                      <w:color w:val="auto"/>
                      <w:szCs w:val="21"/>
                      <w:lang w:val="en-US" w:eastAsia="zh-CN"/>
                    </w:rPr>
                    <w:t>0</w:t>
                  </w:r>
                  <w:r>
                    <w:rPr>
                      <w:rFonts w:hint="eastAsia"/>
                      <w:color w:val="auto"/>
                      <w:szCs w:val="21"/>
                    </w:rPr>
                    <w:t>t/a）</w:t>
                  </w:r>
                </w:p>
              </w:tc>
              <w:tc>
                <w:tcPr>
                  <w:tcW w:w="1448" w:type="pct"/>
                  <w:noWrap w:val="0"/>
                  <w:tcMar>
                    <w:left w:w="57" w:type="dxa"/>
                    <w:right w:w="57" w:type="dxa"/>
                  </w:tcMar>
                  <w:vAlign w:val="center"/>
                </w:tcPr>
                <w:p w14:paraId="772581B9">
                  <w:pPr>
                    <w:pStyle w:val="30"/>
                    <w:rPr>
                      <w:rFonts w:hint="eastAsia"/>
                      <w:color w:val="auto"/>
                      <w:kern w:val="0"/>
                      <w:szCs w:val="21"/>
                    </w:rPr>
                  </w:pPr>
                  <w:r>
                    <w:rPr>
                      <w:rFonts w:hint="eastAsia"/>
                      <w:color w:val="auto"/>
                      <w:kern w:val="0"/>
                      <w:szCs w:val="21"/>
                    </w:rPr>
                    <w:t>板材</w:t>
                  </w:r>
                </w:p>
              </w:tc>
              <w:tc>
                <w:tcPr>
                  <w:tcW w:w="1448" w:type="pct"/>
                  <w:noWrap w:val="0"/>
                  <w:tcMar>
                    <w:left w:w="57" w:type="dxa"/>
                    <w:right w:w="57" w:type="dxa"/>
                  </w:tcMar>
                  <w:vAlign w:val="center"/>
                </w:tcPr>
                <w:p w14:paraId="51057D96">
                  <w:pPr>
                    <w:pStyle w:val="30"/>
                    <w:rPr>
                      <w:rFonts w:hint="eastAsia" w:eastAsia="宋体"/>
                      <w:color w:val="auto"/>
                      <w:kern w:val="0"/>
                      <w:szCs w:val="21"/>
                      <w:lang w:eastAsia="zh-CN"/>
                    </w:rPr>
                  </w:pPr>
                  <w:r>
                    <w:rPr>
                      <w:rFonts w:hint="eastAsia"/>
                      <w:color w:val="auto"/>
                      <w:kern w:val="0"/>
                      <w:sz w:val="21"/>
                      <w:szCs w:val="21"/>
                    </w:rPr>
                    <w:t>其中</w:t>
                  </w:r>
                  <w:r>
                    <w:rPr>
                      <w:rFonts w:hint="eastAsia"/>
                      <w:color w:val="auto"/>
                      <w:kern w:val="0"/>
                      <w:sz w:val="21"/>
                      <w:szCs w:val="21"/>
                      <w:lang w:val="en-US" w:eastAsia="zh-CN"/>
                    </w:rPr>
                    <w:t>75万</w:t>
                  </w:r>
                  <w:r>
                    <w:rPr>
                      <w:rFonts w:hint="eastAsia"/>
                      <w:color w:val="auto"/>
                      <w:kern w:val="0"/>
                      <w:szCs w:val="21"/>
                    </w:rPr>
                    <w:t>m</w:t>
                  </w:r>
                  <w:r>
                    <w:rPr>
                      <w:rFonts w:hint="eastAsia"/>
                      <w:color w:val="auto"/>
                      <w:kern w:val="0"/>
                      <w:szCs w:val="21"/>
                      <w:vertAlign w:val="superscript"/>
                    </w:rPr>
                    <w:t>3</w:t>
                  </w:r>
                  <w:r>
                    <w:rPr>
                      <w:rFonts w:hint="eastAsia"/>
                      <w:color w:val="auto"/>
                      <w:szCs w:val="21"/>
                    </w:rPr>
                    <w:t>（折合重量约1</w:t>
                  </w:r>
                  <w:r>
                    <w:rPr>
                      <w:rFonts w:hint="eastAsia"/>
                      <w:color w:val="auto"/>
                      <w:szCs w:val="21"/>
                      <w:lang w:val="en-US" w:eastAsia="zh-CN"/>
                    </w:rPr>
                    <w:t>8</w:t>
                  </w:r>
                  <w:r>
                    <w:rPr>
                      <w:color w:val="auto"/>
                      <w:szCs w:val="21"/>
                    </w:rPr>
                    <w:t>0</w:t>
                  </w:r>
                  <w:r>
                    <w:rPr>
                      <w:rFonts w:hint="eastAsia"/>
                      <w:color w:val="auto"/>
                      <w:szCs w:val="21"/>
                    </w:rPr>
                    <w:t>t/a）</w:t>
                  </w:r>
                  <w:r>
                    <w:rPr>
                      <w:rFonts w:hint="eastAsia"/>
                      <w:color w:val="auto"/>
                      <w:kern w:val="0"/>
                      <w:sz w:val="21"/>
                      <w:szCs w:val="21"/>
                    </w:rPr>
                    <w:t>作为成品板材出售</w:t>
                  </w:r>
                  <w:r>
                    <w:rPr>
                      <w:rFonts w:hint="eastAsia"/>
                      <w:color w:val="auto"/>
                      <w:kern w:val="0"/>
                      <w:sz w:val="21"/>
                      <w:szCs w:val="21"/>
                      <w:lang w:eastAsia="zh-CN"/>
                    </w:rPr>
                    <w:t>，剩余部分用于再加工成为塑料家具</w:t>
                  </w:r>
                </w:p>
              </w:tc>
            </w:tr>
            <w:tr w14:paraId="20655F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616" w:type="pct"/>
                  <w:noWrap w:val="0"/>
                  <w:tcMar>
                    <w:left w:w="57" w:type="dxa"/>
                    <w:right w:w="57" w:type="dxa"/>
                  </w:tcMar>
                  <w:vAlign w:val="center"/>
                </w:tcPr>
                <w:p w14:paraId="57DBC845">
                  <w:pPr>
                    <w:pStyle w:val="30"/>
                    <w:rPr>
                      <w:rFonts w:hint="eastAsia"/>
                      <w:color w:val="auto"/>
                      <w:szCs w:val="21"/>
                    </w:rPr>
                  </w:pPr>
                  <w:r>
                    <w:rPr>
                      <w:rFonts w:hint="eastAsia"/>
                      <w:color w:val="auto"/>
                      <w:szCs w:val="21"/>
                    </w:rPr>
                    <w:t>塑料家具</w:t>
                  </w:r>
                </w:p>
              </w:tc>
              <w:tc>
                <w:tcPr>
                  <w:tcW w:w="1486" w:type="pct"/>
                  <w:noWrap w:val="0"/>
                  <w:tcMar>
                    <w:left w:w="57" w:type="dxa"/>
                    <w:right w:w="57" w:type="dxa"/>
                  </w:tcMar>
                  <w:vAlign w:val="center"/>
                </w:tcPr>
                <w:p w14:paraId="2749228E">
                  <w:pPr>
                    <w:pStyle w:val="30"/>
                    <w:rPr>
                      <w:rFonts w:hint="eastAsia"/>
                      <w:color w:val="auto"/>
                      <w:szCs w:val="21"/>
                    </w:rPr>
                  </w:pPr>
                  <w:r>
                    <w:rPr>
                      <w:rFonts w:hint="eastAsia"/>
                      <w:color w:val="auto"/>
                      <w:lang w:val="en-US" w:eastAsia="zh-CN"/>
                    </w:rPr>
                    <w:t>3</w:t>
                  </w:r>
                  <w:r>
                    <w:rPr>
                      <w:rFonts w:hint="eastAsia"/>
                      <w:color w:val="auto"/>
                    </w:rPr>
                    <w:t>00万套（折合重量约</w:t>
                  </w:r>
                  <w:r>
                    <w:rPr>
                      <w:color w:val="auto"/>
                    </w:rPr>
                    <w:t>1</w:t>
                  </w:r>
                  <w:r>
                    <w:rPr>
                      <w:rFonts w:hint="eastAsia"/>
                      <w:color w:val="auto"/>
                      <w:lang w:val="en-US" w:eastAsia="zh-CN"/>
                    </w:rPr>
                    <w:t>92</w:t>
                  </w:r>
                  <w:r>
                    <w:rPr>
                      <w:color w:val="auto"/>
                    </w:rPr>
                    <w:t>0</w:t>
                  </w:r>
                  <w:r>
                    <w:rPr>
                      <w:rFonts w:hint="eastAsia"/>
                      <w:color w:val="auto"/>
                    </w:rPr>
                    <w:t>t/a）</w:t>
                  </w:r>
                </w:p>
              </w:tc>
              <w:tc>
                <w:tcPr>
                  <w:tcW w:w="1448" w:type="pct"/>
                  <w:noWrap w:val="0"/>
                  <w:tcMar>
                    <w:left w:w="57" w:type="dxa"/>
                    <w:right w:w="57" w:type="dxa"/>
                  </w:tcMar>
                  <w:vAlign w:val="center"/>
                </w:tcPr>
                <w:p w14:paraId="514B89EB">
                  <w:pPr>
                    <w:pStyle w:val="30"/>
                    <w:rPr>
                      <w:color w:val="auto"/>
                      <w:kern w:val="0"/>
                      <w:szCs w:val="21"/>
                    </w:rPr>
                  </w:pPr>
                  <w:r>
                    <w:rPr>
                      <w:rFonts w:hint="eastAsia"/>
                      <w:color w:val="auto"/>
                      <w:kern w:val="0"/>
                      <w:szCs w:val="21"/>
                    </w:rPr>
                    <w:t>户外沙滩椅</w:t>
                  </w:r>
                  <w:r>
                    <w:rPr>
                      <w:rFonts w:hint="eastAsia"/>
                      <w:color w:val="auto"/>
                      <w:lang w:val="en-US" w:eastAsia="zh-CN"/>
                    </w:rPr>
                    <w:t>27</w:t>
                  </w:r>
                  <w:r>
                    <w:rPr>
                      <w:rFonts w:hint="eastAsia"/>
                      <w:color w:val="auto"/>
                    </w:rPr>
                    <w:t>0万套（折合重量约</w:t>
                  </w:r>
                  <w:r>
                    <w:rPr>
                      <w:color w:val="auto"/>
                    </w:rPr>
                    <w:t>1</w:t>
                  </w:r>
                  <w:r>
                    <w:rPr>
                      <w:rFonts w:hint="eastAsia"/>
                      <w:color w:val="auto"/>
                      <w:lang w:val="en-US" w:eastAsia="zh-CN"/>
                    </w:rPr>
                    <w:t>73</w:t>
                  </w:r>
                  <w:r>
                    <w:rPr>
                      <w:color w:val="auto"/>
                    </w:rPr>
                    <w:t>0</w:t>
                  </w:r>
                  <w:r>
                    <w:rPr>
                      <w:rFonts w:hint="eastAsia"/>
                      <w:color w:val="auto"/>
                    </w:rPr>
                    <w:t>t/a）</w:t>
                  </w:r>
                </w:p>
                <w:p w14:paraId="3DCE2436">
                  <w:pPr>
                    <w:pStyle w:val="30"/>
                    <w:rPr>
                      <w:rFonts w:hint="eastAsia"/>
                      <w:color w:val="auto"/>
                      <w:kern w:val="0"/>
                      <w:szCs w:val="21"/>
                    </w:rPr>
                  </w:pPr>
                  <w:r>
                    <w:rPr>
                      <w:rFonts w:hint="eastAsia"/>
                      <w:color w:val="auto"/>
                      <w:kern w:val="0"/>
                      <w:szCs w:val="21"/>
                    </w:rPr>
                    <w:t>户外沙滩桌</w:t>
                  </w:r>
                  <w:r>
                    <w:rPr>
                      <w:rFonts w:hint="eastAsia"/>
                      <w:color w:val="auto"/>
                      <w:kern w:val="0"/>
                      <w:szCs w:val="21"/>
                      <w:lang w:val="en-US" w:eastAsia="zh-CN"/>
                    </w:rPr>
                    <w:t>3</w:t>
                  </w:r>
                  <w:r>
                    <w:rPr>
                      <w:color w:val="auto"/>
                      <w:kern w:val="0"/>
                      <w:szCs w:val="21"/>
                    </w:rPr>
                    <w:t>0</w:t>
                  </w:r>
                  <w:r>
                    <w:rPr>
                      <w:rFonts w:hint="eastAsia"/>
                      <w:color w:val="auto"/>
                    </w:rPr>
                    <w:t>万套（折合重量约</w:t>
                  </w:r>
                  <w:r>
                    <w:rPr>
                      <w:color w:val="auto"/>
                    </w:rPr>
                    <w:t>1</w:t>
                  </w:r>
                  <w:r>
                    <w:rPr>
                      <w:rFonts w:hint="eastAsia"/>
                      <w:color w:val="auto"/>
                      <w:lang w:val="en-US" w:eastAsia="zh-CN"/>
                    </w:rPr>
                    <w:t>9</w:t>
                  </w:r>
                  <w:r>
                    <w:rPr>
                      <w:color w:val="auto"/>
                    </w:rPr>
                    <w:t>0</w:t>
                  </w:r>
                  <w:r>
                    <w:rPr>
                      <w:rFonts w:hint="eastAsia"/>
                      <w:color w:val="auto"/>
                    </w:rPr>
                    <w:t>t/a）</w:t>
                  </w:r>
                </w:p>
              </w:tc>
              <w:tc>
                <w:tcPr>
                  <w:tcW w:w="1448" w:type="pct"/>
                  <w:noWrap w:val="0"/>
                  <w:tcMar>
                    <w:left w:w="57" w:type="dxa"/>
                    <w:right w:w="57" w:type="dxa"/>
                  </w:tcMar>
                  <w:vAlign w:val="center"/>
                </w:tcPr>
                <w:p w14:paraId="5A57F84E">
                  <w:pPr>
                    <w:pStyle w:val="30"/>
                    <w:rPr>
                      <w:rFonts w:hint="eastAsia"/>
                      <w:color w:val="auto"/>
                      <w:kern w:val="0"/>
                      <w:szCs w:val="21"/>
                    </w:rPr>
                  </w:pPr>
                </w:p>
              </w:tc>
            </w:tr>
            <w:tr w14:paraId="5FA573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000" w:type="pct"/>
                  <w:gridSpan w:val="4"/>
                  <w:noWrap w:val="0"/>
                  <w:tcMar>
                    <w:left w:w="57" w:type="dxa"/>
                    <w:right w:w="57" w:type="dxa"/>
                  </w:tcMar>
                  <w:vAlign w:val="center"/>
                </w:tcPr>
                <w:p w14:paraId="4F8A3A41">
                  <w:pPr>
                    <w:pStyle w:val="30"/>
                    <w:rPr>
                      <w:rFonts w:hint="eastAsia"/>
                      <w:color w:val="auto"/>
                      <w:kern w:val="0"/>
                      <w:szCs w:val="21"/>
                    </w:rPr>
                  </w:pPr>
                  <w:r>
                    <w:rPr>
                      <w:rFonts w:hint="eastAsia" w:cs="Times New Roman"/>
                      <w:color w:val="auto"/>
                      <w:kern w:val="0"/>
                      <w:sz w:val="21"/>
                      <w:szCs w:val="21"/>
                      <w:lang w:val="en-US" w:eastAsia="zh-CN" w:bidi="ar-SA"/>
                    </w:rPr>
                    <w:t>原有项目（迁建前）</w:t>
                  </w:r>
                  <w:r>
                    <w:rPr>
                      <w:rFonts w:hint="eastAsia" w:ascii="Times New Roman" w:hAnsi="Times New Roman" w:eastAsia="宋体" w:cs="Times New Roman"/>
                      <w:color w:val="auto"/>
                      <w:kern w:val="0"/>
                      <w:sz w:val="21"/>
                      <w:szCs w:val="21"/>
                      <w:lang w:val="en-US" w:eastAsia="zh-CN" w:bidi="ar-SA"/>
                    </w:rPr>
                    <w:t>年产500万方塑料板材，200万套塑料户外家具</w:t>
                  </w:r>
                </w:p>
              </w:tc>
            </w:tr>
            <w:bookmarkEnd w:id="12"/>
          </w:tbl>
          <w:p w14:paraId="4DB0B644">
            <w:pPr>
              <w:pStyle w:val="73"/>
              <w:rPr>
                <w:color w:val="auto"/>
              </w:rPr>
            </w:pPr>
            <w:r>
              <w:rPr>
                <w:color w:val="auto"/>
                <w:sz w:val="21"/>
              </w:rPr>
              <mc:AlternateContent>
                <mc:Choice Requires="wps">
                  <w:drawing>
                    <wp:anchor distT="0" distB="0" distL="114300" distR="114300" simplePos="0" relativeHeight="251660288" behindDoc="0" locked="0" layoutInCell="1" allowOverlap="1">
                      <wp:simplePos x="0" y="0"/>
                      <wp:positionH relativeFrom="column">
                        <wp:posOffset>3998595</wp:posOffset>
                      </wp:positionH>
                      <wp:positionV relativeFrom="paragraph">
                        <wp:posOffset>854710</wp:posOffset>
                      </wp:positionV>
                      <wp:extent cx="706120" cy="30035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70612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C8424">
                                  <w:r>
                                    <w:rPr>
                                      <w:rFonts w:hint="eastAsia"/>
                                      <w:color w:val="auto"/>
                                      <w:sz w:val="18"/>
                                      <w:szCs w:val="18"/>
                                      <w:lang w:val="en-US" w:eastAsia="zh-CN"/>
                                    </w:rPr>
                                    <w:t>3</w:t>
                                  </w:r>
                                  <w:r>
                                    <w:rPr>
                                      <w:rFonts w:hint="eastAsia"/>
                                      <w:color w:val="auto"/>
                                      <w:sz w:val="18"/>
                                      <w:szCs w:val="18"/>
                                    </w:rPr>
                                    <w:t>00万套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85pt;margin-top:67.3pt;height:23.65pt;width:55.6pt;z-index:251660288;mso-width-relative:page;mso-height-relative:page;" filled="f" stroked="f" coordsize="21600,21600" o:gfxdata="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Sx40uNwAAAALAQAADwAAAAAAAAABACAAAAAiAAAA&#10;ZHJzL2Rvd25yZXYueG1sUEsBAhQAFAAAAAgAh07iQHRuuKQ8AgAAZwQAAA4AAAAAAAAAAQAgAAAA&#10;KwEAAGRycy9lMm9Eb2MueG1sUEsFBgAAAAAGAAYAWQEAANkFAAAAAA==&#10;">
                      <v:fill on="f" focussize="0,0"/>
                      <v:stroke on="f" weight="0.5pt"/>
                      <v:imagedata o:title=""/>
                      <o:lock v:ext="edit" aspectratio="f"/>
                      <v:textbox>
                        <w:txbxContent>
                          <w:p w14:paraId="3AEC8424">
                            <w:r>
                              <w:rPr>
                                <w:rFonts w:hint="eastAsia"/>
                                <w:color w:val="auto"/>
                                <w:sz w:val="18"/>
                                <w:szCs w:val="18"/>
                                <w:lang w:val="en-US" w:eastAsia="zh-CN"/>
                              </w:rPr>
                              <w:t>3</w:t>
                            </w:r>
                            <w:r>
                              <w:rPr>
                                <w:rFonts w:hint="eastAsia"/>
                                <w:color w:val="auto"/>
                                <w:sz w:val="18"/>
                                <w:szCs w:val="18"/>
                              </w:rPr>
                              <w:t>00万套</w:t>
                            </w:r>
                          </w:p>
                        </w:txbxContent>
                      </v:textbox>
                    </v:shape>
                  </w:pict>
                </mc:Fallback>
              </mc:AlternateContent>
            </w:r>
            <w:r>
              <w:rPr>
                <w:color w:val="auto"/>
                <w:sz w:val="21"/>
              </w:rPr>
              <mc:AlternateContent>
                <mc:Choice Requires="wps">
                  <w:drawing>
                    <wp:anchor distT="0" distB="0" distL="114300" distR="114300" simplePos="0" relativeHeight="251659264" behindDoc="0" locked="0" layoutInCell="1" allowOverlap="1">
                      <wp:simplePos x="0" y="0"/>
                      <wp:positionH relativeFrom="column">
                        <wp:posOffset>2183765</wp:posOffset>
                      </wp:positionH>
                      <wp:positionV relativeFrom="paragraph">
                        <wp:posOffset>113030</wp:posOffset>
                      </wp:positionV>
                      <wp:extent cx="706120" cy="300355"/>
                      <wp:effectExtent l="0" t="0" r="0" b="0"/>
                      <wp:wrapNone/>
                      <wp:docPr id="24" name="文本框 24"/>
                      <wp:cNvGraphicFramePr/>
                      <a:graphic xmlns:a="http://schemas.openxmlformats.org/drawingml/2006/main">
                        <a:graphicData uri="http://schemas.microsoft.com/office/word/2010/wordprocessingShape">
                          <wps:wsp>
                            <wps:cNvSpPr txBox="1"/>
                            <wps:spPr>
                              <a:xfrm>
                                <a:off x="3776980" y="5003165"/>
                                <a:ext cx="706120" cy="300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C7D155">
                                  <w:pPr>
                                    <w:rPr>
                                      <w:color w:val="auto"/>
                                      <w:sz w:val="18"/>
                                      <w:szCs w:val="18"/>
                                    </w:rPr>
                                  </w:pPr>
                                  <w:r>
                                    <w:rPr>
                                      <w:rFonts w:hint="eastAsia"/>
                                      <w:color w:val="auto"/>
                                      <w:sz w:val="18"/>
                                      <w:szCs w:val="18"/>
                                      <w:lang w:val="en-US" w:eastAsia="zh-CN"/>
                                    </w:rPr>
                                    <w:t>75</w:t>
                                  </w:r>
                                  <w:r>
                                    <w:rPr>
                                      <w:rFonts w:hint="eastAsia"/>
                                      <w:color w:val="auto"/>
                                      <w:sz w:val="18"/>
                                      <w:szCs w:val="18"/>
                                    </w:rPr>
                                    <w:t>万m</w:t>
                                  </w:r>
                                  <w:r>
                                    <w:rPr>
                                      <w:color w:val="auto"/>
                                      <w:sz w:val="18"/>
                                      <w:szCs w:val="1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95pt;margin-top:8.9pt;height:23.65pt;width:55.6pt;z-index:251659264;mso-width-relative:page;mso-height-relative:page;" filled="f" stroked="f" coordsize="21600,21600" o:gfxdata="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QeEql9oAAAAJAQAADwAAAAAAAAAB&#10;ACAAAAAiAAAAZHJzL2Rvd25yZXYueG1sUEsBAhQAFAAAAAgAh07iQKvmq1dHAgAAcwQAAA4AAAAA&#10;AAAAAQAgAAAAKQEAAGRycy9lMm9Eb2MueG1sUEsFBgAAAAAGAAYAWQEAAOIFAAAAAA==&#10;">
                      <v:fill on="f" focussize="0,0"/>
                      <v:stroke on="f" weight="0.5pt"/>
                      <v:imagedata o:title=""/>
                      <o:lock v:ext="edit" aspectratio="f"/>
                      <v:textbox>
                        <w:txbxContent>
                          <w:p w14:paraId="6CC7D155">
                            <w:pPr>
                              <w:rPr>
                                <w:color w:val="auto"/>
                                <w:sz w:val="18"/>
                                <w:szCs w:val="18"/>
                              </w:rPr>
                            </w:pPr>
                            <w:r>
                              <w:rPr>
                                <w:rFonts w:hint="eastAsia"/>
                                <w:color w:val="auto"/>
                                <w:sz w:val="18"/>
                                <w:szCs w:val="18"/>
                                <w:lang w:val="en-US" w:eastAsia="zh-CN"/>
                              </w:rPr>
                              <w:t>75</w:t>
                            </w:r>
                            <w:r>
                              <w:rPr>
                                <w:rFonts w:hint="eastAsia"/>
                                <w:color w:val="auto"/>
                                <w:sz w:val="18"/>
                                <w:szCs w:val="18"/>
                              </w:rPr>
                              <w:t>万m</w:t>
                            </w:r>
                            <w:r>
                              <w:rPr>
                                <w:color w:val="auto"/>
                                <w:sz w:val="18"/>
                                <w:szCs w:val="18"/>
                                <w:vertAlign w:val="superscript"/>
                              </w:rPr>
                              <w:t>3</w:t>
                            </w:r>
                          </w:p>
                        </w:txbxContent>
                      </v:textbox>
                    </v:shape>
                  </w:pict>
                </mc:Fallback>
              </mc:AlternateContent>
            </w:r>
            <w:r>
              <w:rPr>
                <w:color w:val="auto"/>
              </w:rPr>
              <w:object>
                <v:shape id="_x0000_i1025" o:spt="75" type="#_x0000_t75" style="height:105.5pt;width:330.75pt;" o:ole="t" filled="f" stroked="f" coordsize="21600,21600">
                  <v:path/>
                  <v:fill on="f" focussize="0,0"/>
                  <v:stroke on="f"/>
                  <v:imagedata r:id="rId20" o:title=""/>
                  <o:lock v:ext="edit" aspectratio="t"/>
                  <w10:wrap type="none"/>
                  <w10:anchorlock/>
                </v:shape>
                <o:OLEObject Type="Embed" ProgID="Visio.Drawing.11" ShapeID="_x0000_i1025" DrawAspect="Content" ObjectID="_1468075725" r:id="rId19">
                  <o:LockedField>false</o:LockedField>
                </o:OLEObject>
              </w:object>
            </w:r>
          </w:p>
          <w:p w14:paraId="220A016D">
            <w:pPr>
              <w:pStyle w:val="88"/>
              <w:spacing w:line="240" w:lineRule="auto"/>
              <w:rPr>
                <w:rFonts w:hint="eastAsia"/>
                <w:color w:val="auto"/>
                <w:sz w:val="24"/>
                <w:szCs w:val="24"/>
                <w:highlight w:val="none"/>
              </w:rPr>
            </w:pPr>
            <w:r>
              <w:rPr>
                <w:rFonts w:hint="eastAsia"/>
                <w:color w:val="auto"/>
                <w:sz w:val="24"/>
                <w:szCs w:val="24"/>
                <w:highlight w:val="none"/>
              </w:rPr>
              <w:t>产品流</w:t>
            </w:r>
            <w:r>
              <w:rPr>
                <w:rFonts w:hint="eastAsia"/>
                <w:color w:val="auto"/>
                <w:sz w:val="24"/>
                <w:szCs w:val="24"/>
                <w:highlight w:val="none"/>
                <w:lang w:eastAsia="zh-CN"/>
              </w:rPr>
              <w:t>向</w:t>
            </w:r>
            <w:r>
              <w:rPr>
                <w:rFonts w:hint="eastAsia"/>
                <w:color w:val="auto"/>
                <w:sz w:val="24"/>
                <w:szCs w:val="24"/>
                <w:highlight w:val="none"/>
              </w:rPr>
              <w:t>图</w:t>
            </w:r>
          </w:p>
          <w:p w14:paraId="7DD992F2">
            <w:pPr>
              <w:pStyle w:val="54"/>
              <w:rPr>
                <w:rFonts w:hint="eastAsia" w:cs="Times New Roman"/>
                <w:color w:val="auto"/>
              </w:rPr>
            </w:pPr>
            <w:r>
              <w:rPr>
                <w:rFonts w:cs="Times New Roman"/>
                <w:color w:val="auto"/>
              </w:rPr>
              <w:t>原辅材料</w:t>
            </w:r>
          </w:p>
          <w:p w14:paraId="0191706E">
            <w:pPr>
              <w:pStyle w:val="55"/>
              <w:spacing w:line="348" w:lineRule="auto"/>
              <w:rPr>
                <w:color w:val="auto"/>
                <w:sz w:val="24"/>
                <w:szCs w:val="24"/>
              </w:rPr>
            </w:pPr>
            <w:r>
              <w:rPr>
                <w:color w:val="auto"/>
                <w:sz w:val="24"/>
                <w:szCs w:val="24"/>
              </w:rPr>
              <w:t>项目主要原辅材料见</w:t>
            </w:r>
            <w:r>
              <w:rPr>
                <w:color w:val="auto"/>
                <w:sz w:val="24"/>
                <w:szCs w:val="24"/>
              </w:rPr>
              <w:fldChar w:fldCharType="begin"/>
            </w:r>
            <w:r>
              <w:rPr>
                <w:color w:val="auto"/>
                <w:sz w:val="24"/>
                <w:szCs w:val="24"/>
              </w:rPr>
              <w:instrText xml:space="preserve"> REF _Ref67732514 \r \h  \* MERGEFORMAT </w:instrText>
            </w:r>
            <w:r>
              <w:rPr>
                <w:color w:val="auto"/>
                <w:sz w:val="24"/>
                <w:szCs w:val="24"/>
              </w:rPr>
              <w:fldChar w:fldCharType="separate"/>
            </w:r>
            <w:r>
              <w:rPr>
                <w:rFonts w:hint="eastAsia"/>
                <w:color w:val="auto"/>
                <w:sz w:val="24"/>
                <w:szCs w:val="24"/>
              </w:rPr>
              <w:t>表2.</w:t>
            </w:r>
            <w:r>
              <w:rPr>
                <w:rFonts w:hint="eastAsia"/>
                <w:color w:val="auto"/>
                <w:sz w:val="24"/>
                <w:szCs w:val="24"/>
                <w:lang w:val="en-US" w:eastAsia="zh-CN"/>
              </w:rPr>
              <w:t>5</w:t>
            </w:r>
            <w:r>
              <w:rPr>
                <w:rFonts w:hint="eastAsia"/>
                <w:color w:val="auto"/>
                <w:sz w:val="24"/>
                <w:szCs w:val="24"/>
              </w:rPr>
              <w:t>-1</w:t>
            </w:r>
            <w:r>
              <w:rPr>
                <w:color w:val="auto"/>
                <w:sz w:val="24"/>
                <w:szCs w:val="24"/>
              </w:rPr>
              <w:fldChar w:fldCharType="end"/>
            </w:r>
            <w:r>
              <w:rPr>
                <w:color w:val="auto"/>
                <w:sz w:val="24"/>
                <w:szCs w:val="24"/>
              </w:rPr>
              <w:t>。</w:t>
            </w:r>
          </w:p>
          <w:p w14:paraId="044FF4A8">
            <w:pPr>
              <w:pStyle w:val="59"/>
              <w:keepNext w:val="0"/>
              <w:keepLines w:val="0"/>
              <w:pageBreakBefore w:val="0"/>
              <w:widowControl w:val="0"/>
              <w:kinsoku/>
              <w:wordWrap/>
              <w:overflowPunct/>
              <w:topLinePunct w:val="0"/>
              <w:autoSpaceDE/>
              <w:autoSpaceDN/>
              <w:bidi w:val="0"/>
              <w:adjustRightInd/>
              <w:snapToGrid/>
              <w:spacing w:before="157" w:beforeLines="50" w:line="240" w:lineRule="auto"/>
              <w:ind w:firstLine="0"/>
              <w:textAlignment w:val="auto"/>
              <w:rPr>
                <w:rFonts w:ascii="Times New Roman" w:hAnsi="Times New Roman" w:cs="Times New Roman"/>
                <w:color w:val="auto"/>
                <w:sz w:val="24"/>
                <w:szCs w:val="24"/>
              </w:rPr>
            </w:pPr>
            <w:bookmarkStart w:id="13" w:name="_Ref67732514"/>
            <w:bookmarkStart w:id="14" w:name="_Hlk89850113"/>
            <w:r>
              <w:rPr>
                <w:rFonts w:ascii="Times New Roman" w:hAnsi="Times New Roman" w:cs="Times New Roman"/>
                <w:color w:val="auto"/>
                <w:sz w:val="24"/>
                <w:szCs w:val="24"/>
              </w:rPr>
              <w:t>原辅</w:t>
            </w:r>
            <w:r>
              <w:rPr>
                <w:rFonts w:hint="eastAsia" w:ascii="Times New Roman" w:hAnsi="Times New Roman" w:eastAsia="宋体" w:cs="Times New Roman"/>
                <w:b/>
                <w:bCs/>
                <w:color w:val="auto"/>
                <w:sz w:val="24"/>
                <w:szCs w:val="24"/>
              </w:rPr>
              <w:t>材料</w:t>
            </w:r>
            <w:r>
              <w:rPr>
                <w:rFonts w:ascii="Times New Roman" w:hAnsi="Times New Roman" w:cs="Times New Roman"/>
                <w:color w:val="auto"/>
                <w:sz w:val="24"/>
                <w:szCs w:val="24"/>
              </w:rPr>
              <w:t>一览表</w:t>
            </w:r>
            <w:bookmarkEnd w:id="13"/>
          </w:p>
          <w:tbl>
            <w:tblPr>
              <w:tblStyle w:val="23"/>
              <w:tblW w:w="4995"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27"/>
              <w:gridCol w:w="1945"/>
              <w:gridCol w:w="1169"/>
              <w:gridCol w:w="981"/>
              <w:gridCol w:w="660"/>
              <w:gridCol w:w="1150"/>
              <w:gridCol w:w="1102"/>
              <w:gridCol w:w="747"/>
            </w:tblGrid>
            <w:tr w14:paraId="2F69B8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61" w:type="pct"/>
                  <w:noWrap w:val="0"/>
                  <w:vAlign w:val="center"/>
                </w:tcPr>
                <w:p w14:paraId="73A8AD07">
                  <w:pPr>
                    <w:pStyle w:val="30"/>
                    <w:spacing w:line="290" w:lineRule="exact"/>
                    <w:rPr>
                      <w:color w:val="auto"/>
                    </w:rPr>
                  </w:pPr>
                  <w:bookmarkStart w:id="15" w:name="_Hlk78213650"/>
                  <w:r>
                    <w:rPr>
                      <w:color w:val="auto"/>
                    </w:rPr>
                    <w:t>序号</w:t>
                  </w:r>
                </w:p>
              </w:tc>
              <w:tc>
                <w:tcPr>
                  <w:tcW w:w="1188" w:type="pct"/>
                  <w:noWrap w:val="0"/>
                  <w:vAlign w:val="center"/>
                </w:tcPr>
                <w:p w14:paraId="4DECE039">
                  <w:pPr>
                    <w:pStyle w:val="30"/>
                    <w:spacing w:line="290" w:lineRule="exact"/>
                    <w:rPr>
                      <w:color w:val="auto"/>
                    </w:rPr>
                  </w:pPr>
                  <w:r>
                    <w:rPr>
                      <w:color w:val="auto"/>
                    </w:rPr>
                    <w:t>原辅料名称</w:t>
                  </w:r>
                </w:p>
              </w:tc>
              <w:tc>
                <w:tcPr>
                  <w:tcW w:w="714" w:type="pct"/>
                  <w:noWrap w:val="0"/>
                  <w:vAlign w:val="center"/>
                </w:tcPr>
                <w:p w14:paraId="753774E4">
                  <w:pPr>
                    <w:pStyle w:val="30"/>
                    <w:spacing w:line="290" w:lineRule="exact"/>
                    <w:rPr>
                      <w:color w:val="auto"/>
                    </w:rPr>
                  </w:pPr>
                  <w:r>
                    <w:rPr>
                      <w:color w:val="auto"/>
                    </w:rPr>
                    <w:t>设计年使用量</w:t>
                  </w:r>
                  <w:r>
                    <w:rPr>
                      <w:rFonts w:hint="eastAsia"/>
                      <w:color w:val="auto"/>
                    </w:rPr>
                    <w:t>t</w:t>
                  </w:r>
                  <w:r>
                    <w:rPr>
                      <w:color w:val="auto"/>
                    </w:rPr>
                    <w:t>/a</w:t>
                  </w:r>
                </w:p>
              </w:tc>
              <w:tc>
                <w:tcPr>
                  <w:tcW w:w="599" w:type="pct"/>
                  <w:noWrap w:val="0"/>
                  <w:vAlign w:val="center"/>
                </w:tcPr>
                <w:p w14:paraId="43CA5214">
                  <w:pPr>
                    <w:pStyle w:val="30"/>
                    <w:spacing w:line="290" w:lineRule="exact"/>
                    <w:rPr>
                      <w:rFonts w:hint="eastAsia" w:eastAsia="宋体"/>
                      <w:color w:val="auto"/>
                      <w:lang w:val="en-US" w:eastAsia="zh-CN"/>
                    </w:rPr>
                  </w:pPr>
                  <w:r>
                    <w:rPr>
                      <w:color w:val="auto"/>
                    </w:rPr>
                    <w:t>最大存放量</w:t>
                  </w:r>
                  <w:r>
                    <w:rPr>
                      <w:rFonts w:hint="eastAsia"/>
                      <w:color w:val="auto"/>
                      <w:lang w:val="en-US" w:eastAsia="zh-CN"/>
                    </w:rPr>
                    <w:t>t</w:t>
                  </w:r>
                </w:p>
              </w:tc>
              <w:tc>
                <w:tcPr>
                  <w:tcW w:w="403" w:type="pct"/>
                  <w:noWrap w:val="0"/>
                  <w:vAlign w:val="center"/>
                </w:tcPr>
                <w:p w14:paraId="30CE5C11">
                  <w:pPr>
                    <w:pStyle w:val="30"/>
                    <w:spacing w:line="290" w:lineRule="exact"/>
                    <w:rPr>
                      <w:rFonts w:hint="eastAsia"/>
                      <w:color w:val="auto"/>
                    </w:rPr>
                  </w:pPr>
                  <w:r>
                    <w:rPr>
                      <w:rFonts w:hint="eastAsia"/>
                      <w:color w:val="auto"/>
                    </w:rPr>
                    <w:t>性质</w:t>
                  </w:r>
                </w:p>
              </w:tc>
              <w:tc>
                <w:tcPr>
                  <w:tcW w:w="702" w:type="pct"/>
                  <w:noWrap w:val="0"/>
                  <w:vAlign w:val="center"/>
                </w:tcPr>
                <w:p w14:paraId="617A610F">
                  <w:pPr>
                    <w:pStyle w:val="30"/>
                    <w:spacing w:line="290" w:lineRule="exact"/>
                    <w:rPr>
                      <w:rFonts w:hint="eastAsia"/>
                      <w:color w:val="auto"/>
                    </w:rPr>
                  </w:pPr>
                  <w:r>
                    <w:rPr>
                      <w:rFonts w:hint="eastAsia"/>
                      <w:color w:val="auto"/>
                    </w:rPr>
                    <w:t>包装方式及规格</w:t>
                  </w:r>
                </w:p>
              </w:tc>
              <w:tc>
                <w:tcPr>
                  <w:tcW w:w="673" w:type="pct"/>
                  <w:noWrap w:val="0"/>
                  <w:vAlign w:val="center"/>
                </w:tcPr>
                <w:p w14:paraId="1A31257D">
                  <w:pPr>
                    <w:pStyle w:val="30"/>
                    <w:spacing w:line="290" w:lineRule="exact"/>
                    <w:rPr>
                      <w:color w:val="auto"/>
                    </w:rPr>
                  </w:pPr>
                  <w:r>
                    <w:rPr>
                      <w:color w:val="auto"/>
                    </w:rPr>
                    <w:t>存放位置</w:t>
                  </w:r>
                </w:p>
              </w:tc>
              <w:tc>
                <w:tcPr>
                  <w:tcW w:w="456" w:type="pct"/>
                  <w:noWrap w:val="0"/>
                  <w:vAlign w:val="center"/>
                </w:tcPr>
                <w:p w14:paraId="1A5FB724">
                  <w:pPr>
                    <w:pStyle w:val="30"/>
                    <w:spacing w:line="290" w:lineRule="exact"/>
                    <w:rPr>
                      <w:color w:val="auto"/>
                    </w:rPr>
                  </w:pPr>
                  <w:r>
                    <w:rPr>
                      <w:rFonts w:hint="eastAsia"/>
                      <w:color w:val="auto"/>
                    </w:rPr>
                    <w:t>备注</w:t>
                  </w:r>
                </w:p>
              </w:tc>
            </w:tr>
            <w:tr w14:paraId="779DDC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1" w:type="pct"/>
                  <w:noWrap w:val="0"/>
                  <w:vAlign w:val="center"/>
                </w:tcPr>
                <w:p w14:paraId="032DE0F9">
                  <w:pPr>
                    <w:pStyle w:val="30"/>
                    <w:spacing w:line="290" w:lineRule="exact"/>
                    <w:rPr>
                      <w:color w:val="auto"/>
                    </w:rPr>
                  </w:pPr>
                  <w:r>
                    <w:rPr>
                      <w:color w:val="auto"/>
                    </w:rPr>
                    <w:t>1</w:t>
                  </w:r>
                </w:p>
              </w:tc>
              <w:tc>
                <w:tcPr>
                  <w:tcW w:w="1188" w:type="pct"/>
                  <w:noWrap w:val="0"/>
                  <w:vAlign w:val="top"/>
                </w:tcPr>
                <w:p w14:paraId="16893B73">
                  <w:pPr>
                    <w:pStyle w:val="30"/>
                    <w:spacing w:line="290" w:lineRule="exact"/>
                    <w:rPr>
                      <w:color w:val="auto"/>
                    </w:rPr>
                  </w:pPr>
                  <w:r>
                    <w:rPr>
                      <w:rFonts w:hint="eastAsia"/>
                      <w:color w:val="auto"/>
                    </w:rPr>
                    <w:t>高密度聚乙烯（H</w:t>
                  </w:r>
                  <w:r>
                    <w:rPr>
                      <w:color w:val="auto"/>
                    </w:rPr>
                    <w:t>DPE</w:t>
                  </w:r>
                  <w:r>
                    <w:rPr>
                      <w:rFonts w:hint="eastAsia"/>
                      <w:color w:val="auto"/>
                    </w:rPr>
                    <w:t>）</w:t>
                  </w:r>
                </w:p>
              </w:tc>
              <w:tc>
                <w:tcPr>
                  <w:tcW w:w="714" w:type="pct"/>
                  <w:noWrap w:val="0"/>
                  <w:vAlign w:val="center"/>
                </w:tcPr>
                <w:p w14:paraId="7AC49B07">
                  <w:pPr>
                    <w:keepNext w:val="0"/>
                    <w:keepLines w:val="0"/>
                    <w:widowControl/>
                    <w:suppressLineNumbers w:val="0"/>
                    <w:jc w:val="center"/>
                    <w:textAlignment w:val="center"/>
                    <w:rPr>
                      <w:rFonts w:hint="default"/>
                      <w:color w:val="auto"/>
                      <w:lang w:val="en-US"/>
                    </w:rPr>
                  </w:pPr>
                  <w:r>
                    <w:rPr>
                      <w:rFonts w:hint="eastAsia" w:cs="Times New Roman"/>
                      <w:i w:val="0"/>
                      <w:iCs w:val="0"/>
                      <w:color w:val="auto"/>
                      <w:kern w:val="0"/>
                      <w:sz w:val="21"/>
                      <w:szCs w:val="21"/>
                      <w:u w:val="none"/>
                      <w:lang w:val="en-US" w:eastAsia="zh-CN" w:bidi="ar"/>
                    </w:rPr>
                    <w:t>1797.4</w:t>
                  </w:r>
                </w:p>
              </w:tc>
              <w:tc>
                <w:tcPr>
                  <w:tcW w:w="599" w:type="pct"/>
                  <w:noWrap w:val="0"/>
                  <w:vAlign w:val="center"/>
                </w:tcPr>
                <w:p w14:paraId="508443A8">
                  <w:pPr>
                    <w:pStyle w:val="30"/>
                    <w:spacing w:line="290" w:lineRule="exact"/>
                    <w:rPr>
                      <w:color w:val="auto"/>
                    </w:rPr>
                  </w:pPr>
                  <w:r>
                    <w:rPr>
                      <w:rFonts w:hint="eastAsia"/>
                      <w:color w:val="auto"/>
                      <w:lang w:val="en-US" w:eastAsia="zh-CN"/>
                    </w:rPr>
                    <w:t>6</w:t>
                  </w:r>
                  <w:r>
                    <w:rPr>
                      <w:color w:val="auto"/>
                    </w:rPr>
                    <w:t>0</w:t>
                  </w:r>
                </w:p>
              </w:tc>
              <w:tc>
                <w:tcPr>
                  <w:tcW w:w="403" w:type="pct"/>
                  <w:noWrap w:val="0"/>
                  <w:vAlign w:val="center"/>
                </w:tcPr>
                <w:p w14:paraId="56C286DE">
                  <w:pPr>
                    <w:pStyle w:val="30"/>
                    <w:spacing w:line="290" w:lineRule="exact"/>
                    <w:rPr>
                      <w:rFonts w:hint="eastAsia"/>
                      <w:color w:val="auto"/>
                    </w:rPr>
                  </w:pPr>
                  <w:r>
                    <w:rPr>
                      <w:rFonts w:hint="eastAsia"/>
                      <w:color w:val="auto"/>
                    </w:rPr>
                    <w:t>固体</w:t>
                  </w:r>
                </w:p>
              </w:tc>
              <w:tc>
                <w:tcPr>
                  <w:tcW w:w="702" w:type="pct"/>
                  <w:noWrap w:val="0"/>
                  <w:vAlign w:val="center"/>
                </w:tcPr>
                <w:p w14:paraId="641E04DB">
                  <w:pPr>
                    <w:pStyle w:val="30"/>
                    <w:spacing w:line="290" w:lineRule="exact"/>
                    <w:rPr>
                      <w:rFonts w:hint="eastAsia"/>
                      <w:color w:val="auto"/>
                    </w:rPr>
                  </w:pPr>
                  <w:r>
                    <w:rPr>
                      <w:rFonts w:hint="eastAsia"/>
                      <w:color w:val="auto"/>
                    </w:rPr>
                    <w:t>袋装</w:t>
                  </w:r>
                </w:p>
              </w:tc>
              <w:tc>
                <w:tcPr>
                  <w:tcW w:w="673" w:type="pct"/>
                  <w:noWrap w:val="0"/>
                  <w:vAlign w:val="center"/>
                </w:tcPr>
                <w:p w14:paraId="098A9E62">
                  <w:pPr>
                    <w:pStyle w:val="30"/>
                    <w:spacing w:line="290" w:lineRule="exact"/>
                    <w:rPr>
                      <w:color w:val="auto"/>
                    </w:rPr>
                  </w:pPr>
                  <w:r>
                    <w:rPr>
                      <w:rFonts w:hint="eastAsia"/>
                      <w:color w:val="auto"/>
                    </w:rPr>
                    <w:t>原料库区</w:t>
                  </w:r>
                </w:p>
              </w:tc>
              <w:tc>
                <w:tcPr>
                  <w:tcW w:w="456" w:type="pct"/>
                  <w:noWrap w:val="0"/>
                  <w:vAlign w:val="center"/>
                </w:tcPr>
                <w:p w14:paraId="11D46303">
                  <w:pPr>
                    <w:pStyle w:val="30"/>
                    <w:spacing w:line="290" w:lineRule="exact"/>
                    <w:rPr>
                      <w:rFonts w:hint="eastAsia"/>
                      <w:color w:val="auto"/>
                    </w:rPr>
                  </w:pPr>
                  <w:r>
                    <w:rPr>
                      <w:rFonts w:hint="eastAsia"/>
                      <w:color w:val="auto"/>
                    </w:rPr>
                    <w:t>外购</w:t>
                  </w:r>
                </w:p>
              </w:tc>
            </w:tr>
            <w:tr w14:paraId="5ABDB3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1" w:type="pct"/>
                  <w:noWrap w:val="0"/>
                  <w:vAlign w:val="center"/>
                </w:tcPr>
                <w:p w14:paraId="4BCCA7D7">
                  <w:pPr>
                    <w:pStyle w:val="30"/>
                    <w:spacing w:line="290" w:lineRule="exact"/>
                    <w:rPr>
                      <w:color w:val="auto"/>
                    </w:rPr>
                  </w:pPr>
                  <w:r>
                    <w:rPr>
                      <w:color w:val="auto"/>
                    </w:rPr>
                    <w:t>2</w:t>
                  </w:r>
                </w:p>
              </w:tc>
              <w:tc>
                <w:tcPr>
                  <w:tcW w:w="1188" w:type="pct"/>
                  <w:noWrap w:val="0"/>
                  <w:vAlign w:val="top"/>
                </w:tcPr>
                <w:p w14:paraId="4482D6EA">
                  <w:pPr>
                    <w:pStyle w:val="30"/>
                    <w:spacing w:line="290" w:lineRule="exact"/>
                    <w:rPr>
                      <w:color w:val="auto"/>
                    </w:rPr>
                  </w:pPr>
                  <w:r>
                    <w:rPr>
                      <w:rFonts w:hint="eastAsia"/>
                      <w:color w:val="auto"/>
                    </w:rPr>
                    <w:t>色母</w:t>
                  </w:r>
                </w:p>
              </w:tc>
              <w:tc>
                <w:tcPr>
                  <w:tcW w:w="714" w:type="pct"/>
                  <w:noWrap w:val="0"/>
                  <w:vAlign w:val="center"/>
                </w:tcPr>
                <w:p w14:paraId="35631A89">
                  <w:pPr>
                    <w:keepNext w:val="0"/>
                    <w:keepLines w:val="0"/>
                    <w:widowControl/>
                    <w:suppressLineNumbers w:val="0"/>
                    <w:jc w:val="center"/>
                    <w:textAlignment w:val="center"/>
                    <w:rPr>
                      <w:rFonts w:hint="default"/>
                      <w:color w:val="auto"/>
                      <w:lang w:val="en-US"/>
                    </w:rPr>
                  </w:pPr>
                  <w:r>
                    <w:rPr>
                      <w:rFonts w:hint="eastAsia" w:cs="Times New Roman"/>
                      <w:i w:val="0"/>
                      <w:iCs w:val="0"/>
                      <w:color w:val="auto"/>
                      <w:kern w:val="0"/>
                      <w:sz w:val="21"/>
                      <w:szCs w:val="21"/>
                      <w:u w:val="none"/>
                      <w:lang w:val="en-US" w:eastAsia="zh-CN" w:bidi="ar"/>
                    </w:rPr>
                    <w:t>71.9</w:t>
                  </w:r>
                </w:p>
              </w:tc>
              <w:tc>
                <w:tcPr>
                  <w:tcW w:w="599" w:type="pct"/>
                  <w:noWrap w:val="0"/>
                  <w:vAlign w:val="center"/>
                </w:tcPr>
                <w:p w14:paraId="2965AB18">
                  <w:pPr>
                    <w:pStyle w:val="30"/>
                    <w:spacing w:line="290" w:lineRule="exact"/>
                    <w:rPr>
                      <w:color w:val="auto"/>
                    </w:rPr>
                  </w:pPr>
                  <w:r>
                    <w:rPr>
                      <w:rFonts w:hint="eastAsia"/>
                      <w:color w:val="auto"/>
                      <w:lang w:val="en-US" w:eastAsia="zh-CN"/>
                    </w:rPr>
                    <w:t>6</w:t>
                  </w:r>
                </w:p>
              </w:tc>
              <w:tc>
                <w:tcPr>
                  <w:tcW w:w="403" w:type="pct"/>
                  <w:noWrap w:val="0"/>
                  <w:vAlign w:val="center"/>
                </w:tcPr>
                <w:p w14:paraId="4A65C139">
                  <w:pPr>
                    <w:pStyle w:val="30"/>
                    <w:spacing w:line="290" w:lineRule="exact"/>
                    <w:rPr>
                      <w:rFonts w:hint="eastAsia"/>
                      <w:color w:val="auto"/>
                    </w:rPr>
                  </w:pPr>
                  <w:r>
                    <w:rPr>
                      <w:rFonts w:hint="eastAsia"/>
                      <w:color w:val="auto"/>
                    </w:rPr>
                    <w:t>固体</w:t>
                  </w:r>
                </w:p>
              </w:tc>
              <w:tc>
                <w:tcPr>
                  <w:tcW w:w="702" w:type="pct"/>
                  <w:noWrap w:val="0"/>
                  <w:vAlign w:val="center"/>
                </w:tcPr>
                <w:p w14:paraId="26219BA8">
                  <w:pPr>
                    <w:pStyle w:val="30"/>
                    <w:spacing w:line="290" w:lineRule="exact"/>
                    <w:rPr>
                      <w:rFonts w:hint="eastAsia"/>
                      <w:color w:val="auto"/>
                    </w:rPr>
                  </w:pPr>
                  <w:r>
                    <w:rPr>
                      <w:rFonts w:hint="eastAsia"/>
                      <w:color w:val="auto"/>
                    </w:rPr>
                    <w:t>袋装</w:t>
                  </w:r>
                </w:p>
              </w:tc>
              <w:tc>
                <w:tcPr>
                  <w:tcW w:w="673" w:type="pct"/>
                  <w:noWrap w:val="0"/>
                  <w:vAlign w:val="center"/>
                </w:tcPr>
                <w:p w14:paraId="2BF1D116">
                  <w:pPr>
                    <w:pStyle w:val="30"/>
                    <w:spacing w:line="290" w:lineRule="exact"/>
                    <w:rPr>
                      <w:color w:val="auto"/>
                    </w:rPr>
                  </w:pPr>
                  <w:r>
                    <w:rPr>
                      <w:rFonts w:hint="eastAsia"/>
                      <w:color w:val="auto"/>
                    </w:rPr>
                    <w:t>原料库区</w:t>
                  </w:r>
                </w:p>
              </w:tc>
              <w:tc>
                <w:tcPr>
                  <w:tcW w:w="456" w:type="pct"/>
                  <w:noWrap w:val="0"/>
                  <w:vAlign w:val="center"/>
                </w:tcPr>
                <w:p w14:paraId="547FD92E">
                  <w:pPr>
                    <w:pStyle w:val="30"/>
                    <w:spacing w:line="290" w:lineRule="exact"/>
                    <w:rPr>
                      <w:rFonts w:hint="eastAsia"/>
                      <w:color w:val="auto"/>
                    </w:rPr>
                  </w:pPr>
                  <w:r>
                    <w:rPr>
                      <w:rFonts w:hint="eastAsia"/>
                      <w:color w:val="auto"/>
                    </w:rPr>
                    <w:t>外购</w:t>
                  </w:r>
                </w:p>
              </w:tc>
            </w:tr>
            <w:tr w14:paraId="4054CD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1" w:type="pct"/>
                  <w:noWrap w:val="0"/>
                  <w:vAlign w:val="center"/>
                </w:tcPr>
                <w:p w14:paraId="240085BC">
                  <w:pPr>
                    <w:pStyle w:val="30"/>
                    <w:spacing w:line="290" w:lineRule="exact"/>
                    <w:rPr>
                      <w:color w:val="auto"/>
                    </w:rPr>
                  </w:pPr>
                  <w:r>
                    <w:rPr>
                      <w:rFonts w:hint="eastAsia"/>
                      <w:color w:val="auto"/>
                    </w:rPr>
                    <w:t>3</w:t>
                  </w:r>
                </w:p>
              </w:tc>
              <w:tc>
                <w:tcPr>
                  <w:tcW w:w="1188" w:type="pct"/>
                  <w:noWrap w:val="0"/>
                  <w:vAlign w:val="center"/>
                </w:tcPr>
                <w:p w14:paraId="49CF5F28">
                  <w:pPr>
                    <w:pStyle w:val="30"/>
                    <w:spacing w:line="290" w:lineRule="exact"/>
                    <w:rPr>
                      <w:rFonts w:hint="eastAsia"/>
                      <w:color w:val="auto"/>
                    </w:rPr>
                  </w:pPr>
                  <w:r>
                    <w:rPr>
                      <w:rFonts w:hint="eastAsia" w:ascii="宋体" w:hAnsi="宋体" w:cs="宋体"/>
                      <w:color w:val="auto"/>
                      <w:kern w:val="0"/>
                      <w:szCs w:val="21"/>
                    </w:rPr>
                    <w:t>改性剂（碳酸钙粉）</w:t>
                  </w:r>
                </w:p>
              </w:tc>
              <w:tc>
                <w:tcPr>
                  <w:tcW w:w="714" w:type="pct"/>
                  <w:noWrap w:val="0"/>
                  <w:vAlign w:val="center"/>
                </w:tcPr>
                <w:p w14:paraId="3BC3CB01">
                  <w:pPr>
                    <w:keepNext w:val="0"/>
                    <w:keepLines w:val="0"/>
                    <w:widowControl/>
                    <w:suppressLineNumbers w:val="0"/>
                    <w:jc w:val="center"/>
                    <w:textAlignment w:val="center"/>
                    <w:rPr>
                      <w:rFonts w:hint="default"/>
                      <w:color w:val="auto"/>
                      <w:lang w:val="en-US"/>
                    </w:rPr>
                  </w:pPr>
                  <w:r>
                    <w:rPr>
                      <w:rFonts w:hint="eastAsia" w:cs="Times New Roman"/>
                      <w:i w:val="0"/>
                      <w:iCs w:val="0"/>
                      <w:color w:val="auto"/>
                      <w:kern w:val="0"/>
                      <w:sz w:val="21"/>
                      <w:szCs w:val="21"/>
                      <w:u w:val="none"/>
                      <w:lang w:val="en-US" w:eastAsia="zh-CN" w:bidi="ar"/>
                    </w:rPr>
                    <w:t>89.9</w:t>
                  </w:r>
                </w:p>
              </w:tc>
              <w:tc>
                <w:tcPr>
                  <w:tcW w:w="599" w:type="pct"/>
                  <w:noWrap w:val="0"/>
                  <w:vAlign w:val="center"/>
                </w:tcPr>
                <w:p w14:paraId="371E96CC">
                  <w:pPr>
                    <w:pStyle w:val="30"/>
                    <w:spacing w:line="290" w:lineRule="exact"/>
                    <w:rPr>
                      <w:rFonts w:hint="eastAsia"/>
                      <w:color w:val="auto"/>
                    </w:rPr>
                  </w:pPr>
                  <w:r>
                    <w:rPr>
                      <w:rFonts w:hint="eastAsia"/>
                      <w:color w:val="auto"/>
                      <w:lang w:val="en-US" w:eastAsia="zh-CN"/>
                    </w:rPr>
                    <w:t>7</w:t>
                  </w:r>
                </w:p>
              </w:tc>
              <w:tc>
                <w:tcPr>
                  <w:tcW w:w="403" w:type="pct"/>
                  <w:noWrap w:val="0"/>
                  <w:vAlign w:val="center"/>
                </w:tcPr>
                <w:p w14:paraId="272DD0F6">
                  <w:pPr>
                    <w:pStyle w:val="30"/>
                    <w:spacing w:line="290" w:lineRule="exact"/>
                    <w:rPr>
                      <w:rFonts w:hint="eastAsia"/>
                      <w:color w:val="auto"/>
                    </w:rPr>
                  </w:pPr>
                  <w:r>
                    <w:rPr>
                      <w:rFonts w:hint="eastAsia"/>
                      <w:color w:val="auto"/>
                    </w:rPr>
                    <w:t>固体</w:t>
                  </w:r>
                </w:p>
              </w:tc>
              <w:tc>
                <w:tcPr>
                  <w:tcW w:w="702" w:type="pct"/>
                  <w:noWrap w:val="0"/>
                  <w:vAlign w:val="center"/>
                </w:tcPr>
                <w:p w14:paraId="331048A2">
                  <w:pPr>
                    <w:pStyle w:val="30"/>
                    <w:spacing w:line="290" w:lineRule="exact"/>
                    <w:rPr>
                      <w:rFonts w:hint="eastAsia"/>
                      <w:color w:val="auto"/>
                    </w:rPr>
                  </w:pPr>
                  <w:r>
                    <w:rPr>
                      <w:rFonts w:hint="eastAsia"/>
                      <w:color w:val="auto"/>
                    </w:rPr>
                    <w:t>袋装</w:t>
                  </w:r>
                </w:p>
              </w:tc>
              <w:tc>
                <w:tcPr>
                  <w:tcW w:w="673" w:type="pct"/>
                  <w:noWrap w:val="0"/>
                  <w:vAlign w:val="center"/>
                </w:tcPr>
                <w:p w14:paraId="4E0C0356">
                  <w:pPr>
                    <w:pStyle w:val="30"/>
                    <w:spacing w:line="290" w:lineRule="exact"/>
                    <w:rPr>
                      <w:rFonts w:hint="eastAsia"/>
                      <w:color w:val="auto"/>
                    </w:rPr>
                  </w:pPr>
                  <w:r>
                    <w:rPr>
                      <w:rFonts w:hint="eastAsia"/>
                      <w:color w:val="auto"/>
                    </w:rPr>
                    <w:t>原料区</w:t>
                  </w:r>
                </w:p>
              </w:tc>
              <w:tc>
                <w:tcPr>
                  <w:tcW w:w="456" w:type="pct"/>
                  <w:noWrap w:val="0"/>
                  <w:vAlign w:val="center"/>
                </w:tcPr>
                <w:p w14:paraId="56116650">
                  <w:pPr>
                    <w:pStyle w:val="30"/>
                    <w:spacing w:line="290" w:lineRule="exact"/>
                    <w:rPr>
                      <w:rFonts w:hint="eastAsia"/>
                      <w:color w:val="auto"/>
                    </w:rPr>
                  </w:pPr>
                  <w:r>
                    <w:rPr>
                      <w:rFonts w:hint="eastAsia"/>
                      <w:color w:val="auto"/>
                    </w:rPr>
                    <w:t>外购</w:t>
                  </w:r>
                </w:p>
              </w:tc>
            </w:tr>
            <w:tr w14:paraId="0C2122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1" w:type="pct"/>
                  <w:noWrap w:val="0"/>
                  <w:vAlign w:val="center"/>
                </w:tcPr>
                <w:p w14:paraId="7BB5A6DA">
                  <w:pPr>
                    <w:pStyle w:val="30"/>
                    <w:spacing w:line="290" w:lineRule="exact"/>
                    <w:rPr>
                      <w:rFonts w:hint="eastAsia"/>
                      <w:color w:val="auto"/>
                    </w:rPr>
                  </w:pPr>
                  <w:r>
                    <w:rPr>
                      <w:rFonts w:hint="eastAsia"/>
                      <w:color w:val="auto"/>
                    </w:rPr>
                    <w:t>4</w:t>
                  </w:r>
                </w:p>
              </w:tc>
              <w:tc>
                <w:tcPr>
                  <w:tcW w:w="1188" w:type="pct"/>
                  <w:noWrap w:val="0"/>
                  <w:vAlign w:val="center"/>
                </w:tcPr>
                <w:p w14:paraId="5A9F42C0">
                  <w:pPr>
                    <w:pStyle w:val="30"/>
                    <w:spacing w:line="290" w:lineRule="exact"/>
                    <w:rPr>
                      <w:rFonts w:hint="eastAsia" w:ascii="宋体" w:hAnsi="宋体" w:cs="宋体"/>
                      <w:color w:val="auto"/>
                      <w:kern w:val="0"/>
                      <w:szCs w:val="21"/>
                    </w:rPr>
                  </w:pPr>
                  <w:r>
                    <w:rPr>
                      <w:rFonts w:hint="eastAsia" w:ascii="宋体" w:hAnsi="宋体" w:cs="宋体"/>
                      <w:color w:val="auto"/>
                      <w:kern w:val="0"/>
                      <w:szCs w:val="21"/>
                    </w:rPr>
                    <w:t>五金配件</w:t>
                  </w:r>
                </w:p>
              </w:tc>
              <w:tc>
                <w:tcPr>
                  <w:tcW w:w="714" w:type="pct"/>
                  <w:noWrap w:val="0"/>
                  <w:vAlign w:val="center"/>
                </w:tcPr>
                <w:p w14:paraId="6B4D9E69">
                  <w:pPr>
                    <w:keepNext w:val="0"/>
                    <w:keepLines w:val="0"/>
                    <w:widowControl/>
                    <w:suppressLineNumbers w:val="0"/>
                    <w:jc w:val="center"/>
                    <w:textAlignment w:val="center"/>
                    <w:rPr>
                      <w:rFonts w:hint="default"/>
                      <w:color w:val="auto"/>
                      <w:lang w:val="en-US"/>
                    </w:rPr>
                  </w:pPr>
                  <w:r>
                    <w:rPr>
                      <w:rFonts w:hint="eastAsia" w:cs="Times New Roman"/>
                      <w:i w:val="0"/>
                      <w:iCs w:val="0"/>
                      <w:color w:val="auto"/>
                      <w:kern w:val="0"/>
                      <w:sz w:val="21"/>
                      <w:szCs w:val="21"/>
                      <w:u w:val="none"/>
                      <w:lang w:val="en-US" w:eastAsia="zh-CN" w:bidi="ar"/>
                    </w:rPr>
                    <w:t>355</w:t>
                  </w:r>
                </w:p>
              </w:tc>
              <w:tc>
                <w:tcPr>
                  <w:tcW w:w="599" w:type="pct"/>
                  <w:noWrap w:val="0"/>
                  <w:vAlign w:val="center"/>
                </w:tcPr>
                <w:p w14:paraId="3F5FA574">
                  <w:pPr>
                    <w:pStyle w:val="30"/>
                    <w:spacing w:line="290" w:lineRule="exact"/>
                    <w:rPr>
                      <w:color w:val="auto"/>
                    </w:rPr>
                  </w:pPr>
                  <w:r>
                    <w:rPr>
                      <w:rFonts w:hint="eastAsia"/>
                      <w:color w:val="auto"/>
                      <w:lang w:val="en-US" w:eastAsia="zh-CN"/>
                    </w:rPr>
                    <w:t>25</w:t>
                  </w:r>
                </w:p>
              </w:tc>
              <w:tc>
                <w:tcPr>
                  <w:tcW w:w="403" w:type="pct"/>
                  <w:noWrap w:val="0"/>
                  <w:vAlign w:val="center"/>
                </w:tcPr>
                <w:p w14:paraId="5A39B081">
                  <w:pPr>
                    <w:pStyle w:val="30"/>
                    <w:spacing w:line="290" w:lineRule="exact"/>
                    <w:rPr>
                      <w:rFonts w:hint="eastAsia"/>
                      <w:color w:val="auto"/>
                    </w:rPr>
                  </w:pPr>
                  <w:r>
                    <w:rPr>
                      <w:rFonts w:hint="eastAsia"/>
                      <w:color w:val="auto"/>
                    </w:rPr>
                    <w:t>固体</w:t>
                  </w:r>
                </w:p>
              </w:tc>
              <w:tc>
                <w:tcPr>
                  <w:tcW w:w="702" w:type="pct"/>
                  <w:noWrap w:val="0"/>
                  <w:vAlign w:val="center"/>
                </w:tcPr>
                <w:p w14:paraId="6886004F">
                  <w:pPr>
                    <w:pStyle w:val="30"/>
                    <w:spacing w:line="290" w:lineRule="exact"/>
                    <w:rPr>
                      <w:rFonts w:hint="eastAsia"/>
                      <w:color w:val="auto"/>
                    </w:rPr>
                  </w:pPr>
                  <w:r>
                    <w:rPr>
                      <w:rFonts w:hint="eastAsia"/>
                      <w:color w:val="auto"/>
                    </w:rPr>
                    <w:t>袋装</w:t>
                  </w:r>
                </w:p>
              </w:tc>
              <w:tc>
                <w:tcPr>
                  <w:tcW w:w="673" w:type="pct"/>
                  <w:noWrap w:val="0"/>
                  <w:vAlign w:val="center"/>
                </w:tcPr>
                <w:p w14:paraId="59944EF8">
                  <w:pPr>
                    <w:pStyle w:val="30"/>
                    <w:spacing w:line="290" w:lineRule="exact"/>
                    <w:rPr>
                      <w:rFonts w:hint="eastAsia"/>
                      <w:color w:val="auto"/>
                    </w:rPr>
                  </w:pPr>
                  <w:r>
                    <w:rPr>
                      <w:rFonts w:hint="eastAsia"/>
                      <w:color w:val="auto"/>
                    </w:rPr>
                    <w:t>配件区</w:t>
                  </w:r>
                </w:p>
              </w:tc>
              <w:tc>
                <w:tcPr>
                  <w:tcW w:w="456" w:type="pct"/>
                  <w:noWrap w:val="0"/>
                  <w:vAlign w:val="center"/>
                </w:tcPr>
                <w:p w14:paraId="0D4C4BFC">
                  <w:pPr>
                    <w:pStyle w:val="30"/>
                    <w:spacing w:line="290" w:lineRule="exact"/>
                    <w:rPr>
                      <w:rFonts w:hint="eastAsia"/>
                      <w:color w:val="auto"/>
                    </w:rPr>
                  </w:pPr>
                  <w:r>
                    <w:rPr>
                      <w:rFonts w:hint="eastAsia"/>
                      <w:color w:val="auto"/>
                    </w:rPr>
                    <w:t>外购</w:t>
                  </w:r>
                </w:p>
              </w:tc>
            </w:tr>
            <w:tr w14:paraId="497DE6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61" w:type="pct"/>
                  <w:noWrap w:val="0"/>
                  <w:vAlign w:val="center"/>
                </w:tcPr>
                <w:p w14:paraId="49AEEE84">
                  <w:pPr>
                    <w:pStyle w:val="30"/>
                    <w:spacing w:line="290" w:lineRule="exact"/>
                    <w:rPr>
                      <w:rFonts w:hint="default"/>
                      <w:color w:val="auto"/>
                      <w:lang w:val="en-US" w:eastAsia="zh-CN"/>
                    </w:rPr>
                  </w:pPr>
                  <w:r>
                    <w:rPr>
                      <w:rFonts w:hint="eastAsia"/>
                      <w:color w:val="auto"/>
                      <w:lang w:val="en-US" w:eastAsia="zh-CN"/>
                    </w:rPr>
                    <w:t>5</w:t>
                  </w:r>
                </w:p>
              </w:tc>
              <w:tc>
                <w:tcPr>
                  <w:tcW w:w="1188" w:type="pct"/>
                  <w:noWrap w:val="0"/>
                  <w:vAlign w:val="center"/>
                </w:tcPr>
                <w:p w14:paraId="08EDEA60">
                  <w:pPr>
                    <w:pStyle w:val="30"/>
                    <w:spacing w:line="290" w:lineRule="exact"/>
                    <w:rPr>
                      <w:rFonts w:hint="eastAsia" w:ascii="宋体" w:hAnsi="宋体" w:cs="宋体"/>
                      <w:color w:val="auto"/>
                      <w:kern w:val="0"/>
                      <w:szCs w:val="21"/>
                      <w:lang w:eastAsia="zh-CN"/>
                    </w:rPr>
                  </w:pPr>
                  <w:r>
                    <w:rPr>
                      <w:rFonts w:hint="eastAsia" w:ascii="宋体" w:hAnsi="宋体" w:cs="宋体"/>
                      <w:color w:val="auto"/>
                      <w:kern w:val="0"/>
                      <w:szCs w:val="21"/>
                      <w:lang w:eastAsia="zh-CN"/>
                    </w:rPr>
                    <w:t>润滑油、液压油</w:t>
                  </w:r>
                </w:p>
              </w:tc>
              <w:tc>
                <w:tcPr>
                  <w:tcW w:w="714" w:type="pct"/>
                  <w:noWrap w:val="0"/>
                  <w:vAlign w:val="center"/>
                </w:tcPr>
                <w:p w14:paraId="3D2E5A6A">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0.3</w:t>
                  </w:r>
                </w:p>
              </w:tc>
              <w:tc>
                <w:tcPr>
                  <w:tcW w:w="599" w:type="pct"/>
                  <w:noWrap w:val="0"/>
                  <w:vAlign w:val="center"/>
                </w:tcPr>
                <w:p w14:paraId="338B4E9C">
                  <w:pPr>
                    <w:pStyle w:val="30"/>
                    <w:spacing w:line="290" w:lineRule="exact"/>
                    <w:rPr>
                      <w:rFonts w:hint="default"/>
                      <w:color w:val="auto"/>
                      <w:lang w:val="en-US" w:eastAsia="zh-CN"/>
                    </w:rPr>
                  </w:pPr>
                  <w:r>
                    <w:rPr>
                      <w:rFonts w:hint="eastAsia"/>
                      <w:color w:val="auto"/>
                      <w:lang w:val="en-US" w:eastAsia="zh-CN"/>
                    </w:rPr>
                    <w:t>0.3</w:t>
                  </w:r>
                </w:p>
              </w:tc>
              <w:tc>
                <w:tcPr>
                  <w:tcW w:w="403" w:type="pct"/>
                  <w:noWrap w:val="0"/>
                  <w:vAlign w:val="center"/>
                </w:tcPr>
                <w:p w14:paraId="0E5E4BA6">
                  <w:pPr>
                    <w:pStyle w:val="30"/>
                    <w:spacing w:line="290" w:lineRule="exact"/>
                    <w:rPr>
                      <w:rFonts w:hint="eastAsia" w:eastAsia="宋体"/>
                      <w:color w:val="auto"/>
                      <w:lang w:eastAsia="zh-CN"/>
                    </w:rPr>
                  </w:pPr>
                  <w:r>
                    <w:rPr>
                      <w:rFonts w:hint="eastAsia"/>
                      <w:color w:val="auto"/>
                      <w:lang w:eastAsia="zh-CN"/>
                    </w:rPr>
                    <w:t>液态</w:t>
                  </w:r>
                </w:p>
              </w:tc>
              <w:tc>
                <w:tcPr>
                  <w:tcW w:w="702" w:type="pct"/>
                  <w:noWrap w:val="0"/>
                  <w:vAlign w:val="center"/>
                </w:tcPr>
                <w:p w14:paraId="60040CEB">
                  <w:pPr>
                    <w:pStyle w:val="30"/>
                    <w:spacing w:line="290" w:lineRule="exact"/>
                    <w:rPr>
                      <w:rFonts w:hint="eastAsia" w:eastAsia="宋体"/>
                      <w:color w:val="auto"/>
                      <w:lang w:eastAsia="zh-CN"/>
                    </w:rPr>
                  </w:pPr>
                  <w:r>
                    <w:rPr>
                      <w:rFonts w:hint="eastAsia"/>
                      <w:color w:val="auto"/>
                      <w:lang w:eastAsia="zh-CN"/>
                    </w:rPr>
                    <w:t>桶装</w:t>
                  </w:r>
                </w:p>
              </w:tc>
              <w:tc>
                <w:tcPr>
                  <w:tcW w:w="1102" w:type="dxa"/>
                  <w:noWrap w:val="0"/>
                  <w:vAlign w:val="center"/>
                </w:tcPr>
                <w:p w14:paraId="667FB4A1">
                  <w:pPr>
                    <w:pStyle w:val="30"/>
                    <w:spacing w:line="290" w:lineRule="exact"/>
                    <w:rPr>
                      <w:rFonts w:hint="eastAsia"/>
                      <w:color w:val="auto"/>
                    </w:rPr>
                  </w:pPr>
                  <w:r>
                    <w:rPr>
                      <w:rFonts w:hint="eastAsia"/>
                      <w:color w:val="auto"/>
                    </w:rPr>
                    <w:t>配件区</w:t>
                  </w:r>
                </w:p>
              </w:tc>
              <w:tc>
                <w:tcPr>
                  <w:tcW w:w="747" w:type="dxa"/>
                  <w:noWrap w:val="0"/>
                  <w:vAlign w:val="center"/>
                </w:tcPr>
                <w:p w14:paraId="518AA41C">
                  <w:pPr>
                    <w:pStyle w:val="30"/>
                    <w:spacing w:line="290" w:lineRule="exact"/>
                    <w:rPr>
                      <w:rFonts w:hint="eastAsia"/>
                      <w:color w:val="auto"/>
                      <w:lang w:eastAsia="zh-CN"/>
                    </w:rPr>
                  </w:pPr>
                  <w:r>
                    <w:rPr>
                      <w:rFonts w:hint="eastAsia"/>
                      <w:color w:val="auto"/>
                    </w:rPr>
                    <w:t>外购</w:t>
                  </w:r>
                </w:p>
              </w:tc>
            </w:tr>
            <w:bookmarkEnd w:id="14"/>
            <w:bookmarkEnd w:id="15"/>
          </w:tbl>
          <w:p w14:paraId="464B634F">
            <w:pPr>
              <w:pStyle w:val="55"/>
              <w:spacing w:line="348" w:lineRule="auto"/>
              <w:rPr>
                <w:rFonts w:hint="eastAsia"/>
                <w:color w:val="auto"/>
                <w:lang w:val="en-US" w:eastAsia="zh-CN"/>
              </w:rPr>
            </w:pPr>
            <w:r>
              <w:rPr>
                <w:rFonts w:hint="eastAsia"/>
                <w:color w:val="auto"/>
                <w:lang w:eastAsia="zh-CN"/>
              </w:rPr>
              <w:t>备注：利用边角料、不合格品破碎后回用于生产，利用量约为</w:t>
            </w:r>
            <w:r>
              <w:rPr>
                <w:rFonts w:hint="eastAsia"/>
                <w:color w:val="auto"/>
                <w:lang w:val="en-US" w:eastAsia="zh-CN"/>
              </w:rPr>
              <w:t>210</w:t>
            </w:r>
            <w:r>
              <w:rPr>
                <w:rFonts w:hint="eastAsia"/>
                <w:color w:val="auto"/>
              </w:rPr>
              <w:t>t</w:t>
            </w:r>
            <w:r>
              <w:rPr>
                <w:color w:val="auto"/>
              </w:rPr>
              <w:t>/a</w:t>
            </w:r>
            <w:r>
              <w:rPr>
                <w:rFonts w:hint="eastAsia"/>
                <w:color w:val="auto"/>
                <w:lang w:eastAsia="zh-CN"/>
              </w:rPr>
              <w:t>，本项目只利用该项目产生的边角料及不合格品，严禁使用外来再生料</w:t>
            </w:r>
            <w:r>
              <w:rPr>
                <w:rFonts w:hint="eastAsia"/>
                <w:color w:val="auto"/>
                <w:lang w:val="en-US" w:eastAsia="zh-CN"/>
              </w:rPr>
              <w:t>。</w:t>
            </w:r>
          </w:p>
          <w:p w14:paraId="1FA20856">
            <w:pPr>
              <w:pStyle w:val="55"/>
              <w:spacing w:line="348" w:lineRule="auto"/>
              <w:rPr>
                <w:color w:val="auto"/>
                <w:sz w:val="24"/>
                <w:szCs w:val="24"/>
              </w:rPr>
            </w:pPr>
            <w:r>
              <w:rPr>
                <w:rFonts w:hint="eastAsia"/>
                <w:color w:val="auto"/>
              </w:rPr>
              <w:t>（1）</w:t>
            </w:r>
            <w:r>
              <w:rPr>
                <w:rFonts w:hint="eastAsia"/>
                <w:color w:val="auto"/>
                <w:sz w:val="24"/>
                <w:szCs w:val="24"/>
              </w:rPr>
              <w:t>高密度聚乙烯（H</w:t>
            </w:r>
            <w:r>
              <w:rPr>
                <w:color w:val="auto"/>
                <w:sz w:val="24"/>
                <w:szCs w:val="24"/>
              </w:rPr>
              <w:t>DPE</w:t>
            </w:r>
            <w:r>
              <w:rPr>
                <w:rFonts w:hint="eastAsia"/>
                <w:color w:val="auto"/>
                <w:sz w:val="24"/>
                <w:szCs w:val="24"/>
              </w:rPr>
              <w:t>）：为白色粉末或颗粒状产品。无毒，无味，结晶度为</w:t>
            </w:r>
            <w:r>
              <w:rPr>
                <w:rFonts w:hint="eastAsia"/>
                <w:color w:val="auto"/>
                <w:sz w:val="24"/>
                <w:szCs w:val="24"/>
                <w:lang w:eastAsia="zh-CN"/>
              </w:rPr>
              <w:t>80%～90%</w:t>
            </w:r>
            <w:r>
              <w:rPr>
                <w:rFonts w:hint="eastAsia"/>
                <w:color w:val="auto"/>
                <w:sz w:val="24"/>
                <w:szCs w:val="24"/>
              </w:rPr>
              <w:t>，软化点为125</w:t>
            </w:r>
            <w:r>
              <w:rPr>
                <w:rFonts w:hint="eastAsia"/>
                <w:color w:val="auto"/>
                <w:sz w:val="24"/>
                <w:szCs w:val="24"/>
                <w:lang w:eastAsia="zh-CN"/>
              </w:rPr>
              <w:t>～</w:t>
            </w:r>
            <w:r>
              <w:rPr>
                <w:rFonts w:hint="eastAsia"/>
                <w:color w:val="auto"/>
                <w:sz w:val="24"/>
                <w:szCs w:val="24"/>
              </w:rPr>
              <w:t>135℃，使用温度可达100℃；硬度、拉伸强度和蠕变性优于低密度聚乙烯；耐磨性、电绝缘性、韧性及耐寒性较好；化学稳定性好，在室温条件下，不溶于任何有机溶剂，耐酸、碱和各种盐类的腐蚀。</w:t>
            </w:r>
          </w:p>
          <w:p w14:paraId="37954293">
            <w:pPr>
              <w:pStyle w:val="55"/>
              <w:spacing w:line="348" w:lineRule="auto"/>
              <w:rPr>
                <w:rFonts w:hint="eastAsia"/>
                <w:color w:val="auto"/>
                <w:sz w:val="24"/>
                <w:szCs w:val="24"/>
              </w:rPr>
            </w:pPr>
            <w:r>
              <w:rPr>
                <w:rFonts w:hint="eastAsia"/>
                <w:color w:val="auto"/>
                <w:sz w:val="24"/>
                <w:szCs w:val="24"/>
              </w:rPr>
              <w:t>（2）色母：由树脂和大量颜料</w:t>
            </w:r>
            <w:r>
              <w:rPr>
                <w:rFonts w:hint="eastAsia"/>
                <w:color w:val="auto"/>
                <w:sz w:val="24"/>
                <w:szCs w:val="24"/>
                <w:lang w:eastAsia="zh-CN"/>
              </w:rPr>
              <w:t>（</w:t>
            </w:r>
            <w:r>
              <w:rPr>
                <w:rFonts w:hint="eastAsia"/>
                <w:color w:val="auto"/>
                <w:sz w:val="24"/>
                <w:szCs w:val="24"/>
              </w:rPr>
              <w:t>达50%</w:t>
            </w:r>
            <w:r>
              <w:rPr>
                <w:rFonts w:hint="eastAsia"/>
                <w:color w:val="auto"/>
                <w:sz w:val="24"/>
                <w:szCs w:val="24"/>
                <w:lang w:eastAsia="zh-CN"/>
              </w:rPr>
              <w:t>）</w:t>
            </w:r>
            <w:r>
              <w:rPr>
                <w:rFonts w:hint="eastAsia"/>
                <w:color w:val="auto"/>
                <w:sz w:val="24"/>
                <w:szCs w:val="24"/>
              </w:rPr>
              <w:t>或染料配制成高浓度颜色的混合物。色母又名色种，是一种把超常量的颜料或染料均匀的</w:t>
            </w:r>
            <w:r>
              <w:rPr>
                <w:rFonts w:hint="eastAsia"/>
                <w:color w:val="auto"/>
                <w:sz w:val="24"/>
                <w:szCs w:val="24"/>
                <w:lang w:eastAsia="zh-CN"/>
              </w:rPr>
              <w:t>粘附</w:t>
            </w:r>
            <w:r>
              <w:rPr>
                <w:rFonts w:hint="eastAsia"/>
                <w:color w:val="auto"/>
                <w:sz w:val="24"/>
                <w:szCs w:val="24"/>
              </w:rPr>
              <w:t>于树脂之中而制得的聚集体。加工时用少量色母和未着色树脂掺混，就可达到设计颜料浓度的着色树脂或制品。</w:t>
            </w:r>
          </w:p>
          <w:p w14:paraId="264EFB05">
            <w:pPr>
              <w:pStyle w:val="55"/>
              <w:spacing w:line="348" w:lineRule="auto"/>
              <w:rPr>
                <w:rFonts w:hint="eastAsia"/>
                <w:color w:val="auto"/>
                <w:sz w:val="24"/>
                <w:szCs w:val="24"/>
              </w:rPr>
            </w:pPr>
            <w:r>
              <w:rPr>
                <w:rFonts w:hint="eastAsia"/>
                <w:color w:val="auto"/>
                <w:sz w:val="24"/>
                <w:szCs w:val="24"/>
              </w:rPr>
              <w:t>（3）</w:t>
            </w:r>
            <w:r>
              <w:rPr>
                <w:rFonts w:hint="eastAsia" w:ascii="宋体" w:hAnsi="宋体" w:cs="宋体"/>
                <w:color w:val="auto"/>
                <w:kern w:val="0"/>
                <w:sz w:val="24"/>
                <w:szCs w:val="24"/>
              </w:rPr>
              <w:t>碳酸钙粉：</w:t>
            </w:r>
            <w:r>
              <w:rPr>
                <w:rFonts w:hint="eastAsia"/>
                <w:color w:val="auto"/>
                <w:sz w:val="24"/>
                <w:szCs w:val="24"/>
              </w:rPr>
              <w:t>白色晶体或粉末，无味；露置空气中无反应，不溶于乙醇；遇稀醋酸、稀盐酸、稀硝酸发生泡沸，并溶解。在101.325千帕下加热到900℃时分解为氧化钙和二氧化碳。</w:t>
            </w:r>
          </w:p>
          <w:p w14:paraId="0715D9D9">
            <w:pPr>
              <w:pStyle w:val="54"/>
              <w:rPr>
                <w:rFonts w:cs="Times New Roman"/>
                <w:color w:val="auto"/>
              </w:rPr>
            </w:pPr>
            <w:r>
              <w:rPr>
                <w:rFonts w:cs="Times New Roman"/>
                <w:color w:val="auto"/>
              </w:rPr>
              <w:t>主要生产设备</w:t>
            </w:r>
          </w:p>
          <w:p w14:paraId="7E788ED3">
            <w:pPr>
              <w:pStyle w:val="55"/>
              <w:rPr>
                <w:color w:val="auto"/>
                <w:sz w:val="24"/>
                <w:szCs w:val="24"/>
              </w:rPr>
            </w:pPr>
            <w:r>
              <w:rPr>
                <w:color w:val="auto"/>
                <w:sz w:val="24"/>
                <w:szCs w:val="24"/>
              </w:rPr>
              <w:t>主要生产设备见</w:t>
            </w:r>
            <w:r>
              <w:rPr>
                <w:color w:val="auto"/>
                <w:sz w:val="24"/>
                <w:szCs w:val="24"/>
              </w:rPr>
              <w:fldChar w:fldCharType="begin"/>
            </w:r>
            <w:r>
              <w:rPr>
                <w:color w:val="auto"/>
                <w:sz w:val="24"/>
                <w:szCs w:val="24"/>
              </w:rPr>
              <w:instrText xml:space="preserve"> REF _Ref69716425 \r \h  \* MERGEFORMAT </w:instrText>
            </w:r>
            <w:r>
              <w:rPr>
                <w:color w:val="auto"/>
                <w:sz w:val="24"/>
                <w:szCs w:val="24"/>
              </w:rPr>
              <w:fldChar w:fldCharType="separate"/>
            </w:r>
            <w:r>
              <w:rPr>
                <w:rFonts w:hint="eastAsia"/>
                <w:color w:val="auto"/>
                <w:sz w:val="24"/>
                <w:szCs w:val="24"/>
              </w:rPr>
              <w:t>表2.</w:t>
            </w:r>
            <w:r>
              <w:rPr>
                <w:rFonts w:hint="eastAsia"/>
                <w:color w:val="auto"/>
                <w:sz w:val="24"/>
                <w:szCs w:val="24"/>
                <w:lang w:val="en-US" w:eastAsia="zh-CN"/>
              </w:rPr>
              <w:t>6</w:t>
            </w:r>
            <w:r>
              <w:rPr>
                <w:rFonts w:hint="eastAsia"/>
                <w:color w:val="auto"/>
                <w:sz w:val="24"/>
                <w:szCs w:val="24"/>
              </w:rPr>
              <w:t>-1</w:t>
            </w:r>
            <w:r>
              <w:rPr>
                <w:color w:val="auto"/>
                <w:sz w:val="24"/>
                <w:szCs w:val="24"/>
              </w:rPr>
              <w:fldChar w:fldCharType="end"/>
            </w:r>
            <w:r>
              <w:rPr>
                <w:color w:val="auto"/>
                <w:sz w:val="24"/>
                <w:szCs w:val="24"/>
              </w:rPr>
              <w:t>。</w:t>
            </w:r>
          </w:p>
          <w:p w14:paraId="77828D7F">
            <w:pPr>
              <w:pStyle w:val="59"/>
              <w:keepNext w:val="0"/>
              <w:keepLines w:val="0"/>
              <w:pageBreakBefore w:val="0"/>
              <w:widowControl w:val="0"/>
              <w:kinsoku/>
              <w:wordWrap/>
              <w:overflowPunct/>
              <w:topLinePunct w:val="0"/>
              <w:autoSpaceDE/>
              <w:autoSpaceDN/>
              <w:bidi w:val="0"/>
              <w:adjustRightInd/>
              <w:snapToGrid/>
              <w:spacing w:before="157" w:beforeLines="50" w:line="240" w:lineRule="auto"/>
              <w:ind w:firstLine="0"/>
              <w:textAlignment w:val="auto"/>
              <w:rPr>
                <w:rFonts w:ascii="Times New Roman" w:hAnsi="Times New Roman" w:cs="Times New Roman"/>
                <w:color w:val="auto"/>
                <w:sz w:val="24"/>
                <w:szCs w:val="24"/>
              </w:rPr>
            </w:pPr>
            <w:bookmarkStart w:id="16" w:name="_Ref69716425"/>
            <w:bookmarkStart w:id="17" w:name="_Hlk89850122"/>
            <w:r>
              <w:rPr>
                <w:rFonts w:ascii="Times New Roman" w:hAnsi="Times New Roman" w:cs="Times New Roman"/>
                <w:color w:val="auto"/>
                <w:sz w:val="24"/>
                <w:szCs w:val="24"/>
              </w:rPr>
              <w:t>主要生产设备一览表</w:t>
            </w:r>
            <w:bookmarkEnd w:id="16"/>
          </w:p>
          <w:tbl>
            <w:tblPr>
              <w:tblStyle w:val="23"/>
              <w:tblW w:w="4997"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52"/>
              <w:gridCol w:w="1956"/>
              <w:gridCol w:w="2194"/>
              <w:gridCol w:w="986"/>
              <w:gridCol w:w="986"/>
              <w:gridCol w:w="1310"/>
            </w:tblGrid>
            <w:tr w14:paraId="0990DC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5BFEEEEF">
                  <w:pPr>
                    <w:pStyle w:val="69"/>
                    <w:rPr>
                      <w:color w:val="auto"/>
                    </w:rPr>
                  </w:pPr>
                  <w:bookmarkStart w:id="18" w:name="_Hlk78213604"/>
                  <w:r>
                    <w:rPr>
                      <w:color w:val="auto"/>
                    </w:rPr>
                    <w:t>序号</w:t>
                  </w:r>
                </w:p>
              </w:tc>
              <w:tc>
                <w:tcPr>
                  <w:tcW w:w="1195" w:type="pct"/>
                  <w:noWrap w:val="0"/>
                  <w:vAlign w:val="center"/>
                </w:tcPr>
                <w:p w14:paraId="1F4D96FD">
                  <w:pPr>
                    <w:pStyle w:val="69"/>
                    <w:rPr>
                      <w:color w:val="auto"/>
                    </w:rPr>
                  </w:pPr>
                  <w:r>
                    <w:rPr>
                      <w:color w:val="auto"/>
                    </w:rPr>
                    <w:t>设备名称</w:t>
                  </w:r>
                </w:p>
              </w:tc>
              <w:tc>
                <w:tcPr>
                  <w:tcW w:w="1340" w:type="pct"/>
                  <w:noWrap w:val="0"/>
                  <w:vAlign w:val="center"/>
                </w:tcPr>
                <w:p w14:paraId="36381D30">
                  <w:pPr>
                    <w:pStyle w:val="69"/>
                    <w:rPr>
                      <w:color w:val="auto"/>
                    </w:rPr>
                  </w:pPr>
                  <w:r>
                    <w:rPr>
                      <w:color w:val="auto"/>
                    </w:rPr>
                    <w:t>型号/功率</w:t>
                  </w:r>
                </w:p>
              </w:tc>
              <w:tc>
                <w:tcPr>
                  <w:tcW w:w="602" w:type="pct"/>
                  <w:noWrap w:val="0"/>
                  <w:vAlign w:val="top"/>
                </w:tcPr>
                <w:p w14:paraId="4CC4E92F">
                  <w:pPr>
                    <w:pStyle w:val="69"/>
                    <w:rPr>
                      <w:color w:val="auto"/>
                    </w:rPr>
                  </w:pPr>
                  <w:r>
                    <w:rPr>
                      <w:rFonts w:hint="eastAsia"/>
                      <w:color w:val="auto"/>
                    </w:rPr>
                    <w:t>单位</w:t>
                  </w:r>
                </w:p>
              </w:tc>
              <w:tc>
                <w:tcPr>
                  <w:tcW w:w="602" w:type="pct"/>
                  <w:noWrap w:val="0"/>
                  <w:vAlign w:val="center"/>
                </w:tcPr>
                <w:p w14:paraId="764356DA">
                  <w:pPr>
                    <w:pStyle w:val="69"/>
                    <w:rPr>
                      <w:color w:val="auto"/>
                    </w:rPr>
                  </w:pPr>
                  <w:r>
                    <w:rPr>
                      <w:color w:val="auto"/>
                    </w:rPr>
                    <w:t>数量</w:t>
                  </w:r>
                </w:p>
              </w:tc>
              <w:tc>
                <w:tcPr>
                  <w:tcW w:w="800" w:type="pct"/>
                  <w:noWrap w:val="0"/>
                  <w:vAlign w:val="center"/>
                </w:tcPr>
                <w:p w14:paraId="78B6800B">
                  <w:pPr>
                    <w:pStyle w:val="69"/>
                    <w:rPr>
                      <w:color w:val="auto"/>
                    </w:rPr>
                  </w:pPr>
                  <w:r>
                    <w:rPr>
                      <w:rFonts w:hint="eastAsia"/>
                      <w:color w:val="auto"/>
                    </w:rPr>
                    <w:t>位置</w:t>
                  </w:r>
                </w:p>
              </w:tc>
            </w:tr>
            <w:tr w14:paraId="7D6AE2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289CE9EE">
                  <w:pPr>
                    <w:pStyle w:val="69"/>
                    <w:rPr>
                      <w:rFonts w:eastAsia="等线"/>
                      <w:color w:val="auto"/>
                    </w:rPr>
                  </w:pPr>
                  <w:r>
                    <w:rPr>
                      <w:rFonts w:eastAsia="等线"/>
                      <w:color w:val="auto"/>
                    </w:rPr>
                    <w:t>1</w:t>
                  </w:r>
                </w:p>
              </w:tc>
              <w:tc>
                <w:tcPr>
                  <w:tcW w:w="1195" w:type="pct"/>
                  <w:noWrap w:val="0"/>
                  <w:vAlign w:val="center"/>
                </w:tcPr>
                <w:p w14:paraId="617A25A5">
                  <w:pPr>
                    <w:pStyle w:val="69"/>
                    <w:rPr>
                      <w:color w:val="auto"/>
                    </w:rPr>
                  </w:pPr>
                  <w:r>
                    <w:rPr>
                      <w:rFonts w:hint="eastAsia"/>
                      <w:color w:val="auto"/>
                    </w:rPr>
                    <w:t>破碎机</w:t>
                  </w:r>
                </w:p>
              </w:tc>
              <w:tc>
                <w:tcPr>
                  <w:tcW w:w="1340" w:type="pct"/>
                  <w:noWrap w:val="0"/>
                  <w:vAlign w:val="center"/>
                </w:tcPr>
                <w:p w14:paraId="399CE970">
                  <w:pPr>
                    <w:pStyle w:val="69"/>
                    <w:rPr>
                      <w:rFonts w:eastAsia="等线"/>
                      <w:color w:val="auto"/>
                    </w:rPr>
                  </w:pPr>
                </w:p>
              </w:tc>
              <w:tc>
                <w:tcPr>
                  <w:tcW w:w="602" w:type="pct"/>
                  <w:noWrap w:val="0"/>
                  <w:vAlign w:val="center"/>
                </w:tcPr>
                <w:p w14:paraId="68D26864">
                  <w:pPr>
                    <w:pStyle w:val="69"/>
                    <w:rPr>
                      <w:rFonts w:eastAsia="等线"/>
                      <w:color w:val="auto"/>
                    </w:rPr>
                  </w:pPr>
                  <w:r>
                    <w:rPr>
                      <w:rFonts w:hint="eastAsia"/>
                      <w:color w:val="auto"/>
                    </w:rPr>
                    <w:t>台</w:t>
                  </w:r>
                </w:p>
              </w:tc>
              <w:tc>
                <w:tcPr>
                  <w:tcW w:w="602" w:type="pct"/>
                  <w:noWrap w:val="0"/>
                  <w:vAlign w:val="center"/>
                </w:tcPr>
                <w:p w14:paraId="2ED964B9">
                  <w:pPr>
                    <w:pStyle w:val="69"/>
                    <w:rPr>
                      <w:rFonts w:hint="eastAsia" w:eastAsia="等线"/>
                      <w:color w:val="auto"/>
                      <w:lang w:eastAsia="zh-CN"/>
                    </w:rPr>
                  </w:pPr>
                  <w:r>
                    <w:rPr>
                      <w:rFonts w:hint="eastAsia" w:eastAsia="等线"/>
                      <w:color w:val="auto"/>
                      <w:lang w:val="en-US" w:eastAsia="zh-CN"/>
                    </w:rPr>
                    <w:t>2</w:t>
                  </w:r>
                </w:p>
              </w:tc>
              <w:tc>
                <w:tcPr>
                  <w:tcW w:w="800" w:type="pct"/>
                  <w:noWrap w:val="0"/>
                  <w:vAlign w:val="center"/>
                </w:tcPr>
                <w:p w14:paraId="2F7C6597">
                  <w:pPr>
                    <w:pStyle w:val="69"/>
                    <w:rPr>
                      <w:color w:val="auto"/>
                    </w:rPr>
                  </w:pPr>
                  <w:r>
                    <w:rPr>
                      <w:rFonts w:hint="eastAsia"/>
                      <w:color w:val="auto"/>
                    </w:rPr>
                    <w:t>1层生产区</w:t>
                  </w:r>
                </w:p>
              </w:tc>
            </w:tr>
            <w:tr w14:paraId="7412DA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7BDD44FF">
                  <w:pPr>
                    <w:pStyle w:val="69"/>
                    <w:rPr>
                      <w:rFonts w:eastAsia="等线"/>
                      <w:color w:val="auto"/>
                    </w:rPr>
                  </w:pPr>
                  <w:r>
                    <w:rPr>
                      <w:rFonts w:hint="eastAsia" w:eastAsia="等线"/>
                      <w:color w:val="auto"/>
                    </w:rPr>
                    <w:t>2</w:t>
                  </w:r>
                </w:p>
              </w:tc>
              <w:tc>
                <w:tcPr>
                  <w:tcW w:w="1195" w:type="pct"/>
                  <w:noWrap w:val="0"/>
                  <w:vAlign w:val="center"/>
                </w:tcPr>
                <w:p w14:paraId="3769D225">
                  <w:pPr>
                    <w:pStyle w:val="69"/>
                    <w:rPr>
                      <w:rFonts w:hint="eastAsia"/>
                      <w:color w:val="auto"/>
                    </w:rPr>
                  </w:pPr>
                  <w:r>
                    <w:rPr>
                      <w:rFonts w:hint="eastAsia"/>
                      <w:color w:val="auto"/>
                    </w:rPr>
                    <w:t>冷水机</w:t>
                  </w:r>
                </w:p>
              </w:tc>
              <w:tc>
                <w:tcPr>
                  <w:tcW w:w="1340" w:type="pct"/>
                  <w:noWrap w:val="0"/>
                  <w:vAlign w:val="center"/>
                </w:tcPr>
                <w:p w14:paraId="0285BA89">
                  <w:pPr>
                    <w:pStyle w:val="69"/>
                    <w:rPr>
                      <w:rFonts w:hint="eastAsia"/>
                      <w:color w:val="auto"/>
                    </w:rPr>
                  </w:pPr>
                  <w:r>
                    <w:rPr>
                      <w:rFonts w:hint="eastAsia"/>
                      <w:color w:val="auto"/>
                    </w:rPr>
                    <w:t>XX-06A</w:t>
                  </w:r>
                </w:p>
              </w:tc>
              <w:tc>
                <w:tcPr>
                  <w:tcW w:w="602" w:type="pct"/>
                  <w:noWrap w:val="0"/>
                  <w:vAlign w:val="center"/>
                </w:tcPr>
                <w:p w14:paraId="7E6346B1">
                  <w:pPr>
                    <w:pStyle w:val="69"/>
                    <w:rPr>
                      <w:rFonts w:hint="eastAsia"/>
                      <w:color w:val="auto"/>
                    </w:rPr>
                  </w:pPr>
                  <w:r>
                    <w:rPr>
                      <w:rFonts w:hint="eastAsia"/>
                      <w:color w:val="auto"/>
                    </w:rPr>
                    <w:t>台</w:t>
                  </w:r>
                </w:p>
              </w:tc>
              <w:tc>
                <w:tcPr>
                  <w:tcW w:w="602" w:type="pct"/>
                  <w:noWrap w:val="0"/>
                  <w:vAlign w:val="center"/>
                </w:tcPr>
                <w:p w14:paraId="14354A7C">
                  <w:pPr>
                    <w:pStyle w:val="69"/>
                    <w:rPr>
                      <w:rFonts w:hint="eastAsia" w:eastAsia="宋体"/>
                      <w:color w:val="auto"/>
                      <w:lang w:eastAsia="zh-CN"/>
                    </w:rPr>
                  </w:pPr>
                  <w:r>
                    <w:rPr>
                      <w:color w:val="auto"/>
                    </w:rPr>
                    <w:t>1</w:t>
                  </w:r>
                  <w:r>
                    <w:rPr>
                      <w:rFonts w:hint="eastAsia"/>
                      <w:color w:val="auto"/>
                      <w:lang w:val="en-US" w:eastAsia="zh-CN"/>
                    </w:rPr>
                    <w:t>6</w:t>
                  </w:r>
                </w:p>
              </w:tc>
              <w:tc>
                <w:tcPr>
                  <w:tcW w:w="800" w:type="pct"/>
                  <w:noWrap w:val="0"/>
                  <w:vAlign w:val="center"/>
                </w:tcPr>
                <w:p w14:paraId="2D21B383">
                  <w:pPr>
                    <w:pStyle w:val="69"/>
                    <w:rPr>
                      <w:rFonts w:hint="eastAsia"/>
                      <w:color w:val="auto"/>
                    </w:rPr>
                  </w:pPr>
                  <w:r>
                    <w:rPr>
                      <w:rFonts w:hint="eastAsia"/>
                      <w:color w:val="auto"/>
                    </w:rPr>
                    <w:t>1层生产区</w:t>
                  </w:r>
                </w:p>
              </w:tc>
            </w:tr>
            <w:tr w14:paraId="3DF257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46D9BBBA">
                  <w:pPr>
                    <w:pStyle w:val="69"/>
                    <w:rPr>
                      <w:rFonts w:eastAsia="等线"/>
                      <w:color w:val="auto"/>
                    </w:rPr>
                  </w:pPr>
                  <w:r>
                    <w:rPr>
                      <w:rFonts w:eastAsia="等线"/>
                      <w:color w:val="auto"/>
                    </w:rPr>
                    <w:t>3</w:t>
                  </w:r>
                </w:p>
              </w:tc>
              <w:tc>
                <w:tcPr>
                  <w:tcW w:w="1195" w:type="pct"/>
                  <w:noWrap w:val="0"/>
                  <w:vAlign w:val="center"/>
                </w:tcPr>
                <w:p w14:paraId="1EBCB725">
                  <w:pPr>
                    <w:pStyle w:val="69"/>
                    <w:rPr>
                      <w:color w:val="auto"/>
                    </w:rPr>
                  </w:pPr>
                  <w:r>
                    <w:rPr>
                      <w:rFonts w:hint="eastAsia"/>
                      <w:color w:val="auto"/>
                    </w:rPr>
                    <w:t>拌料机</w:t>
                  </w:r>
                </w:p>
              </w:tc>
              <w:tc>
                <w:tcPr>
                  <w:tcW w:w="1340" w:type="pct"/>
                  <w:noWrap w:val="0"/>
                  <w:vAlign w:val="center"/>
                </w:tcPr>
                <w:p w14:paraId="04E43C0E">
                  <w:pPr>
                    <w:pStyle w:val="69"/>
                    <w:rPr>
                      <w:rFonts w:eastAsia="等线"/>
                      <w:color w:val="auto"/>
                    </w:rPr>
                  </w:pPr>
                </w:p>
              </w:tc>
              <w:tc>
                <w:tcPr>
                  <w:tcW w:w="602" w:type="pct"/>
                  <w:noWrap w:val="0"/>
                  <w:vAlign w:val="center"/>
                </w:tcPr>
                <w:p w14:paraId="3A14A443">
                  <w:pPr>
                    <w:pStyle w:val="69"/>
                    <w:rPr>
                      <w:rFonts w:eastAsia="等线"/>
                      <w:color w:val="auto"/>
                    </w:rPr>
                  </w:pPr>
                  <w:r>
                    <w:rPr>
                      <w:rFonts w:hint="eastAsia"/>
                      <w:color w:val="auto"/>
                    </w:rPr>
                    <w:t>台</w:t>
                  </w:r>
                </w:p>
              </w:tc>
              <w:tc>
                <w:tcPr>
                  <w:tcW w:w="602" w:type="pct"/>
                  <w:noWrap w:val="0"/>
                  <w:vAlign w:val="center"/>
                </w:tcPr>
                <w:p w14:paraId="286AD308">
                  <w:pPr>
                    <w:pStyle w:val="69"/>
                    <w:rPr>
                      <w:rFonts w:hint="eastAsia" w:eastAsia="宋体"/>
                      <w:color w:val="auto"/>
                      <w:lang w:eastAsia="zh-CN"/>
                    </w:rPr>
                  </w:pPr>
                  <w:r>
                    <w:rPr>
                      <w:color w:val="auto"/>
                    </w:rPr>
                    <w:t>1</w:t>
                  </w:r>
                  <w:r>
                    <w:rPr>
                      <w:rFonts w:hint="eastAsia"/>
                      <w:color w:val="auto"/>
                      <w:lang w:val="en-US" w:eastAsia="zh-CN"/>
                    </w:rPr>
                    <w:t>6</w:t>
                  </w:r>
                </w:p>
              </w:tc>
              <w:tc>
                <w:tcPr>
                  <w:tcW w:w="800" w:type="pct"/>
                  <w:noWrap w:val="0"/>
                  <w:vAlign w:val="center"/>
                </w:tcPr>
                <w:p w14:paraId="1DF7EB4C">
                  <w:pPr>
                    <w:pStyle w:val="69"/>
                    <w:rPr>
                      <w:color w:val="auto"/>
                    </w:rPr>
                  </w:pPr>
                  <w:r>
                    <w:rPr>
                      <w:rFonts w:hint="eastAsia"/>
                      <w:color w:val="auto"/>
                    </w:rPr>
                    <w:t>1层生产区</w:t>
                  </w:r>
                </w:p>
              </w:tc>
            </w:tr>
            <w:tr w14:paraId="5EF2AE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00522F0F">
                  <w:pPr>
                    <w:pStyle w:val="69"/>
                    <w:rPr>
                      <w:rFonts w:eastAsia="等线"/>
                      <w:color w:val="auto"/>
                    </w:rPr>
                  </w:pPr>
                  <w:r>
                    <w:rPr>
                      <w:rFonts w:eastAsia="等线"/>
                      <w:color w:val="auto"/>
                    </w:rPr>
                    <w:t>4</w:t>
                  </w:r>
                </w:p>
              </w:tc>
              <w:tc>
                <w:tcPr>
                  <w:tcW w:w="1195" w:type="pct"/>
                  <w:noWrap w:val="0"/>
                  <w:vAlign w:val="center"/>
                </w:tcPr>
                <w:p w14:paraId="4A6822F6">
                  <w:pPr>
                    <w:pStyle w:val="69"/>
                    <w:rPr>
                      <w:rFonts w:hint="eastAsia"/>
                      <w:color w:val="auto"/>
                    </w:rPr>
                  </w:pPr>
                  <w:r>
                    <w:rPr>
                      <w:rFonts w:hint="eastAsia"/>
                      <w:color w:val="auto"/>
                    </w:rPr>
                    <w:t>挤压机</w:t>
                  </w:r>
                </w:p>
              </w:tc>
              <w:tc>
                <w:tcPr>
                  <w:tcW w:w="1340" w:type="pct"/>
                  <w:noWrap w:val="0"/>
                  <w:vAlign w:val="center"/>
                </w:tcPr>
                <w:p w14:paraId="72CB99A7">
                  <w:pPr>
                    <w:pStyle w:val="69"/>
                    <w:rPr>
                      <w:rFonts w:hint="eastAsia"/>
                      <w:color w:val="auto"/>
                    </w:rPr>
                  </w:pPr>
                  <w:r>
                    <w:rPr>
                      <w:rFonts w:hint="eastAsia"/>
                      <w:color w:val="auto"/>
                    </w:rPr>
                    <w:t>JWS65/33</w:t>
                  </w:r>
                </w:p>
              </w:tc>
              <w:tc>
                <w:tcPr>
                  <w:tcW w:w="602" w:type="pct"/>
                  <w:noWrap w:val="0"/>
                  <w:vAlign w:val="center"/>
                </w:tcPr>
                <w:p w14:paraId="7393AE58">
                  <w:pPr>
                    <w:pStyle w:val="69"/>
                    <w:rPr>
                      <w:rFonts w:hint="eastAsia"/>
                      <w:color w:val="auto"/>
                    </w:rPr>
                  </w:pPr>
                  <w:r>
                    <w:rPr>
                      <w:rFonts w:hint="eastAsia"/>
                      <w:color w:val="auto"/>
                    </w:rPr>
                    <w:t>条</w:t>
                  </w:r>
                </w:p>
              </w:tc>
              <w:tc>
                <w:tcPr>
                  <w:tcW w:w="602" w:type="pct"/>
                  <w:noWrap w:val="0"/>
                  <w:vAlign w:val="center"/>
                </w:tcPr>
                <w:p w14:paraId="51AAFBF4">
                  <w:pPr>
                    <w:pStyle w:val="69"/>
                    <w:rPr>
                      <w:rFonts w:hint="eastAsia" w:eastAsia="宋体"/>
                      <w:color w:val="auto"/>
                      <w:lang w:eastAsia="zh-CN"/>
                    </w:rPr>
                  </w:pPr>
                  <w:r>
                    <w:rPr>
                      <w:color w:val="auto"/>
                    </w:rPr>
                    <w:t>1</w:t>
                  </w:r>
                  <w:r>
                    <w:rPr>
                      <w:rFonts w:hint="eastAsia"/>
                      <w:color w:val="auto"/>
                      <w:lang w:val="en-US" w:eastAsia="zh-CN"/>
                    </w:rPr>
                    <w:t>6</w:t>
                  </w:r>
                </w:p>
              </w:tc>
              <w:tc>
                <w:tcPr>
                  <w:tcW w:w="800" w:type="pct"/>
                  <w:noWrap w:val="0"/>
                  <w:vAlign w:val="center"/>
                </w:tcPr>
                <w:p w14:paraId="5C4A3A72">
                  <w:pPr>
                    <w:pStyle w:val="69"/>
                    <w:rPr>
                      <w:rFonts w:hint="eastAsia"/>
                      <w:color w:val="auto"/>
                    </w:rPr>
                  </w:pPr>
                  <w:r>
                    <w:rPr>
                      <w:rFonts w:hint="eastAsia"/>
                      <w:color w:val="auto"/>
                    </w:rPr>
                    <w:t>1层生产区</w:t>
                  </w:r>
                </w:p>
              </w:tc>
            </w:tr>
            <w:tr w14:paraId="19C871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216653BE">
                  <w:pPr>
                    <w:pStyle w:val="69"/>
                    <w:rPr>
                      <w:rFonts w:eastAsia="等线"/>
                      <w:color w:val="auto"/>
                    </w:rPr>
                  </w:pPr>
                  <w:r>
                    <w:rPr>
                      <w:rFonts w:eastAsia="等线"/>
                      <w:color w:val="auto"/>
                    </w:rPr>
                    <w:t>5</w:t>
                  </w:r>
                </w:p>
              </w:tc>
              <w:tc>
                <w:tcPr>
                  <w:tcW w:w="1195" w:type="pct"/>
                  <w:noWrap w:val="0"/>
                  <w:vAlign w:val="center"/>
                </w:tcPr>
                <w:p w14:paraId="5C2F7D93">
                  <w:pPr>
                    <w:pStyle w:val="69"/>
                    <w:rPr>
                      <w:rFonts w:hint="eastAsia"/>
                      <w:color w:val="auto"/>
                    </w:rPr>
                  </w:pPr>
                  <w:r>
                    <w:rPr>
                      <w:rFonts w:hint="eastAsia"/>
                      <w:color w:val="auto"/>
                    </w:rPr>
                    <w:t>空压机</w:t>
                  </w:r>
                </w:p>
              </w:tc>
              <w:tc>
                <w:tcPr>
                  <w:tcW w:w="1340" w:type="pct"/>
                  <w:noWrap w:val="0"/>
                  <w:vAlign w:val="center"/>
                </w:tcPr>
                <w:p w14:paraId="1B22E5D7">
                  <w:pPr>
                    <w:pStyle w:val="69"/>
                    <w:rPr>
                      <w:rFonts w:hint="eastAsia"/>
                      <w:color w:val="auto"/>
                    </w:rPr>
                  </w:pPr>
                </w:p>
              </w:tc>
              <w:tc>
                <w:tcPr>
                  <w:tcW w:w="602" w:type="pct"/>
                  <w:noWrap w:val="0"/>
                  <w:vAlign w:val="center"/>
                </w:tcPr>
                <w:p w14:paraId="499C0A19">
                  <w:pPr>
                    <w:pStyle w:val="69"/>
                    <w:rPr>
                      <w:rFonts w:hint="eastAsia"/>
                      <w:color w:val="auto"/>
                    </w:rPr>
                  </w:pPr>
                  <w:r>
                    <w:rPr>
                      <w:rFonts w:hint="eastAsia"/>
                      <w:color w:val="auto"/>
                    </w:rPr>
                    <w:t>台</w:t>
                  </w:r>
                </w:p>
              </w:tc>
              <w:tc>
                <w:tcPr>
                  <w:tcW w:w="602" w:type="pct"/>
                  <w:noWrap w:val="0"/>
                  <w:vAlign w:val="center"/>
                </w:tcPr>
                <w:p w14:paraId="02BF1B7C">
                  <w:pPr>
                    <w:pStyle w:val="69"/>
                    <w:rPr>
                      <w:rFonts w:hint="eastAsia" w:eastAsia="宋体"/>
                      <w:color w:val="auto"/>
                      <w:lang w:eastAsia="zh-CN"/>
                    </w:rPr>
                  </w:pPr>
                  <w:r>
                    <w:rPr>
                      <w:rFonts w:hint="eastAsia"/>
                      <w:color w:val="auto"/>
                      <w:lang w:val="en-US" w:eastAsia="zh-CN"/>
                    </w:rPr>
                    <w:t>2</w:t>
                  </w:r>
                </w:p>
              </w:tc>
              <w:tc>
                <w:tcPr>
                  <w:tcW w:w="800" w:type="pct"/>
                  <w:noWrap w:val="0"/>
                  <w:vAlign w:val="center"/>
                </w:tcPr>
                <w:p w14:paraId="620EBF67">
                  <w:pPr>
                    <w:pStyle w:val="69"/>
                    <w:rPr>
                      <w:rFonts w:hint="eastAsia"/>
                      <w:color w:val="auto"/>
                    </w:rPr>
                  </w:pPr>
                  <w:r>
                    <w:rPr>
                      <w:rFonts w:hint="eastAsia"/>
                      <w:color w:val="auto"/>
                    </w:rPr>
                    <w:t>1层生产区</w:t>
                  </w:r>
                </w:p>
              </w:tc>
            </w:tr>
            <w:tr w14:paraId="75F6B4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51B9044E">
                  <w:pPr>
                    <w:pStyle w:val="69"/>
                    <w:rPr>
                      <w:rFonts w:eastAsia="等线"/>
                      <w:color w:val="auto"/>
                    </w:rPr>
                  </w:pPr>
                  <w:r>
                    <w:rPr>
                      <w:rFonts w:eastAsia="等线"/>
                      <w:color w:val="auto"/>
                    </w:rPr>
                    <w:t>6</w:t>
                  </w:r>
                </w:p>
              </w:tc>
              <w:tc>
                <w:tcPr>
                  <w:tcW w:w="1195" w:type="pct"/>
                  <w:noWrap w:val="0"/>
                  <w:vAlign w:val="center"/>
                </w:tcPr>
                <w:p w14:paraId="5ED8C2CA">
                  <w:pPr>
                    <w:pStyle w:val="69"/>
                    <w:rPr>
                      <w:rFonts w:hint="eastAsia"/>
                      <w:color w:val="auto"/>
                    </w:rPr>
                  </w:pPr>
                  <w:r>
                    <w:rPr>
                      <w:rFonts w:hint="eastAsia"/>
                      <w:color w:val="auto"/>
                    </w:rPr>
                    <w:t>CNC机器</w:t>
                  </w:r>
                </w:p>
              </w:tc>
              <w:tc>
                <w:tcPr>
                  <w:tcW w:w="1340" w:type="pct"/>
                  <w:noWrap w:val="0"/>
                  <w:vAlign w:val="center"/>
                </w:tcPr>
                <w:p w14:paraId="26A30A00">
                  <w:pPr>
                    <w:pStyle w:val="69"/>
                    <w:rPr>
                      <w:rFonts w:hint="eastAsia"/>
                      <w:color w:val="auto"/>
                    </w:rPr>
                  </w:pPr>
                  <w:r>
                    <w:rPr>
                      <w:rFonts w:hint="eastAsia"/>
                      <w:color w:val="auto"/>
                    </w:rPr>
                    <w:t>HK-1ZS</w:t>
                  </w:r>
                </w:p>
              </w:tc>
              <w:tc>
                <w:tcPr>
                  <w:tcW w:w="602" w:type="pct"/>
                  <w:noWrap w:val="0"/>
                  <w:vAlign w:val="center"/>
                </w:tcPr>
                <w:p w14:paraId="5894A7D8">
                  <w:pPr>
                    <w:pStyle w:val="69"/>
                    <w:rPr>
                      <w:rFonts w:eastAsia="等线"/>
                      <w:color w:val="auto"/>
                    </w:rPr>
                  </w:pPr>
                  <w:r>
                    <w:rPr>
                      <w:rFonts w:hint="eastAsia"/>
                      <w:color w:val="auto"/>
                    </w:rPr>
                    <w:t>台</w:t>
                  </w:r>
                </w:p>
              </w:tc>
              <w:tc>
                <w:tcPr>
                  <w:tcW w:w="602" w:type="pct"/>
                  <w:noWrap w:val="0"/>
                  <w:vAlign w:val="center"/>
                </w:tcPr>
                <w:p w14:paraId="2F1C1BAD">
                  <w:pPr>
                    <w:pStyle w:val="69"/>
                    <w:rPr>
                      <w:rFonts w:hint="eastAsia" w:eastAsia="等线"/>
                      <w:color w:val="auto"/>
                      <w:lang w:eastAsia="zh-CN"/>
                    </w:rPr>
                  </w:pPr>
                  <w:r>
                    <w:rPr>
                      <w:rFonts w:hint="eastAsia" w:eastAsia="等线"/>
                      <w:color w:val="auto"/>
                      <w:lang w:val="en-US" w:eastAsia="zh-CN"/>
                    </w:rPr>
                    <w:t>4</w:t>
                  </w:r>
                </w:p>
              </w:tc>
              <w:tc>
                <w:tcPr>
                  <w:tcW w:w="800" w:type="pct"/>
                  <w:noWrap w:val="0"/>
                  <w:vAlign w:val="top"/>
                </w:tcPr>
                <w:p w14:paraId="1F51C981">
                  <w:pPr>
                    <w:pStyle w:val="69"/>
                    <w:rPr>
                      <w:rFonts w:hint="eastAsia"/>
                      <w:color w:val="auto"/>
                    </w:rPr>
                  </w:pPr>
                  <w:r>
                    <w:rPr>
                      <w:rFonts w:hint="eastAsia"/>
                      <w:color w:val="auto"/>
                      <w:lang w:val="en-US" w:eastAsia="zh-CN"/>
                    </w:rPr>
                    <w:t>1</w:t>
                  </w:r>
                  <w:r>
                    <w:rPr>
                      <w:rFonts w:hint="eastAsia"/>
                      <w:color w:val="auto"/>
                    </w:rPr>
                    <w:t>层生产区</w:t>
                  </w:r>
                </w:p>
              </w:tc>
            </w:tr>
            <w:tr w14:paraId="5E2B92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1E9A6FDA">
                  <w:pPr>
                    <w:pStyle w:val="69"/>
                    <w:rPr>
                      <w:rFonts w:eastAsia="等线"/>
                      <w:color w:val="auto"/>
                    </w:rPr>
                  </w:pPr>
                  <w:r>
                    <w:rPr>
                      <w:rFonts w:eastAsia="等线"/>
                      <w:color w:val="auto"/>
                    </w:rPr>
                    <w:t>7</w:t>
                  </w:r>
                </w:p>
              </w:tc>
              <w:tc>
                <w:tcPr>
                  <w:tcW w:w="1195" w:type="pct"/>
                  <w:noWrap w:val="0"/>
                  <w:vAlign w:val="center"/>
                </w:tcPr>
                <w:p w14:paraId="406D007B">
                  <w:pPr>
                    <w:pStyle w:val="69"/>
                    <w:rPr>
                      <w:rFonts w:hint="eastAsia"/>
                      <w:color w:val="auto"/>
                    </w:rPr>
                  </w:pPr>
                  <w:r>
                    <w:rPr>
                      <w:rFonts w:hint="eastAsia"/>
                      <w:color w:val="auto"/>
                    </w:rPr>
                    <w:t>推台锯大</w:t>
                  </w:r>
                </w:p>
              </w:tc>
              <w:tc>
                <w:tcPr>
                  <w:tcW w:w="1340" w:type="pct"/>
                  <w:noWrap w:val="0"/>
                  <w:vAlign w:val="center"/>
                </w:tcPr>
                <w:p w14:paraId="407CA70E">
                  <w:pPr>
                    <w:pStyle w:val="69"/>
                    <w:rPr>
                      <w:rFonts w:hint="eastAsia"/>
                      <w:color w:val="auto"/>
                    </w:rPr>
                  </w:pPr>
                  <w:r>
                    <w:rPr>
                      <w:rFonts w:hint="eastAsia"/>
                      <w:color w:val="auto"/>
                    </w:rPr>
                    <w:t>MJ6132A</w:t>
                  </w:r>
                </w:p>
              </w:tc>
              <w:tc>
                <w:tcPr>
                  <w:tcW w:w="602" w:type="pct"/>
                  <w:noWrap w:val="0"/>
                  <w:vAlign w:val="center"/>
                </w:tcPr>
                <w:p w14:paraId="7D8DEFB7">
                  <w:pPr>
                    <w:pStyle w:val="69"/>
                    <w:rPr>
                      <w:rFonts w:eastAsia="等线"/>
                      <w:color w:val="auto"/>
                    </w:rPr>
                  </w:pPr>
                  <w:r>
                    <w:rPr>
                      <w:rFonts w:hint="eastAsia"/>
                      <w:color w:val="auto"/>
                    </w:rPr>
                    <w:t>台</w:t>
                  </w:r>
                </w:p>
              </w:tc>
              <w:tc>
                <w:tcPr>
                  <w:tcW w:w="602" w:type="pct"/>
                  <w:noWrap w:val="0"/>
                  <w:vAlign w:val="center"/>
                </w:tcPr>
                <w:p w14:paraId="03471A70">
                  <w:pPr>
                    <w:pStyle w:val="69"/>
                    <w:rPr>
                      <w:rFonts w:hint="eastAsia" w:eastAsia="等线"/>
                      <w:color w:val="auto"/>
                      <w:lang w:eastAsia="zh-CN"/>
                    </w:rPr>
                  </w:pPr>
                  <w:r>
                    <w:rPr>
                      <w:rFonts w:hint="eastAsia" w:eastAsia="等线"/>
                      <w:color w:val="auto"/>
                      <w:lang w:val="en-US" w:eastAsia="zh-CN"/>
                    </w:rPr>
                    <w:t>2</w:t>
                  </w:r>
                </w:p>
              </w:tc>
              <w:tc>
                <w:tcPr>
                  <w:tcW w:w="800" w:type="pct"/>
                  <w:noWrap w:val="0"/>
                  <w:vAlign w:val="top"/>
                </w:tcPr>
                <w:p w14:paraId="14785FCC">
                  <w:pPr>
                    <w:pStyle w:val="69"/>
                    <w:rPr>
                      <w:rFonts w:hint="eastAsia"/>
                      <w:color w:val="auto"/>
                    </w:rPr>
                  </w:pPr>
                  <w:r>
                    <w:rPr>
                      <w:rFonts w:hint="eastAsia"/>
                      <w:color w:val="auto"/>
                      <w:lang w:val="en-US" w:eastAsia="zh-CN"/>
                    </w:rPr>
                    <w:t>2</w:t>
                  </w:r>
                  <w:r>
                    <w:rPr>
                      <w:rFonts w:hint="eastAsia"/>
                      <w:color w:val="auto"/>
                    </w:rPr>
                    <w:t>层生产区</w:t>
                  </w:r>
                </w:p>
              </w:tc>
            </w:tr>
            <w:tr w14:paraId="69F129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3B0585E9">
                  <w:pPr>
                    <w:pStyle w:val="69"/>
                    <w:rPr>
                      <w:rFonts w:eastAsia="等线"/>
                      <w:color w:val="auto"/>
                    </w:rPr>
                  </w:pPr>
                  <w:r>
                    <w:rPr>
                      <w:rFonts w:eastAsia="等线"/>
                      <w:color w:val="auto"/>
                    </w:rPr>
                    <w:t>8</w:t>
                  </w:r>
                </w:p>
              </w:tc>
              <w:tc>
                <w:tcPr>
                  <w:tcW w:w="1195" w:type="pct"/>
                  <w:noWrap w:val="0"/>
                  <w:vAlign w:val="center"/>
                </w:tcPr>
                <w:p w14:paraId="66DC0643">
                  <w:pPr>
                    <w:pStyle w:val="69"/>
                    <w:rPr>
                      <w:color w:val="auto"/>
                    </w:rPr>
                  </w:pPr>
                  <w:r>
                    <w:rPr>
                      <w:rFonts w:hint="eastAsia"/>
                      <w:color w:val="auto"/>
                    </w:rPr>
                    <w:t>精达小推台锯</w:t>
                  </w:r>
                </w:p>
              </w:tc>
              <w:tc>
                <w:tcPr>
                  <w:tcW w:w="1340" w:type="pct"/>
                  <w:noWrap w:val="0"/>
                  <w:vAlign w:val="center"/>
                </w:tcPr>
                <w:p w14:paraId="3BEEE2A9">
                  <w:pPr>
                    <w:pStyle w:val="69"/>
                    <w:rPr>
                      <w:rFonts w:eastAsia="等线"/>
                      <w:color w:val="auto"/>
                    </w:rPr>
                  </w:pPr>
                  <w:r>
                    <w:rPr>
                      <w:rFonts w:hint="eastAsia"/>
                      <w:color w:val="auto"/>
                    </w:rPr>
                    <w:t>MJ113B</w:t>
                  </w:r>
                </w:p>
              </w:tc>
              <w:tc>
                <w:tcPr>
                  <w:tcW w:w="602" w:type="pct"/>
                  <w:noWrap w:val="0"/>
                  <w:vAlign w:val="center"/>
                </w:tcPr>
                <w:p w14:paraId="7C23A1AE">
                  <w:pPr>
                    <w:pStyle w:val="69"/>
                    <w:rPr>
                      <w:rFonts w:eastAsia="等线"/>
                      <w:color w:val="auto"/>
                    </w:rPr>
                  </w:pPr>
                  <w:r>
                    <w:rPr>
                      <w:rFonts w:hint="eastAsia"/>
                      <w:color w:val="auto"/>
                    </w:rPr>
                    <w:t>台</w:t>
                  </w:r>
                </w:p>
              </w:tc>
              <w:tc>
                <w:tcPr>
                  <w:tcW w:w="602" w:type="pct"/>
                  <w:noWrap w:val="0"/>
                  <w:vAlign w:val="center"/>
                </w:tcPr>
                <w:p w14:paraId="58B3ECA9">
                  <w:pPr>
                    <w:pStyle w:val="69"/>
                    <w:rPr>
                      <w:rFonts w:hint="eastAsia" w:eastAsia="等线"/>
                      <w:color w:val="auto"/>
                      <w:lang w:eastAsia="zh-CN"/>
                    </w:rPr>
                  </w:pPr>
                  <w:r>
                    <w:rPr>
                      <w:rFonts w:hint="eastAsia" w:eastAsia="等线"/>
                      <w:color w:val="auto"/>
                      <w:lang w:val="en-US" w:eastAsia="zh-CN"/>
                    </w:rPr>
                    <w:t>2</w:t>
                  </w:r>
                </w:p>
              </w:tc>
              <w:tc>
                <w:tcPr>
                  <w:tcW w:w="800" w:type="pct"/>
                  <w:noWrap w:val="0"/>
                  <w:vAlign w:val="top"/>
                </w:tcPr>
                <w:p w14:paraId="249B0601">
                  <w:pPr>
                    <w:pStyle w:val="69"/>
                    <w:rPr>
                      <w:color w:val="auto"/>
                    </w:rPr>
                  </w:pPr>
                  <w:r>
                    <w:rPr>
                      <w:rFonts w:hint="eastAsia"/>
                      <w:color w:val="auto"/>
                      <w:lang w:val="en-US" w:eastAsia="zh-CN"/>
                    </w:rPr>
                    <w:t>2</w:t>
                  </w:r>
                  <w:r>
                    <w:rPr>
                      <w:rFonts w:hint="eastAsia"/>
                      <w:color w:val="auto"/>
                    </w:rPr>
                    <w:t>层生产区</w:t>
                  </w:r>
                </w:p>
              </w:tc>
            </w:tr>
            <w:tr w14:paraId="2CADD0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7C5C751D">
                  <w:pPr>
                    <w:pStyle w:val="69"/>
                    <w:rPr>
                      <w:rFonts w:eastAsia="等线"/>
                      <w:color w:val="auto"/>
                    </w:rPr>
                  </w:pPr>
                  <w:r>
                    <w:rPr>
                      <w:rFonts w:eastAsia="等线"/>
                      <w:color w:val="auto"/>
                    </w:rPr>
                    <w:t>11</w:t>
                  </w:r>
                </w:p>
              </w:tc>
              <w:tc>
                <w:tcPr>
                  <w:tcW w:w="1195" w:type="pct"/>
                  <w:noWrap w:val="0"/>
                  <w:vAlign w:val="center"/>
                </w:tcPr>
                <w:p w14:paraId="423C08F5">
                  <w:pPr>
                    <w:pStyle w:val="69"/>
                    <w:rPr>
                      <w:color w:val="auto"/>
                    </w:rPr>
                  </w:pPr>
                  <w:r>
                    <w:rPr>
                      <w:rFonts w:hint="eastAsia"/>
                      <w:color w:val="auto"/>
                    </w:rPr>
                    <w:t>台钻</w:t>
                  </w:r>
                </w:p>
              </w:tc>
              <w:tc>
                <w:tcPr>
                  <w:tcW w:w="1340" w:type="pct"/>
                  <w:noWrap w:val="0"/>
                  <w:vAlign w:val="center"/>
                </w:tcPr>
                <w:p w14:paraId="4622C9B8">
                  <w:pPr>
                    <w:pStyle w:val="69"/>
                    <w:rPr>
                      <w:rFonts w:eastAsia="等线"/>
                      <w:color w:val="auto"/>
                    </w:rPr>
                  </w:pPr>
                  <w:r>
                    <w:rPr>
                      <w:rFonts w:hint="eastAsia"/>
                      <w:color w:val="auto"/>
                    </w:rPr>
                    <w:t>Z4112</w:t>
                  </w:r>
                </w:p>
              </w:tc>
              <w:tc>
                <w:tcPr>
                  <w:tcW w:w="602" w:type="pct"/>
                  <w:noWrap w:val="0"/>
                  <w:vAlign w:val="center"/>
                </w:tcPr>
                <w:p w14:paraId="57DDD0C9">
                  <w:pPr>
                    <w:pStyle w:val="69"/>
                    <w:rPr>
                      <w:rFonts w:eastAsia="等线"/>
                      <w:color w:val="auto"/>
                    </w:rPr>
                  </w:pPr>
                  <w:r>
                    <w:rPr>
                      <w:rFonts w:hint="eastAsia"/>
                      <w:color w:val="auto"/>
                    </w:rPr>
                    <w:t>台</w:t>
                  </w:r>
                </w:p>
              </w:tc>
              <w:tc>
                <w:tcPr>
                  <w:tcW w:w="602" w:type="pct"/>
                  <w:noWrap w:val="0"/>
                  <w:vAlign w:val="center"/>
                </w:tcPr>
                <w:p w14:paraId="46C61FBE">
                  <w:pPr>
                    <w:pStyle w:val="69"/>
                    <w:rPr>
                      <w:rFonts w:hint="eastAsia" w:eastAsia="等线"/>
                      <w:color w:val="auto"/>
                      <w:lang w:eastAsia="zh-CN"/>
                    </w:rPr>
                  </w:pPr>
                  <w:r>
                    <w:rPr>
                      <w:rFonts w:hint="eastAsia" w:eastAsia="等线"/>
                      <w:color w:val="auto"/>
                      <w:lang w:val="en-US" w:eastAsia="zh-CN"/>
                    </w:rPr>
                    <w:t>2</w:t>
                  </w:r>
                </w:p>
              </w:tc>
              <w:tc>
                <w:tcPr>
                  <w:tcW w:w="800" w:type="pct"/>
                  <w:noWrap w:val="0"/>
                  <w:vAlign w:val="top"/>
                </w:tcPr>
                <w:p w14:paraId="59335B35">
                  <w:pPr>
                    <w:pStyle w:val="69"/>
                    <w:rPr>
                      <w:color w:val="auto"/>
                    </w:rPr>
                  </w:pPr>
                  <w:r>
                    <w:rPr>
                      <w:rFonts w:hint="eastAsia"/>
                      <w:color w:val="auto"/>
                      <w:lang w:val="en-US" w:eastAsia="zh-CN"/>
                    </w:rPr>
                    <w:t>2</w:t>
                  </w:r>
                  <w:r>
                    <w:rPr>
                      <w:rFonts w:hint="eastAsia"/>
                      <w:color w:val="auto"/>
                    </w:rPr>
                    <w:t>层生产区</w:t>
                  </w:r>
                </w:p>
              </w:tc>
            </w:tr>
            <w:tr w14:paraId="57098F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64823301">
                  <w:pPr>
                    <w:pStyle w:val="69"/>
                    <w:rPr>
                      <w:rFonts w:eastAsia="等线"/>
                      <w:color w:val="auto"/>
                    </w:rPr>
                  </w:pPr>
                  <w:r>
                    <w:rPr>
                      <w:rFonts w:eastAsia="等线"/>
                      <w:color w:val="auto"/>
                    </w:rPr>
                    <w:t>12</w:t>
                  </w:r>
                </w:p>
              </w:tc>
              <w:tc>
                <w:tcPr>
                  <w:tcW w:w="1195" w:type="pct"/>
                  <w:noWrap w:val="0"/>
                  <w:vAlign w:val="center"/>
                </w:tcPr>
                <w:p w14:paraId="3E36B0E4">
                  <w:pPr>
                    <w:pStyle w:val="69"/>
                    <w:rPr>
                      <w:color w:val="auto"/>
                    </w:rPr>
                  </w:pPr>
                  <w:r>
                    <w:rPr>
                      <w:rFonts w:hint="eastAsia"/>
                      <w:color w:val="auto"/>
                    </w:rPr>
                    <w:t>铰链钻</w:t>
                  </w:r>
                </w:p>
              </w:tc>
              <w:tc>
                <w:tcPr>
                  <w:tcW w:w="1340" w:type="pct"/>
                  <w:noWrap w:val="0"/>
                  <w:vAlign w:val="center"/>
                </w:tcPr>
                <w:p w14:paraId="1105BB78">
                  <w:pPr>
                    <w:pStyle w:val="69"/>
                    <w:rPr>
                      <w:rFonts w:eastAsia="等线"/>
                      <w:color w:val="auto"/>
                    </w:rPr>
                  </w:pPr>
                  <w:r>
                    <w:rPr>
                      <w:rFonts w:hint="eastAsia"/>
                      <w:color w:val="auto"/>
                    </w:rPr>
                    <w:t>MZB73032</w:t>
                  </w:r>
                </w:p>
              </w:tc>
              <w:tc>
                <w:tcPr>
                  <w:tcW w:w="602" w:type="pct"/>
                  <w:noWrap w:val="0"/>
                  <w:vAlign w:val="center"/>
                </w:tcPr>
                <w:p w14:paraId="5C2A9757">
                  <w:pPr>
                    <w:pStyle w:val="69"/>
                    <w:rPr>
                      <w:rFonts w:eastAsia="等线"/>
                      <w:color w:val="auto"/>
                    </w:rPr>
                  </w:pPr>
                  <w:r>
                    <w:rPr>
                      <w:rFonts w:hint="eastAsia"/>
                      <w:color w:val="auto"/>
                    </w:rPr>
                    <w:t>台</w:t>
                  </w:r>
                </w:p>
              </w:tc>
              <w:tc>
                <w:tcPr>
                  <w:tcW w:w="602" w:type="pct"/>
                  <w:noWrap w:val="0"/>
                  <w:vAlign w:val="center"/>
                </w:tcPr>
                <w:p w14:paraId="13E5505E">
                  <w:pPr>
                    <w:pStyle w:val="69"/>
                    <w:rPr>
                      <w:rFonts w:hint="eastAsia" w:eastAsia="等线"/>
                      <w:color w:val="auto"/>
                      <w:lang w:eastAsia="zh-CN"/>
                    </w:rPr>
                  </w:pPr>
                  <w:r>
                    <w:rPr>
                      <w:rFonts w:hint="eastAsia" w:eastAsia="等线"/>
                      <w:color w:val="auto"/>
                      <w:lang w:val="en-US" w:eastAsia="zh-CN"/>
                    </w:rPr>
                    <w:t>5</w:t>
                  </w:r>
                </w:p>
              </w:tc>
              <w:tc>
                <w:tcPr>
                  <w:tcW w:w="800" w:type="pct"/>
                  <w:noWrap w:val="0"/>
                  <w:vAlign w:val="top"/>
                </w:tcPr>
                <w:p w14:paraId="462DD9BB">
                  <w:pPr>
                    <w:pStyle w:val="69"/>
                    <w:rPr>
                      <w:color w:val="auto"/>
                    </w:rPr>
                  </w:pPr>
                  <w:r>
                    <w:rPr>
                      <w:rFonts w:hint="eastAsia"/>
                      <w:color w:val="auto"/>
                      <w:lang w:val="en-US" w:eastAsia="zh-CN"/>
                    </w:rPr>
                    <w:t>2</w:t>
                  </w:r>
                  <w:r>
                    <w:rPr>
                      <w:rFonts w:hint="eastAsia"/>
                      <w:color w:val="auto"/>
                    </w:rPr>
                    <w:t>层生产区</w:t>
                  </w:r>
                </w:p>
              </w:tc>
            </w:tr>
            <w:tr w14:paraId="79AAF8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31BDF9A3">
                  <w:pPr>
                    <w:pStyle w:val="69"/>
                    <w:rPr>
                      <w:rFonts w:eastAsia="等线"/>
                      <w:color w:val="auto"/>
                    </w:rPr>
                  </w:pPr>
                  <w:r>
                    <w:rPr>
                      <w:rFonts w:eastAsia="等线"/>
                      <w:color w:val="auto"/>
                    </w:rPr>
                    <w:t>13</w:t>
                  </w:r>
                </w:p>
              </w:tc>
              <w:tc>
                <w:tcPr>
                  <w:tcW w:w="1195" w:type="pct"/>
                  <w:noWrap w:val="0"/>
                  <w:vAlign w:val="center"/>
                </w:tcPr>
                <w:p w14:paraId="47A574D9">
                  <w:pPr>
                    <w:pStyle w:val="69"/>
                    <w:rPr>
                      <w:color w:val="auto"/>
                    </w:rPr>
                  </w:pPr>
                  <w:r>
                    <w:rPr>
                      <w:rFonts w:hint="eastAsia"/>
                      <w:color w:val="auto"/>
                    </w:rPr>
                    <w:t>水平钻</w:t>
                  </w:r>
                </w:p>
              </w:tc>
              <w:tc>
                <w:tcPr>
                  <w:tcW w:w="1340" w:type="pct"/>
                  <w:noWrap w:val="0"/>
                  <w:vAlign w:val="center"/>
                </w:tcPr>
                <w:p w14:paraId="4D89AD9B">
                  <w:pPr>
                    <w:pStyle w:val="69"/>
                    <w:rPr>
                      <w:rFonts w:eastAsia="等线"/>
                      <w:color w:val="auto"/>
                    </w:rPr>
                  </w:pPr>
                  <w:r>
                    <w:rPr>
                      <w:rFonts w:hint="eastAsia"/>
                      <w:color w:val="auto"/>
                    </w:rPr>
                    <w:t>GTIAN MJ2</w:t>
                  </w:r>
                </w:p>
              </w:tc>
              <w:tc>
                <w:tcPr>
                  <w:tcW w:w="602" w:type="pct"/>
                  <w:noWrap w:val="0"/>
                  <w:vAlign w:val="center"/>
                </w:tcPr>
                <w:p w14:paraId="606E8F48">
                  <w:pPr>
                    <w:pStyle w:val="69"/>
                    <w:rPr>
                      <w:rFonts w:eastAsia="等线"/>
                      <w:color w:val="auto"/>
                    </w:rPr>
                  </w:pPr>
                  <w:r>
                    <w:rPr>
                      <w:rFonts w:hint="eastAsia"/>
                      <w:color w:val="auto"/>
                    </w:rPr>
                    <w:t>台</w:t>
                  </w:r>
                </w:p>
              </w:tc>
              <w:tc>
                <w:tcPr>
                  <w:tcW w:w="602" w:type="pct"/>
                  <w:noWrap w:val="0"/>
                  <w:vAlign w:val="center"/>
                </w:tcPr>
                <w:p w14:paraId="1F472F25">
                  <w:pPr>
                    <w:pStyle w:val="69"/>
                    <w:rPr>
                      <w:rFonts w:hint="eastAsia" w:eastAsia="等线"/>
                      <w:color w:val="auto"/>
                      <w:lang w:eastAsia="zh-CN"/>
                    </w:rPr>
                  </w:pPr>
                  <w:r>
                    <w:rPr>
                      <w:rFonts w:hint="eastAsia" w:eastAsia="等线"/>
                      <w:color w:val="auto"/>
                      <w:lang w:val="en-US" w:eastAsia="zh-CN"/>
                    </w:rPr>
                    <w:t>2</w:t>
                  </w:r>
                </w:p>
              </w:tc>
              <w:tc>
                <w:tcPr>
                  <w:tcW w:w="800" w:type="pct"/>
                  <w:noWrap w:val="0"/>
                  <w:vAlign w:val="top"/>
                </w:tcPr>
                <w:p w14:paraId="232C8243">
                  <w:pPr>
                    <w:pStyle w:val="69"/>
                    <w:rPr>
                      <w:color w:val="auto"/>
                    </w:rPr>
                  </w:pPr>
                  <w:r>
                    <w:rPr>
                      <w:rFonts w:hint="eastAsia"/>
                      <w:color w:val="auto"/>
                      <w:lang w:val="en-US" w:eastAsia="zh-CN"/>
                    </w:rPr>
                    <w:t>2</w:t>
                  </w:r>
                  <w:r>
                    <w:rPr>
                      <w:rFonts w:hint="eastAsia"/>
                      <w:color w:val="auto"/>
                    </w:rPr>
                    <w:t>层生产区</w:t>
                  </w:r>
                </w:p>
              </w:tc>
            </w:tr>
            <w:tr w14:paraId="47CE2D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6BF6D12D">
                  <w:pPr>
                    <w:pStyle w:val="69"/>
                    <w:rPr>
                      <w:rFonts w:eastAsia="等线"/>
                      <w:color w:val="auto"/>
                    </w:rPr>
                  </w:pPr>
                  <w:r>
                    <w:rPr>
                      <w:rFonts w:eastAsia="等线"/>
                      <w:color w:val="auto"/>
                    </w:rPr>
                    <w:t>14</w:t>
                  </w:r>
                </w:p>
              </w:tc>
              <w:tc>
                <w:tcPr>
                  <w:tcW w:w="1195" w:type="pct"/>
                  <w:noWrap w:val="0"/>
                  <w:vAlign w:val="center"/>
                </w:tcPr>
                <w:p w14:paraId="04A82A7B">
                  <w:pPr>
                    <w:pStyle w:val="69"/>
                    <w:rPr>
                      <w:color w:val="auto"/>
                    </w:rPr>
                  </w:pPr>
                  <w:r>
                    <w:rPr>
                      <w:rFonts w:hint="eastAsia"/>
                      <w:color w:val="auto"/>
                    </w:rPr>
                    <w:t>双端钻</w:t>
                  </w:r>
                </w:p>
              </w:tc>
              <w:tc>
                <w:tcPr>
                  <w:tcW w:w="1340" w:type="pct"/>
                  <w:noWrap w:val="0"/>
                  <w:vAlign w:val="center"/>
                </w:tcPr>
                <w:p w14:paraId="7C03AE16">
                  <w:pPr>
                    <w:pStyle w:val="69"/>
                    <w:rPr>
                      <w:rFonts w:eastAsia="等线"/>
                      <w:color w:val="auto"/>
                    </w:rPr>
                  </w:pPr>
                  <w:r>
                    <w:rPr>
                      <w:rFonts w:hint="eastAsia"/>
                      <w:color w:val="auto"/>
                    </w:rPr>
                    <w:t>MJ</w:t>
                  </w:r>
                </w:p>
              </w:tc>
              <w:tc>
                <w:tcPr>
                  <w:tcW w:w="602" w:type="pct"/>
                  <w:noWrap w:val="0"/>
                  <w:vAlign w:val="center"/>
                </w:tcPr>
                <w:p w14:paraId="17150545">
                  <w:pPr>
                    <w:pStyle w:val="69"/>
                    <w:rPr>
                      <w:rFonts w:eastAsia="等线"/>
                      <w:color w:val="auto"/>
                    </w:rPr>
                  </w:pPr>
                  <w:r>
                    <w:rPr>
                      <w:rFonts w:hint="eastAsia"/>
                      <w:color w:val="auto"/>
                    </w:rPr>
                    <w:t>台</w:t>
                  </w:r>
                </w:p>
              </w:tc>
              <w:tc>
                <w:tcPr>
                  <w:tcW w:w="602" w:type="pct"/>
                  <w:noWrap w:val="0"/>
                  <w:vAlign w:val="center"/>
                </w:tcPr>
                <w:p w14:paraId="365C9D69">
                  <w:pPr>
                    <w:pStyle w:val="69"/>
                    <w:rPr>
                      <w:rFonts w:hint="eastAsia" w:eastAsia="等线"/>
                      <w:color w:val="auto"/>
                      <w:lang w:eastAsia="zh-CN"/>
                    </w:rPr>
                  </w:pPr>
                  <w:r>
                    <w:rPr>
                      <w:rFonts w:hint="eastAsia" w:eastAsia="等线"/>
                      <w:color w:val="auto"/>
                      <w:lang w:val="en-US" w:eastAsia="zh-CN"/>
                    </w:rPr>
                    <w:t>3</w:t>
                  </w:r>
                </w:p>
              </w:tc>
              <w:tc>
                <w:tcPr>
                  <w:tcW w:w="800" w:type="pct"/>
                  <w:noWrap w:val="0"/>
                  <w:vAlign w:val="top"/>
                </w:tcPr>
                <w:p w14:paraId="737CC422">
                  <w:pPr>
                    <w:pStyle w:val="69"/>
                    <w:rPr>
                      <w:color w:val="auto"/>
                    </w:rPr>
                  </w:pPr>
                  <w:r>
                    <w:rPr>
                      <w:rFonts w:hint="eastAsia"/>
                      <w:color w:val="auto"/>
                      <w:lang w:val="en-US" w:eastAsia="zh-CN"/>
                    </w:rPr>
                    <w:t>2</w:t>
                  </w:r>
                  <w:r>
                    <w:rPr>
                      <w:rFonts w:hint="eastAsia"/>
                      <w:color w:val="auto"/>
                    </w:rPr>
                    <w:t>层生产区</w:t>
                  </w:r>
                </w:p>
              </w:tc>
            </w:tr>
            <w:tr w14:paraId="5E0483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630EF67B">
                  <w:pPr>
                    <w:pStyle w:val="69"/>
                    <w:rPr>
                      <w:rFonts w:eastAsia="等线"/>
                      <w:color w:val="auto"/>
                    </w:rPr>
                  </w:pPr>
                  <w:r>
                    <w:rPr>
                      <w:rFonts w:eastAsia="等线"/>
                      <w:color w:val="auto"/>
                    </w:rPr>
                    <w:t>15</w:t>
                  </w:r>
                </w:p>
              </w:tc>
              <w:tc>
                <w:tcPr>
                  <w:tcW w:w="1195" w:type="pct"/>
                  <w:noWrap w:val="0"/>
                  <w:vAlign w:val="center"/>
                </w:tcPr>
                <w:p w14:paraId="76D38F9A">
                  <w:pPr>
                    <w:pStyle w:val="69"/>
                    <w:rPr>
                      <w:color w:val="auto"/>
                    </w:rPr>
                  </w:pPr>
                  <w:r>
                    <w:rPr>
                      <w:rFonts w:hint="eastAsia"/>
                      <w:color w:val="auto"/>
                    </w:rPr>
                    <w:t>集新镂铣机</w:t>
                  </w:r>
                </w:p>
              </w:tc>
              <w:tc>
                <w:tcPr>
                  <w:tcW w:w="1340" w:type="pct"/>
                  <w:noWrap w:val="0"/>
                  <w:vAlign w:val="center"/>
                </w:tcPr>
                <w:p w14:paraId="0D07A191">
                  <w:pPr>
                    <w:pStyle w:val="69"/>
                    <w:rPr>
                      <w:rFonts w:eastAsia="等线"/>
                      <w:color w:val="auto"/>
                    </w:rPr>
                  </w:pPr>
                  <w:r>
                    <w:rPr>
                      <w:rFonts w:hint="eastAsia"/>
                      <w:color w:val="auto"/>
                    </w:rPr>
                    <w:t>MX5068</w:t>
                  </w:r>
                </w:p>
              </w:tc>
              <w:tc>
                <w:tcPr>
                  <w:tcW w:w="602" w:type="pct"/>
                  <w:noWrap w:val="0"/>
                  <w:vAlign w:val="center"/>
                </w:tcPr>
                <w:p w14:paraId="7D2E1976">
                  <w:pPr>
                    <w:pStyle w:val="69"/>
                    <w:rPr>
                      <w:rFonts w:eastAsia="等线"/>
                      <w:color w:val="auto"/>
                    </w:rPr>
                  </w:pPr>
                  <w:r>
                    <w:rPr>
                      <w:rFonts w:hint="eastAsia"/>
                      <w:color w:val="auto"/>
                    </w:rPr>
                    <w:t>台</w:t>
                  </w:r>
                </w:p>
              </w:tc>
              <w:tc>
                <w:tcPr>
                  <w:tcW w:w="602" w:type="pct"/>
                  <w:noWrap w:val="0"/>
                  <w:vAlign w:val="center"/>
                </w:tcPr>
                <w:p w14:paraId="082315BA">
                  <w:pPr>
                    <w:pStyle w:val="69"/>
                    <w:rPr>
                      <w:rFonts w:hint="eastAsia" w:eastAsia="等线"/>
                      <w:color w:val="auto"/>
                      <w:lang w:eastAsia="zh-CN"/>
                    </w:rPr>
                  </w:pPr>
                  <w:r>
                    <w:rPr>
                      <w:rFonts w:hint="eastAsia" w:eastAsia="等线"/>
                      <w:color w:val="auto"/>
                      <w:lang w:val="en-US" w:eastAsia="zh-CN"/>
                    </w:rPr>
                    <w:t>2</w:t>
                  </w:r>
                </w:p>
              </w:tc>
              <w:tc>
                <w:tcPr>
                  <w:tcW w:w="800" w:type="pct"/>
                  <w:noWrap w:val="0"/>
                  <w:vAlign w:val="top"/>
                </w:tcPr>
                <w:p w14:paraId="21552668">
                  <w:pPr>
                    <w:pStyle w:val="69"/>
                    <w:rPr>
                      <w:color w:val="auto"/>
                    </w:rPr>
                  </w:pPr>
                  <w:r>
                    <w:rPr>
                      <w:rFonts w:hint="eastAsia"/>
                      <w:color w:val="auto"/>
                      <w:lang w:val="en-US" w:eastAsia="zh-CN"/>
                    </w:rPr>
                    <w:t>2</w:t>
                  </w:r>
                  <w:r>
                    <w:rPr>
                      <w:rFonts w:hint="eastAsia"/>
                      <w:color w:val="auto"/>
                    </w:rPr>
                    <w:t>层生产区</w:t>
                  </w:r>
                </w:p>
              </w:tc>
            </w:tr>
            <w:tr w14:paraId="0D286F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21AFBC9A">
                  <w:pPr>
                    <w:pStyle w:val="69"/>
                    <w:rPr>
                      <w:rFonts w:eastAsia="等线"/>
                      <w:color w:val="auto"/>
                    </w:rPr>
                  </w:pPr>
                  <w:r>
                    <w:rPr>
                      <w:rFonts w:eastAsia="等线"/>
                      <w:color w:val="auto"/>
                    </w:rPr>
                    <w:t>16</w:t>
                  </w:r>
                </w:p>
              </w:tc>
              <w:tc>
                <w:tcPr>
                  <w:tcW w:w="1195" w:type="pct"/>
                  <w:noWrap w:val="0"/>
                  <w:vAlign w:val="center"/>
                </w:tcPr>
                <w:p w14:paraId="46C15793">
                  <w:pPr>
                    <w:pStyle w:val="69"/>
                    <w:rPr>
                      <w:color w:val="auto"/>
                    </w:rPr>
                  </w:pPr>
                  <w:r>
                    <w:rPr>
                      <w:rFonts w:hint="eastAsia"/>
                      <w:color w:val="auto"/>
                    </w:rPr>
                    <w:t>立式单轴镂铣机</w:t>
                  </w:r>
                </w:p>
              </w:tc>
              <w:tc>
                <w:tcPr>
                  <w:tcW w:w="1340" w:type="pct"/>
                  <w:noWrap w:val="0"/>
                  <w:vAlign w:val="center"/>
                </w:tcPr>
                <w:p w14:paraId="3DBB5AF3">
                  <w:pPr>
                    <w:pStyle w:val="69"/>
                    <w:rPr>
                      <w:rFonts w:eastAsia="等线"/>
                      <w:color w:val="auto"/>
                    </w:rPr>
                  </w:pPr>
                  <w:r>
                    <w:rPr>
                      <w:rFonts w:hint="eastAsia"/>
                      <w:color w:val="auto"/>
                    </w:rPr>
                    <w:t>MX5115</w:t>
                  </w:r>
                </w:p>
              </w:tc>
              <w:tc>
                <w:tcPr>
                  <w:tcW w:w="602" w:type="pct"/>
                  <w:noWrap w:val="0"/>
                  <w:vAlign w:val="center"/>
                </w:tcPr>
                <w:p w14:paraId="5D44AD71">
                  <w:pPr>
                    <w:pStyle w:val="69"/>
                    <w:rPr>
                      <w:rFonts w:eastAsia="等线"/>
                      <w:color w:val="auto"/>
                    </w:rPr>
                  </w:pPr>
                  <w:r>
                    <w:rPr>
                      <w:rFonts w:hint="eastAsia"/>
                      <w:color w:val="auto"/>
                    </w:rPr>
                    <w:t>台</w:t>
                  </w:r>
                </w:p>
              </w:tc>
              <w:tc>
                <w:tcPr>
                  <w:tcW w:w="602" w:type="pct"/>
                  <w:noWrap w:val="0"/>
                  <w:vAlign w:val="center"/>
                </w:tcPr>
                <w:p w14:paraId="7030CCAB">
                  <w:pPr>
                    <w:pStyle w:val="69"/>
                    <w:rPr>
                      <w:rFonts w:hint="eastAsia" w:eastAsia="等线"/>
                      <w:color w:val="auto"/>
                      <w:lang w:eastAsia="zh-CN"/>
                    </w:rPr>
                  </w:pPr>
                  <w:r>
                    <w:rPr>
                      <w:rFonts w:hint="eastAsia" w:eastAsia="等线"/>
                      <w:color w:val="auto"/>
                      <w:lang w:val="en-US" w:eastAsia="zh-CN"/>
                    </w:rPr>
                    <w:t>2</w:t>
                  </w:r>
                </w:p>
              </w:tc>
              <w:tc>
                <w:tcPr>
                  <w:tcW w:w="800" w:type="pct"/>
                  <w:noWrap w:val="0"/>
                  <w:vAlign w:val="top"/>
                </w:tcPr>
                <w:p w14:paraId="4A596D14">
                  <w:pPr>
                    <w:pStyle w:val="69"/>
                    <w:rPr>
                      <w:color w:val="auto"/>
                    </w:rPr>
                  </w:pPr>
                  <w:r>
                    <w:rPr>
                      <w:rFonts w:hint="eastAsia"/>
                      <w:color w:val="auto"/>
                      <w:lang w:val="en-US" w:eastAsia="zh-CN"/>
                    </w:rPr>
                    <w:t>2</w:t>
                  </w:r>
                  <w:r>
                    <w:rPr>
                      <w:rFonts w:hint="eastAsia"/>
                      <w:color w:val="auto"/>
                    </w:rPr>
                    <w:t>层生产区</w:t>
                  </w:r>
                </w:p>
              </w:tc>
            </w:tr>
            <w:tr w14:paraId="1547D7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09914617">
                  <w:pPr>
                    <w:pStyle w:val="69"/>
                    <w:rPr>
                      <w:rFonts w:eastAsia="等线"/>
                      <w:color w:val="auto"/>
                    </w:rPr>
                  </w:pPr>
                  <w:r>
                    <w:rPr>
                      <w:rFonts w:hint="eastAsia" w:eastAsia="等线"/>
                      <w:color w:val="auto"/>
                    </w:rPr>
                    <w:t>1</w:t>
                  </w:r>
                  <w:r>
                    <w:rPr>
                      <w:rFonts w:eastAsia="等线"/>
                      <w:color w:val="auto"/>
                    </w:rPr>
                    <w:t>7</w:t>
                  </w:r>
                </w:p>
              </w:tc>
              <w:tc>
                <w:tcPr>
                  <w:tcW w:w="1195" w:type="pct"/>
                  <w:noWrap w:val="0"/>
                  <w:vAlign w:val="center"/>
                </w:tcPr>
                <w:p w14:paraId="6C844D11">
                  <w:pPr>
                    <w:pStyle w:val="69"/>
                    <w:rPr>
                      <w:color w:val="auto"/>
                    </w:rPr>
                  </w:pPr>
                  <w:r>
                    <w:rPr>
                      <w:rFonts w:hint="eastAsia"/>
                      <w:color w:val="auto"/>
                    </w:rPr>
                    <w:t>单立铣</w:t>
                  </w:r>
                </w:p>
              </w:tc>
              <w:tc>
                <w:tcPr>
                  <w:tcW w:w="1340" w:type="pct"/>
                  <w:noWrap w:val="0"/>
                  <w:vAlign w:val="center"/>
                </w:tcPr>
                <w:p w14:paraId="3C115C31">
                  <w:pPr>
                    <w:pStyle w:val="69"/>
                    <w:rPr>
                      <w:rFonts w:eastAsia="等线"/>
                      <w:color w:val="auto"/>
                    </w:rPr>
                  </w:pPr>
                  <w:r>
                    <w:rPr>
                      <w:rFonts w:hint="eastAsia"/>
                      <w:color w:val="auto"/>
                    </w:rPr>
                    <w:t>MX5117B</w:t>
                  </w:r>
                </w:p>
              </w:tc>
              <w:tc>
                <w:tcPr>
                  <w:tcW w:w="602" w:type="pct"/>
                  <w:noWrap w:val="0"/>
                  <w:vAlign w:val="center"/>
                </w:tcPr>
                <w:p w14:paraId="65566ED6">
                  <w:pPr>
                    <w:pStyle w:val="69"/>
                    <w:rPr>
                      <w:rFonts w:eastAsia="等线"/>
                      <w:color w:val="auto"/>
                    </w:rPr>
                  </w:pPr>
                  <w:r>
                    <w:rPr>
                      <w:rFonts w:hint="eastAsia"/>
                      <w:color w:val="auto"/>
                    </w:rPr>
                    <w:t>台</w:t>
                  </w:r>
                </w:p>
              </w:tc>
              <w:tc>
                <w:tcPr>
                  <w:tcW w:w="602" w:type="pct"/>
                  <w:noWrap w:val="0"/>
                  <w:vAlign w:val="center"/>
                </w:tcPr>
                <w:p w14:paraId="75477E8A">
                  <w:pPr>
                    <w:pStyle w:val="69"/>
                    <w:rPr>
                      <w:rFonts w:hint="eastAsia" w:eastAsia="等线"/>
                      <w:color w:val="auto"/>
                      <w:lang w:eastAsia="zh-CN"/>
                    </w:rPr>
                  </w:pPr>
                  <w:r>
                    <w:rPr>
                      <w:rFonts w:hint="eastAsia" w:eastAsia="等线"/>
                      <w:color w:val="auto"/>
                      <w:lang w:val="en-US" w:eastAsia="zh-CN"/>
                    </w:rPr>
                    <w:t>2</w:t>
                  </w:r>
                </w:p>
              </w:tc>
              <w:tc>
                <w:tcPr>
                  <w:tcW w:w="800" w:type="pct"/>
                  <w:noWrap w:val="0"/>
                  <w:vAlign w:val="top"/>
                </w:tcPr>
                <w:p w14:paraId="359B000F">
                  <w:pPr>
                    <w:pStyle w:val="69"/>
                    <w:rPr>
                      <w:color w:val="auto"/>
                    </w:rPr>
                  </w:pPr>
                  <w:r>
                    <w:rPr>
                      <w:rFonts w:hint="eastAsia"/>
                      <w:color w:val="auto"/>
                      <w:lang w:val="en-US" w:eastAsia="zh-CN"/>
                    </w:rPr>
                    <w:t>2</w:t>
                  </w:r>
                  <w:r>
                    <w:rPr>
                      <w:rFonts w:hint="eastAsia"/>
                      <w:color w:val="auto"/>
                    </w:rPr>
                    <w:t>层生产区</w:t>
                  </w:r>
                </w:p>
              </w:tc>
            </w:tr>
            <w:tr w14:paraId="65D4D2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460" w:type="pct"/>
                  <w:noWrap w:val="0"/>
                  <w:vAlign w:val="center"/>
                </w:tcPr>
                <w:p w14:paraId="014B7629">
                  <w:pPr>
                    <w:pStyle w:val="69"/>
                    <w:rPr>
                      <w:rFonts w:eastAsia="等线"/>
                      <w:color w:val="auto"/>
                    </w:rPr>
                  </w:pPr>
                  <w:r>
                    <w:rPr>
                      <w:rFonts w:hint="eastAsia" w:eastAsia="等线"/>
                      <w:color w:val="auto"/>
                    </w:rPr>
                    <w:t>1</w:t>
                  </w:r>
                  <w:r>
                    <w:rPr>
                      <w:rFonts w:eastAsia="等线"/>
                      <w:color w:val="auto"/>
                    </w:rPr>
                    <w:t>8</w:t>
                  </w:r>
                </w:p>
              </w:tc>
              <w:tc>
                <w:tcPr>
                  <w:tcW w:w="1195" w:type="pct"/>
                  <w:noWrap w:val="0"/>
                  <w:vAlign w:val="center"/>
                </w:tcPr>
                <w:p w14:paraId="7D89D2B9">
                  <w:pPr>
                    <w:pStyle w:val="69"/>
                    <w:rPr>
                      <w:color w:val="auto"/>
                    </w:rPr>
                  </w:pPr>
                  <w:r>
                    <w:rPr>
                      <w:rFonts w:hint="eastAsia"/>
                      <w:color w:val="auto"/>
                    </w:rPr>
                    <w:t>立式窜动砂</w:t>
                  </w:r>
                </w:p>
              </w:tc>
              <w:tc>
                <w:tcPr>
                  <w:tcW w:w="1340" w:type="pct"/>
                  <w:noWrap w:val="0"/>
                  <w:vAlign w:val="center"/>
                </w:tcPr>
                <w:p w14:paraId="550A9FF7">
                  <w:pPr>
                    <w:pStyle w:val="69"/>
                    <w:rPr>
                      <w:rFonts w:eastAsia="等线"/>
                      <w:color w:val="auto"/>
                    </w:rPr>
                  </w:pPr>
                  <w:r>
                    <w:rPr>
                      <w:rFonts w:hint="eastAsia"/>
                      <w:color w:val="auto"/>
                    </w:rPr>
                    <w:t>MM2617</w:t>
                  </w:r>
                </w:p>
              </w:tc>
              <w:tc>
                <w:tcPr>
                  <w:tcW w:w="602" w:type="pct"/>
                  <w:noWrap w:val="0"/>
                  <w:vAlign w:val="center"/>
                </w:tcPr>
                <w:p w14:paraId="72700921">
                  <w:pPr>
                    <w:pStyle w:val="69"/>
                    <w:rPr>
                      <w:rFonts w:eastAsia="等线"/>
                      <w:color w:val="auto"/>
                    </w:rPr>
                  </w:pPr>
                  <w:r>
                    <w:rPr>
                      <w:rFonts w:hint="eastAsia"/>
                      <w:color w:val="auto"/>
                    </w:rPr>
                    <w:t>台</w:t>
                  </w:r>
                </w:p>
              </w:tc>
              <w:tc>
                <w:tcPr>
                  <w:tcW w:w="602" w:type="pct"/>
                  <w:noWrap w:val="0"/>
                  <w:vAlign w:val="center"/>
                </w:tcPr>
                <w:p w14:paraId="71541DD6">
                  <w:pPr>
                    <w:pStyle w:val="69"/>
                    <w:rPr>
                      <w:rFonts w:hint="eastAsia" w:eastAsia="等线"/>
                      <w:color w:val="auto"/>
                      <w:lang w:eastAsia="zh-CN"/>
                    </w:rPr>
                  </w:pPr>
                  <w:r>
                    <w:rPr>
                      <w:rFonts w:hint="eastAsia" w:eastAsia="等线"/>
                      <w:color w:val="auto"/>
                      <w:lang w:val="en-US" w:eastAsia="zh-CN"/>
                    </w:rPr>
                    <w:t>2</w:t>
                  </w:r>
                </w:p>
              </w:tc>
              <w:tc>
                <w:tcPr>
                  <w:tcW w:w="800" w:type="pct"/>
                  <w:noWrap w:val="0"/>
                  <w:vAlign w:val="top"/>
                </w:tcPr>
                <w:p w14:paraId="58D764D8">
                  <w:pPr>
                    <w:pStyle w:val="69"/>
                    <w:rPr>
                      <w:color w:val="auto"/>
                    </w:rPr>
                  </w:pPr>
                  <w:r>
                    <w:rPr>
                      <w:rFonts w:hint="eastAsia"/>
                      <w:color w:val="auto"/>
                      <w:lang w:val="en-US" w:eastAsia="zh-CN"/>
                    </w:rPr>
                    <w:t>2</w:t>
                  </w:r>
                  <w:r>
                    <w:rPr>
                      <w:rFonts w:hint="eastAsia"/>
                      <w:color w:val="auto"/>
                    </w:rPr>
                    <w:t>层生产区</w:t>
                  </w:r>
                </w:p>
              </w:tc>
            </w:tr>
            <w:bookmarkEnd w:id="17"/>
            <w:bookmarkEnd w:id="18"/>
          </w:tbl>
          <w:p w14:paraId="709B4D1C">
            <w:pPr>
              <w:pStyle w:val="54"/>
              <w:numPr>
                <w:ilvl w:val="-1"/>
                <w:numId w:val="0"/>
              </w:numPr>
              <w:rPr>
                <w:rFonts w:cs="Times New Roman"/>
                <w:color w:val="auto"/>
              </w:rPr>
            </w:pPr>
          </w:p>
          <w:p w14:paraId="394B2A27">
            <w:pPr>
              <w:pStyle w:val="54"/>
              <w:numPr>
                <w:ilvl w:val="-1"/>
                <w:numId w:val="0"/>
              </w:numPr>
              <w:rPr>
                <w:rFonts w:cs="Times New Roman"/>
                <w:color w:val="auto"/>
              </w:rPr>
            </w:pPr>
          </w:p>
          <w:p w14:paraId="6E1243A3">
            <w:pPr>
              <w:pStyle w:val="54"/>
              <w:numPr>
                <w:ilvl w:val="-1"/>
                <w:numId w:val="0"/>
              </w:numPr>
              <w:rPr>
                <w:rFonts w:cs="Times New Roman"/>
                <w:color w:val="auto"/>
              </w:rPr>
            </w:pPr>
          </w:p>
          <w:p w14:paraId="5D24E8AC">
            <w:pPr>
              <w:pStyle w:val="54"/>
              <w:numPr>
                <w:ilvl w:val="-1"/>
                <w:numId w:val="0"/>
              </w:numPr>
              <w:rPr>
                <w:rFonts w:cs="Times New Roman"/>
                <w:color w:val="auto"/>
              </w:rPr>
            </w:pPr>
            <w:r>
              <w:rPr>
                <w:rFonts w:hint="eastAsia" w:cs="Times New Roman"/>
                <w:color w:val="auto"/>
                <w:lang w:val="en-US" w:eastAsia="zh-CN"/>
              </w:rPr>
              <w:t>2.7</w:t>
            </w:r>
            <w:r>
              <w:rPr>
                <w:rFonts w:hint="eastAsia" w:cs="Times New Roman"/>
                <w:color w:val="auto"/>
                <w:lang w:eastAsia="zh-CN"/>
              </w:rPr>
              <w:t>物料平衡及</w:t>
            </w:r>
            <w:r>
              <w:rPr>
                <w:rFonts w:cs="Times New Roman"/>
                <w:color w:val="auto"/>
              </w:rPr>
              <w:t>水平衡</w:t>
            </w:r>
          </w:p>
          <w:p w14:paraId="17F95D90">
            <w:pPr>
              <w:pStyle w:val="62"/>
              <w:numPr>
                <w:ilvl w:val="-1"/>
                <w:numId w:val="0"/>
              </w:numPr>
              <w:ind w:left="210" w:firstLine="0"/>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2.7.1物料平衡</w:t>
            </w:r>
          </w:p>
          <w:p w14:paraId="02BD643F">
            <w:pPr>
              <w:pStyle w:val="62"/>
              <w:numPr>
                <w:ilvl w:val="-1"/>
                <w:numId w:val="0"/>
              </w:numPr>
              <w:ind w:left="210" w:firstLine="0"/>
              <w:jc w:val="center"/>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表2.7-1物料平衡表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2"/>
              <w:gridCol w:w="1467"/>
              <w:gridCol w:w="2045"/>
              <w:gridCol w:w="2045"/>
            </w:tblGrid>
            <w:tr w14:paraId="2269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9" w:type="dxa"/>
                  <w:gridSpan w:val="2"/>
                </w:tcPr>
                <w:p w14:paraId="29581A0C">
                  <w:pPr>
                    <w:pStyle w:val="62"/>
                    <w:numPr>
                      <w:ilvl w:val="-1"/>
                      <w:numId w:val="0"/>
                    </w:numPr>
                    <w:jc w:val="center"/>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进料</w:t>
                  </w:r>
                </w:p>
              </w:tc>
              <w:tc>
                <w:tcPr>
                  <w:tcW w:w="4090" w:type="dxa"/>
                  <w:gridSpan w:val="2"/>
                </w:tcPr>
                <w:p w14:paraId="59B1097A">
                  <w:pPr>
                    <w:pStyle w:val="62"/>
                    <w:numPr>
                      <w:ilvl w:val="-1"/>
                      <w:numId w:val="0"/>
                    </w:numPr>
                    <w:jc w:val="center"/>
                    <w:rPr>
                      <w:rFonts w:hint="eastAsia" w:ascii="Times New Roman" w:hAnsi="Times New Roman" w:cs="Times New Roman"/>
                      <w:color w:val="auto"/>
                      <w:sz w:val="24"/>
                      <w:szCs w:val="24"/>
                      <w:vertAlign w:val="baseline"/>
                      <w:lang w:val="en-US" w:eastAsia="zh-CN"/>
                    </w:rPr>
                  </w:pPr>
                  <w:r>
                    <w:rPr>
                      <w:rFonts w:hint="eastAsia" w:ascii="Times New Roman" w:hAnsi="Times New Roman" w:cs="Times New Roman"/>
                      <w:color w:val="auto"/>
                      <w:sz w:val="24"/>
                      <w:szCs w:val="24"/>
                      <w:vertAlign w:val="baseline"/>
                      <w:lang w:val="en-US" w:eastAsia="zh-CN"/>
                    </w:rPr>
                    <w:t>出料</w:t>
                  </w:r>
                </w:p>
              </w:tc>
            </w:tr>
            <w:tr w14:paraId="69D8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Align w:val="top"/>
                </w:tcPr>
                <w:p w14:paraId="1DDCD236">
                  <w:pPr>
                    <w:widowControl/>
                    <w:jc w:val="center"/>
                    <w:textAlignment w:val="center"/>
                    <w:rPr>
                      <w:rFonts w:hint="eastAsia" w:ascii="Times New Roman" w:hAnsi="Times New Roman" w:cs="Times New Roman"/>
                      <w:color w:val="auto"/>
                      <w:kern w:val="0"/>
                      <w:sz w:val="21"/>
                      <w:szCs w:val="21"/>
                      <w:u w:val="none"/>
                      <w:vertAlign w:val="baseline"/>
                      <w:lang w:val="en-US" w:eastAsia="zh-CN" w:bidi="ar"/>
                    </w:rPr>
                  </w:pPr>
                  <w:r>
                    <w:rPr>
                      <w:rFonts w:hint="eastAsia"/>
                      <w:color w:val="auto"/>
                      <w:kern w:val="0"/>
                      <w:szCs w:val="21"/>
                      <w:u w:val="none"/>
                      <w:lang w:bidi="ar"/>
                    </w:rPr>
                    <w:t>高密度聚乙烯（HDPE）</w:t>
                  </w:r>
                </w:p>
              </w:tc>
              <w:tc>
                <w:tcPr>
                  <w:tcW w:w="1467" w:type="dxa"/>
                  <w:vAlign w:val="center"/>
                </w:tcPr>
                <w:p w14:paraId="6EDCA9D5">
                  <w:pPr>
                    <w:keepNext w:val="0"/>
                    <w:keepLines w:val="0"/>
                    <w:widowControl/>
                    <w:suppressLineNumbers w:val="0"/>
                    <w:jc w:val="center"/>
                    <w:textAlignment w:val="center"/>
                    <w:rPr>
                      <w:rFonts w:hint="eastAsia" w:ascii="Times New Roman" w:hAnsi="Times New Roman" w:cs="Times New Roman"/>
                      <w:color w:val="auto"/>
                      <w:kern w:val="0"/>
                      <w:sz w:val="21"/>
                      <w:szCs w:val="21"/>
                      <w:u w:val="none"/>
                      <w:vertAlign w:val="baseline"/>
                      <w:lang w:val="en-US" w:eastAsia="zh-CN" w:bidi="ar"/>
                    </w:rPr>
                  </w:pPr>
                  <w:r>
                    <w:rPr>
                      <w:rFonts w:hint="eastAsia" w:cs="Times New Roman"/>
                      <w:i w:val="0"/>
                      <w:iCs w:val="0"/>
                      <w:color w:val="auto"/>
                      <w:kern w:val="0"/>
                      <w:sz w:val="21"/>
                      <w:szCs w:val="21"/>
                      <w:u w:val="none"/>
                      <w:lang w:val="en-US" w:eastAsia="zh-CN" w:bidi="ar"/>
                    </w:rPr>
                    <w:t>1797.4</w:t>
                  </w:r>
                </w:p>
              </w:tc>
              <w:tc>
                <w:tcPr>
                  <w:tcW w:w="2045" w:type="dxa"/>
                  <w:vAlign w:val="center"/>
                </w:tcPr>
                <w:p w14:paraId="510A7C40">
                  <w:pPr>
                    <w:pStyle w:val="30"/>
                    <w:rPr>
                      <w:rFonts w:hint="eastAsia" w:ascii="Times New Roman" w:hAnsi="Times New Roman" w:cs="Times New Roman"/>
                      <w:color w:val="auto"/>
                      <w:sz w:val="21"/>
                      <w:szCs w:val="21"/>
                      <w:vertAlign w:val="baseline"/>
                      <w:lang w:val="en-US" w:eastAsia="zh-CN"/>
                    </w:rPr>
                  </w:pPr>
                  <w:r>
                    <w:rPr>
                      <w:rFonts w:hint="eastAsia"/>
                      <w:color w:val="auto"/>
                      <w:szCs w:val="21"/>
                    </w:rPr>
                    <w:t>塑料板材</w:t>
                  </w:r>
                </w:p>
              </w:tc>
              <w:tc>
                <w:tcPr>
                  <w:tcW w:w="2045" w:type="dxa"/>
                  <w:vAlign w:val="center"/>
                </w:tcPr>
                <w:p w14:paraId="7516C194">
                  <w:pPr>
                    <w:pStyle w:val="30"/>
                    <w:rPr>
                      <w:rFonts w:hint="eastAsia" w:ascii="Times New Roman" w:hAnsi="Times New Roman" w:cs="Times New Roman"/>
                      <w:color w:val="auto"/>
                      <w:sz w:val="21"/>
                      <w:szCs w:val="21"/>
                      <w:vertAlign w:val="baseline"/>
                      <w:lang w:val="en-US" w:eastAsia="zh-CN"/>
                    </w:rPr>
                  </w:pPr>
                  <w:r>
                    <w:rPr>
                      <w:rFonts w:hint="eastAsia"/>
                      <w:color w:val="auto"/>
                      <w:szCs w:val="21"/>
                    </w:rPr>
                    <w:t>1</w:t>
                  </w:r>
                  <w:r>
                    <w:rPr>
                      <w:rFonts w:hint="eastAsia"/>
                      <w:color w:val="auto"/>
                      <w:szCs w:val="21"/>
                      <w:lang w:val="en-US" w:eastAsia="zh-CN"/>
                    </w:rPr>
                    <w:t>8</w:t>
                  </w:r>
                  <w:r>
                    <w:rPr>
                      <w:color w:val="auto"/>
                      <w:szCs w:val="21"/>
                    </w:rPr>
                    <w:t>0</w:t>
                  </w:r>
                  <w:r>
                    <w:rPr>
                      <w:rFonts w:hint="eastAsia"/>
                      <w:color w:val="auto"/>
                      <w:szCs w:val="21"/>
                    </w:rPr>
                    <w:t>t/a</w:t>
                  </w:r>
                </w:p>
              </w:tc>
            </w:tr>
            <w:tr w14:paraId="3E0C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622" w:type="dxa"/>
                  <w:vAlign w:val="top"/>
                </w:tcPr>
                <w:p w14:paraId="3C366C48">
                  <w:pPr>
                    <w:widowControl/>
                    <w:jc w:val="center"/>
                    <w:textAlignment w:val="center"/>
                    <w:rPr>
                      <w:rFonts w:hint="eastAsia" w:ascii="Times New Roman" w:hAnsi="Times New Roman" w:cs="Times New Roman"/>
                      <w:color w:val="auto"/>
                      <w:kern w:val="0"/>
                      <w:sz w:val="21"/>
                      <w:szCs w:val="21"/>
                      <w:u w:val="none"/>
                      <w:vertAlign w:val="baseline"/>
                      <w:lang w:val="en-US" w:eastAsia="zh-CN" w:bidi="ar"/>
                    </w:rPr>
                  </w:pPr>
                  <w:r>
                    <w:rPr>
                      <w:rFonts w:hint="eastAsia"/>
                      <w:color w:val="auto"/>
                      <w:kern w:val="0"/>
                      <w:szCs w:val="21"/>
                      <w:u w:val="none"/>
                      <w:lang w:bidi="ar"/>
                    </w:rPr>
                    <w:t>色母</w:t>
                  </w:r>
                </w:p>
              </w:tc>
              <w:tc>
                <w:tcPr>
                  <w:tcW w:w="1467" w:type="dxa"/>
                  <w:vAlign w:val="center"/>
                </w:tcPr>
                <w:p w14:paraId="1AEC315C">
                  <w:pPr>
                    <w:keepNext w:val="0"/>
                    <w:keepLines w:val="0"/>
                    <w:widowControl/>
                    <w:suppressLineNumbers w:val="0"/>
                    <w:jc w:val="center"/>
                    <w:textAlignment w:val="center"/>
                    <w:rPr>
                      <w:rFonts w:hint="eastAsia" w:ascii="Times New Roman" w:hAnsi="Times New Roman" w:cs="Times New Roman"/>
                      <w:color w:val="auto"/>
                      <w:kern w:val="0"/>
                      <w:sz w:val="21"/>
                      <w:szCs w:val="21"/>
                      <w:u w:val="none"/>
                      <w:vertAlign w:val="baseline"/>
                      <w:lang w:val="en-US" w:eastAsia="zh-CN" w:bidi="ar"/>
                    </w:rPr>
                  </w:pPr>
                  <w:r>
                    <w:rPr>
                      <w:rFonts w:hint="eastAsia" w:cs="Times New Roman"/>
                      <w:i w:val="0"/>
                      <w:iCs w:val="0"/>
                      <w:color w:val="auto"/>
                      <w:kern w:val="0"/>
                      <w:sz w:val="21"/>
                      <w:szCs w:val="21"/>
                      <w:u w:val="none"/>
                      <w:lang w:val="en-US" w:eastAsia="zh-CN" w:bidi="ar"/>
                    </w:rPr>
                    <w:t>71.9</w:t>
                  </w:r>
                </w:p>
              </w:tc>
              <w:tc>
                <w:tcPr>
                  <w:tcW w:w="2045" w:type="dxa"/>
                  <w:vAlign w:val="center"/>
                </w:tcPr>
                <w:p w14:paraId="15207C79">
                  <w:pPr>
                    <w:pStyle w:val="30"/>
                    <w:rPr>
                      <w:rFonts w:hint="eastAsia" w:ascii="Times New Roman" w:hAnsi="Times New Roman" w:cs="Times New Roman"/>
                      <w:color w:val="auto"/>
                      <w:sz w:val="21"/>
                      <w:szCs w:val="21"/>
                      <w:vertAlign w:val="baseline"/>
                      <w:lang w:val="en-US" w:eastAsia="zh-CN"/>
                    </w:rPr>
                  </w:pPr>
                  <w:r>
                    <w:rPr>
                      <w:rFonts w:hint="eastAsia"/>
                      <w:color w:val="auto"/>
                      <w:szCs w:val="21"/>
                    </w:rPr>
                    <w:t>塑料家具</w:t>
                  </w:r>
                </w:p>
              </w:tc>
              <w:tc>
                <w:tcPr>
                  <w:tcW w:w="2045" w:type="dxa"/>
                  <w:vAlign w:val="center"/>
                </w:tcPr>
                <w:p w14:paraId="5247CF52">
                  <w:pPr>
                    <w:pStyle w:val="30"/>
                    <w:rPr>
                      <w:rFonts w:hint="eastAsia" w:ascii="Times New Roman" w:hAnsi="Times New Roman" w:cs="Times New Roman"/>
                      <w:color w:val="auto"/>
                      <w:sz w:val="21"/>
                      <w:szCs w:val="21"/>
                      <w:vertAlign w:val="baseline"/>
                      <w:lang w:val="en-US" w:eastAsia="zh-CN"/>
                    </w:rPr>
                  </w:pPr>
                  <w:r>
                    <w:rPr>
                      <w:rFonts w:hint="eastAsia"/>
                      <w:color w:val="auto"/>
                      <w:szCs w:val="21"/>
                    </w:rPr>
                    <w:t>1</w:t>
                  </w:r>
                  <w:r>
                    <w:rPr>
                      <w:rFonts w:hint="eastAsia"/>
                      <w:color w:val="auto"/>
                      <w:szCs w:val="21"/>
                      <w:lang w:val="en-US" w:eastAsia="zh-CN"/>
                    </w:rPr>
                    <w:t>92</w:t>
                  </w:r>
                  <w:r>
                    <w:rPr>
                      <w:rFonts w:hint="eastAsia"/>
                      <w:color w:val="auto"/>
                      <w:szCs w:val="21"/>
                    </w:rPr>
                    <w:t>0t/a</w:t>
                  </w:r>
                </w:p>
              </w:tc>
            </w:tr>
            <w:tr w14:paraId="7873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Align w:val="center"/>
                </w:tcPr>
                <w:p w14:paraId="6525C61B">
                  <w:pPr>
                    <w:widowControl/>
                    <w:jc w:val="center"/>
                    <w:textAlignment w:val="center"/>
                    <w:rPr>
                      <w:rFonts w:hint="eastAsia" w:ascii="Times New Roman" w:hAnsi="Times New Roman" w:cs="Times New Roman"/>
                      <w:color w:val="auto"/>
                      <w:kern w:val="0"/>
                      <w:sz w:val="21"/>
                      <w:szCs w:val="21"/>
                      <w:u w:val="none"/>
                      <w:vertAlign w:val="baseline"/>
                      <w:lang w:val="en-US" w:eastAsia="zh-CN" w:bidi="ar"/>
                    </w:rPr>
                  </w:pPr>
                  <w:r>
                    <w:rPr>
                      <w:rFonts w:hint="eastAsia" w:ascii="Times New Roman" w:hAnsi="Times New Roman" w:cs="Times New Roman"/>
                      <w:color w:val="auto"/>
                      <w:kern w:val="0"/>
                      <w:szCs w:val="21"/>
                      <w:u w:val="none"/>
                      <w:lang w:bidi="ar"/>
                    </w:rPr>
                    <w:t>改性剂（碳酸钙粉）</w:t>
                  </w:r>
                </w:p>
              </w:tc>
              <w:tc>
                <w:tcPr>
                  <w:tcW w:w="1467" w:type="dxa"/>
                  <w:vAlign w:val="center"/>
                </w:tcPr>
                <w:p w14:paraId="0F0D58D8">
                  <w:pPr>
                    <w:keepNext w:val="0"/>
                    <w:keepLines w:val="0"/>
                    <w:widowControl/>
                    <w:suppressLineNumbers w:val="0"/>
                    <w:jc w:val="center"/>
                    <w:textAlignment w:val="center"/>
                    <w:rPr>
                      <w:rFonts w:hint="eastAsia" w:ascii="Times New Roman" w:hAnsi="Times New Roman" w:cs="Times New Roman"/>
                      <w:color w:val="auto"/>
                      <w:kern w:val="0"/>
                      <w:sz w:val="21"/>
                      <w:szCs w:val="21"/>
                      <w:u w:val="none"/>
                      <w:vertAlign w:val="baseline"/>
                      <w:lang w:val="en-US" w:eastAsia="zh-CN" w:bidi="ar"/>
                    </w:rPr>
                  </w:pPr>
                  <w:r>
                    <w:rPr>
                      <w:rFonts w:hint="eastAsia" w:cs="Times New Roman"/>
                      <w:i w:val="0"/>
                      <w:iCs w:val="0"/>
                      <w:color w:val="auto"/>
                      <w:kern w:val="0"/>
                      <w:sz w:val="21"/>
                      <w:szCs w:val="21"/>
                      <w:u w:val="none"/>
                      <w:lang w:val="en-US" w:eastAsia="zh-CN" w:bidi="ar"/>
                    </w:rPr>
                    <w:t>89.9</w:t>
                  </w:r>
                </w:p>
              </w:tc>
              <w:tc>
                <w:tcPr>
                  <w:tcW w:w="2045" w:type="dxa"/>
                </w:tcPr>
                <w:p w14:paraId="7EB61B9A">
                  <w:pPr>
                    <w:pStyle w:val="30"/>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颗粒物</w:t>
                  </w:r>
                </w:p>
              </w:tc>
              <w:tc>
                <w:tcPr>
                  <w:tcW w:w="2045" w:type="dxa"/>
                </w:tcPr>
                <w:p w14:paraId="301FA3F3">
                  <w:pPr>
                    <w:pStyle w:val="3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0.8</w:t>
                  </w:r>
                  <w:r>
                    <w:rPr>
                      <w:rFonts w:hint="eastAsia" w:cs="Times New Roman"/>
                      <w:color w:val="auto"/>
                      <w:sz w:val="21"/>
                      <w:szCs w:val="21"/>
                      <w:vertAlign w:val="baseline"/>
                      <w:lang w:val="en-US" w:eastAsia="zh-CN"/>
                    </w:rPr>
                    <w:t>581</w:t>
                  </w:r>
                </w:p>
              </w:tc>
            </w:tr>
            <w:tr w14:paraId="56DA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Align w:val="center"/>
                </w:tcPr>
                <w:p w14:paraId="6252DF9A">
                  <w:pPr>
                    <w:widowControl/>
                    <w:jc w:val="center"/>
                    <w:textAlignment w:val="center"/>
                    <w:rPr>
                      <w:rFonts w:hint="eastAsia" w:ascii="Times New Roman" w:hAnsi="Times New Roman" w:cs="Times New Roman"/>
                      <w:color w:val="auto"/>
                      <w:kern w:val="0"/>
                      <w:sz w:val="21"/>
                      <w:szCs w:val="21"/>
                      <w:u w:val="none"/>
                      <w:vertAlign w:val="baseline"/>
                      <w:lang w:val="en-US" w:eastAsia="zh-CN" w:bidi="ar"/>
                    </w:rPr>
                  </w:pPr>
                  <w:r>
                    <w:rPr>
                      <w:rFonts w:hint="eastAsia" w:ascii="Times New Roman" w:hAnsi="Times New Roman" w:cs="Times New Roman"/>
                      <w:color w:val="auto"/>
                      <w:kern w:val="0"/>
                      <w:szCs w:val="21"/>
                      <w:u w:val="none"/>
                      <w:lang w:bidi="ar"/>
                    </w:rPr>
                    <w:t>五金配件</w:t>
                  </w:r>
                </w:p>
              </w:tc>
              <w:tc>
                <w:tcPr>
                  <w:tcW w:w="1467" w:type="dxa"/>
                  <w:vAlign w:val="center"/>
                </w:tcPr>
                <w:p w14:paraId="4F216C05">
                  <w:pPr>
                    <w:keepNext w:val="0"/>
                    <w:keepLines w:val="0"/>
                    <w:widowControl/>
                    <w:suppressLineNumbers w:val="0"/>
                    <w:jc w:val="center"/>
                    <w:textAlignment w:val="center"/>
                    <w:rPr>
                      <w:rFonts w:hint="default" w:ascii="Times New Roman" w:hAnsi="Times New Roman" w:cs="Times New Roman"/>
                      <w:color w:val="auto"/>
                      <w:kern w:val="0"/>
                      <w:sz w:val="21"/>
                      <w:szCs w:val="21"/>
                      <w:u w:val="none"/>
                      <w:vertAlign w:val="baseline"/>
                      <w:lang w:val="en-US" w:eastAsia="zh-CN" w:bidi="ar"/>
                    </w:rPr>
                  </w:pPr>
                  <w:r>
                    <w:rPr>
                      <w:rFonts w:hint="eastAsia" w:cs="Times New Roman"/>
                      <w:color w:val="auto"/>
                      <w:kern w:val="0"/>
                      <w:sz w:val="21"/>
                      <w:szCs w:val="21"/>
                      <w:u w:val="none"/>
                      <w:vertAlign w:val="baseline"/>
                      <w:lang w:val="en-US" w:eastAsia="zh-CN" w:bidi="ar"/>
                    </w:rPr>
                    <w:t>354.9481</w:t>
                  </w:r>
                </w:p>
              </w:tc>
              <w:tc>
                <w:tcPr>
                  <w:tcW w:w="2045" w:type="dxa"/>
                </w:tcPr>
                <w:p w14:paraId="5B6B878F">
                  <w:pPr>
                    <w:pStyle w:val="30"/>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非甲烷总烃</w:t>
                  </w:r>
                </w:p>
              </w:tc>
              <w:tc>
                <w:tcPr>
                  <w:tcW w:w="2045" w:type="dxa"/>
                </w:tcPr>
                <w:p w14:paraId="1358AD94">
                  <w:pPr>
                    <w:pStyle w:val="30"/>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1.26</w:t>
                  </w:r>
                </w:p>
              </w:tc>
            </w:tr>
            <w:tr w14:paraId="60BA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Align w:val="center"/>
                </w:tcPr>
                <w:p w14:paraId="1A0A4D06">
                  <w:pPr>
                    <w:widowControl/>
                    <w:jc w:val="center"/>
                    <w:textAlignment w:val="center"/>
                    <w:rPr>
                      <w:rFonts w:hint="eastAsia" w:ascii="Times New Roman" w:hAnsi="Times New Roman" w:cs="Times New Roman"/>
                      <w:color w:val="auto"/>
                      <w:kern w:val="0"/>
                      <w:szCs w:val="21"/>
                      <w:u w:val="none"/>
                      <w:lang w:bidi="ar"/>
                    </w:rPr>
                  </w:pPr>
                </w:p>
              </w:tc>
              <w:tc>
                <w:tcPr>
                  <w:tcW w:w="1467" w:type="dxa"/>
                  <w:vAlign w:val="center"/>
                </w:tcPr>
                <w:p w14:paraId="3BDBB51D">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p>
              </w:tc>
              <w:tc>
                <w:tcPr>
                  <w:tcW w:w="2045" w:type="dxa"/>
                </w:tcPr>
                <w:p w14:paraId="4B4D1DE5">
                  <w:pPr>
                    <w:pStyle w:val="30"/>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收集的粉尘</w:t>
                  </w:r>
                </w:p>
              </w:tc>
              <w:tc>
                <w:tcPr>
                  <w:tcW w:w="2045" w:type="dxa"/>
                </w:tcPr>
                <w:p w14:paraId="68586541">
                  <w:pPr>
                    <w:pStyle w:val="30"/>
                    <w:jc w:val="center"/>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2.03</w:t>
                  </w:r>
                </w:p>
              </w:tc>
            </w:tr>
            <w:tr w14:paraId="47C8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2" w:type="dxa"/>
                  <w:vAlign w:val="center"/>
                </w:tcPr>
                <w:p w14:paraId="7A9D2731">
                  <w:pPr>
                    <w:widowControl/>
                    <w:jc w:val="center"/>
                    <w:textAlignment w:val="center"/>
                    <w:rPr>
                      <w:rFonts w:hint="eastAsia" w:ascii="Times New Roman" w:hAnsi="Times New Roman" w:cs="Times New Roman"/>
                      <w:color w:val="auto"/>
                      <w:kern w:val="0"/>
                      <w:szCs w:val="21"/>
                      <w:u w:val="none"/>
                      <w:lang w:bidi="ar"/>
                    </w:rPr>
                  </w:pPr>
                </w:p>
              </w:tc>
              <w:tc>
                <w:tcPr>
                  <w:tcW w:w="1467" w:type="dxa"/>
                  <w:vAlign w:val="center"/>
                </w:tcPr>
                <w:p w14:paraId="10E3CCF2">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p>
              </w:tc>
              <w:tc>
                <w:tcPr>
                  <w:tcW w:w="2045" w:type="dxa"/>
                </w:tcPr>
                <w:p w14:paraId="56F9A55C">
                  <w:pPr>
                    <w:pStyle w:val="30"/>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边角料、不合格品</w:t>
                  </w:r>
                </w:p>
              </w:tc>
              <w:tc>
                <w:tcPr>
                  <w:tcW w:w="2045" w:type="dxa"/>
                </w:tcPr>
                <w:p w14:paraId="019FBE68">
                  <w:pPr>
                    <w:pStyle w:val="30"/>
                    <w:jc w:val="center"/>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210</w:t>
                  </w:r>
                </w:p>
              </w:tc>
            </w:tr>
          </w:tbl>
          <w:p w14:paraId="24AA454B">
            <w:pPr>
              <w:pStyle w:val="62"/>
              <w:numPr>
                <w:ilvl w:val="-1"/>
                <w:numId w:val="0"/>
              </w:numPr>
              <w:ind w:left="210" w:firstLine="0"/>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2.7.2水平衡</w:t>
            </w:r>
          </w:p>
          <w:p w14:paraId="6AD8B89D">
            <w:pPr>
              <w:pStyle w:val="55"/>
              <w:rPr>
                <w:color w:val="auto"/>
                <w:sz w:val="24"/>
                <w:szCs w:val="24"/>
              </w:rPr>
            </w:pPr>
            <w:r>
              <w:rPr>
                <w:color w:val="auto"/>
                <w:sz w:val="24"/>
                <w:szCs w:val="24"/>
              </w:rPr>
              <w:t>（1）生活用水及生活污水分析</w:t>
            </w:r>
          </w:p>
          <w:p w14:paraId="49E22752">
            <w:pPr>
              <w:pStyle w:val="55"/>
              <w:rPr>
                <w:color w:val="auto"/>
                <w:sz w:val="24"/>
                <w:szCs w:val="24"/>
              </w:rPr>
            </w:pPr>
            <w:r>
              <w:rPr>
                <w:rFonts w:hint="eastAsia"/>
                <w:color w:val="auto"/>
                <w:sz w:val="24"/>
                <w:szCs w:val="24"/>
              </w:rPr>
              <w:t>生活用水由市政给水管网供给。</w:t>
            </w:r>
            <w:r>
              <w:rPr>
                <w:color w:val="auto"/>
                <w:sz w:val="24"/>
                <w:szCs w:val="24"/>
              </w:rPr>
              <w:t>本项目劳动定员</w:t>
            </w:r>
            <w:r>
              <w:rPr>
                <w:rFonts w:hint="eastAsia"/>
                <w:color w:val="auto"/>
                <w:sz w:val="24"/>
                <w:szCs w:val="24"/>
                <w:lang w:val="en-US" w:eastAsia="zh-CN"/>
              </w:rPr>
              <w:t>3</w:t>
            </w:r>
            <w:r>
              <w:rPr>
                <w:color w:val="auto"/>
                <w:sz w:val="24"/>
                <w:szCs w:val="24"/>
              </w:rPr>
              <w:t>0人，均不住厂，员工生活污水主要来自车间洗手间粪便污水；根据《建筑给水排水设计标准》（GB 50015-2019），不住厂员工生活用水取50L/班·人，年工作330天，则生活用水量为1</w:t>
            </w:r>
            <w:r>
              <w:rPr>
                <w:rFonts w:hint="eastAsia"/>
                <w:color w:val="auto"/>
                <w:sz w:val="24"/>
                <w:szCs w:val="24"/>
                <w:lang w:val="en-US" w:eastAsia="zh-CN"/>
              </w:rPr>
              <w:t>.5</w:t>
            </w:r>
            <w:r>
              <w:rPr>
                <w:color w:val="auto"/>
                <w:sz w:val="24"/>
                <w:szCs w:val="24"/>
              </w:rPr>
              <w:t>m</w:t>
            </w:r>
            <w:r>
              <w:rPr>
                <w:color w:val="auto"/>
                <w:sz w:val="24"/>
                <w:szCs w:val="24"/>
                <w:vertAlign w:val="superscript"/>
              </w:rPr>
              <w:t>3</w:t>
            </w:r>
            <w:r>
              <w:rPr>
                <w:color w:val="auto"/>
                <w:sz w:val="24"/>
                <w:szCs w:val="24"/>
              </w:rPr>
              <w:t>/</w:t>
            </w:r>
            <w:r>
              <w:rPr>
                <w:rFonts w:hint="eastAsia"/>
                <w:color w:val="auto"/>
                <w:sz w:val="24"/>
                <w:szCs w:val="24"/>
              </w:rPr>
              <w:t>d，</w:t>
            </w:r>
            <w:r>
              <w:rPr>
                <w:rFonts w:hint="eastAsia"/>
                <w:color w:val="auto"/>
                <w:sz w:val="24"/>
                <w:szCs w:val="24"/>
                <w:lang w:val="en-US" w:eastAsia="zh-CN"/>
              </w:rPr>
              <w:t>495</w:t>
            </w:r>
            <w:r>
              <w:rPr>
                <w:color w:val="auto"/>
                <w:sz w:val="24"/>
                <w:szCs w:val="24"/>
              </w:rPr>
              <w:t>m</w:t>
            </w:r>
            <w:r>
              <w:rPr>
                <w:color w:val="auto"/>
                <w:sz w:val="24"/>
                <w:szCs w:val="24"/>
                <w:vertAlign w:val="superscript"/>
              </w:rPr>
              <w:t>3</w:t>
            </w:r>
            <w:r>
              <w:rPr>
                <w:color w:val="auto"/>
                <w:sz w:val="24"/>
                <w:szCs w:val="24"/>
              </w:rPr>
              <w:t>/a；生活污水排放系数按80%计，则生活污水</w:t>
            </w:r>
            <w:r>
              <w:rPr>
                <w:rFonts w:hint="eastAsia"/>
                <w:color w:val="auto"/>
                <w:sz w:val="24"/>
                <w:szCs w:val="24"/>
              </w:rPr>
              <w:t>产生</w:t>
            </w:r>
            <w:r>
              <w:rPr>
                <w:color w:val="auto"/>
                <w:sz w:val="24"/>
                <w:szCs w:val="24"/>
              </w:rPr>
              <w:t>量约为</w:t>
            </w:r>
            <w:r>
              <w:rPr>
                <w:rFonts w:hint="eastAsia"/>
                <w:color w:val="auto"/>
                <w:sz w:val="24"/>
                <w:szCs w:val="24"/>
                <w:lang w:val="en-US" w:eastAsia="zh-CN"/>
              </w:rPr>
              <w:t>1.2</w:t>
            </w:r>
            <w:r>
              <w:rPr>
                <w:color w:val="auto"/>
                <w:sz w:val="24"/>
                <w:szCs w:val="24"/>
              </w:rPr>
              <w:t>m</w:t>
            </w:r>
            <w:r>
              <w:rPr>
                <w:color w:val="auto"/>
                <w:sz w:val="24"/>
                <w:szCs w:val="24"/>
                <w:vertAlign w:val="superscript"/>
              </w:rPr>
              <w:t>3</w:t>
            </w:r>
            <w:r>
              <w:rPr>
                <w:color w:val="auto"/>
                <w:sz w:val="24"/>
                <w:szCs w:val="24"/>
              </w:rPr>
              <w:t>/</w:t>
            </w:r>
            <w:r>
              <w:rPr>
                <w:rFonts w:hint="eastAsia"/>
                <w:color w:val="auto"/>
                <w:sz w:val="24"/>
                <w:szCs w:val="24"/>
              </w:rPr>
              <w:t>d，</w:t>
            </w:r>
            <w:r>
              <w:rPr>
                <w:rFonts w:hint="eastAsia"/>
                <w:color w:val="auto"/>
                <w:sz w:val="24"/>
                <w:szCs w:val="24"/>
                <w:lang w:val="en-US" w:eastAsia="zh-CN"/>
              </w:rPr>
              <w:t>396</w:t>
            </w:r>
            <w:r>
              <w:rPr>
                <w:color w:val="auto"/>
                <w:sz w:val="24"/>
                <w:szCs w:val="24"/>
              </w:rPr>
              <w:t>m</w:t>
            </w:r>
            <w:r>
              <w:rPr>
                <w:color w:val="auto"/>
                <w:sz w:val="24"/>
                <w:szCs w:val="24"/>
                <w:vertAlign w:val="superscript"/>
              </w:rPr>
              <w:t>3</w:t>
            </w:r>
            <w:r>
              <w:rPr>
                <w:color w:val="auto"/>
                <w:sz w:val="24"/>
                <w:szCs w:val="24"/>
              </w:rPr>
              <w:t>/</w:t>
            </w:r>
            <w:r>
              <w:rPr>
                <w:rFonts w:hint="eastAsia"/>
                <w:color w:val="auto"/>
                <w:sz w:val="24"/>
                <w:szCs w:val="24"/>
              </w:rPr>
              <w:t>a</w:t>
            </w:r>
            <w:r>
              <w:rPr>
                <w:color w:val="auto"/>
                <w:sz w:val="24"/>
                <w:szCs w:val="24"/>
              </w:rPr>
              <w:t>。</w:t>
            </w:r>
          </w:p>
          <w:p w14:paraId="31DFE487">
            <w:pPr>
              <w:pStyle w:val="55"/>
              <w:rPr>
                <w:color w:val="auto"/>
                <w:sz w:val="24"/>
                <w:szCs w:val="24"/>
              </w:rPr>
            </w:pPr>
            <w:r>
              <w:rPr>
                <w:color w:val="auto"/>
                <w:sz w:val="24"/>
                <w:szCs w:val="24"/>
              </w:rPr>
              <w:t>（2）生产用水及生产废水分析</w:t>
            </w:r>
          </w:p>
          <w:p w14:paraId="15F145A3">
            <w:pPr>
              <w:adjustRightInd w:val="0"/>
              <w:snapToGrid w:val="0"/>
              <w:spacing w:line="360" w:lineRule="auto"/>
              <w:ind w:firstLine="480" w:firstLineChars="200"/>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snapToGrid w:val="0"/>
                <w:color w:val="auto"/>
                <w:kern w:val="0"/>
                <w:sz w:val="24"/>
                <w:szCs w:val="24"/>
                <w:highlight w:val="none"/>
              </w:rPr>
              <w:t>拟建项目设置1套循环水冷却系统，用于</w:t>
            </w:r>
            <w:r>
              <w:rPr>
                <w:rFonts w:hint="eastAsia"/>
                <w:color w:val="auto"/>
                <w:sz w:val="24"/>
                <w:szCs w:val="24"/>
              </w:rPr>
              <w:t>挤压、成型</w:t>
            </w:r>
            <w:r>
              <w:rPr>
                <w:rFonts w:hint="default" w:ascii="Times New Roman" w:hAnsi="Times New Roman" w:eastAsia="宋体" w:cs="Times New Roman"/>
                <w:snapToGrid w:val="0"/>
                <w:color w:val="auto"/>
                <w:kern w:val="0"/>
                <w:sz w:val="24"/>
                <w:szCs w:val="24"/>
                <w:highlight w:val="none"/>
              </w:rPr>
              <w:t>设备间接冷却降温，冷凝介质为自来水，不添加任何药剂，冷却水经循环冷却水池冷却后，循环利用，</w:t>
            </w:r>
            <w:r>
              <w:rPr>
                <w:rFonts w:hint="default" w:ascii="Times New Roman" w:hAnsi="Times New Roman" w:eastAsia="宋体" w:cs="Times New Roman"/>
                <w:bCs/>
                <w:snapToGrid w:val="0"/>
                <w:color w:val="auto"/>
                <w:kern w:val="0"/>
                <w:sz w:val="24"/>
                <w:szCs w:val="24"/>
                <w:highlight w:val="none"/>
              </w:rPr>
              <w:t>循环水量为</w:t>
            </w:r>
            <w:r>
              <w:rPr>
                <w:rFonts w:hint="eastAsia" w:cs="Times New Roman"/>
                <w:bCs/>
                <w:snapToGrid w:val="0"/>
                <w:color w:val="auto"/>
                <w:kern w:val="0"/>
                <w:sz w:val="24"/>
                <w:szCs w:val="24"/>
                <w:highlight w:val="none"/>
                <w:lang w:val="en-US" w:eastAsia="zh-CN"/>
              </w:rPr>
              <w:t>8.25</w:t>
            </w:r>
            <w:r>
              <w:rPr>
                <w:rFonts w:hint="default" w:ascii="Times New Roman" w:hAnsi="Times New Roman" w:eastAsia="宋体" w:cs="Times New Roman"/>
                <w:bCs/>
                <w:snapToGrid w:val="0"/>
                <w:color w:val="auto"/>
                <w:kern w:val="0"/>
                <w:sz w:val="24"/>
                <w:szCs w:val="24"/>
                <w:highlight w:val="none"/>
              </w:rPr>
              <w:t>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/h（</w:t>
            </w:r>
            <w:r>
              <w:rPr>
                <w:rFonts w:hint="eastAsia" w:cs="Times New Roman"/>
                <w:bCs/>
                <w:snapToGrid w:val="0"/>
                <w:color w:val="auto"/>
                <w:kern w:val="0"/>
                <w:sz w:val="24"/>
                <w:szCs w:val="24"/>
                <w:highlight w:val="none"/>
                <w:lang w:val="en-US" w:eastAsia="zh-CN"/>
              </w:rPr>
              <w:t>21780</w:t>
            </w:r>
            <w:r>
              <w:rPr>
                <w:rFonts w:hint="default" w:ascii="Times New Roman" w:hAnsi="Times New Roman" w:eastAsia="宋体" w:cs="Times New Roman"/>
                <w:bCs/>
                <w:snapToGrid w:val="0"/>
                <w:color w:val="auto"/>
                <w:kern w:val="0"/>
                <w:sz w:val="24"/>
                <w:szCs w:val="24"/>
                <w:highlight w:val="none"/>
              </w:rPr>
              <w:t>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/a）。</w:t>
            </w:r>
          </w:p>
          <w:p w14:paraId="114F7EA3">
            <w:pPr>
              <w:snapToGrid w:val="0"/>
              <w:spacing w:line="360" w:lineRule="auto"/>
              <w:ind w:firstLine="480" w:firstLineChars="200"/>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根据《工业循环冷却水处理设计规范》（GB/T50050-2017），蒸发水量按下列公式计算：</w:t>
            </w:r>
          </w:p>
          <w:p w14:paraId="1E8D0E1C">
            <w:pPr>
              <w:snapToGrid w:val="0"/>
              <w:spacing w:line="360" w:lineRule="auto"/>
              <w:jc w:val="center"/>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Qm=Qe+Qb+Qw    公式1</w:t>
            </w:r>
          </w:p>
          <w:p w14:paraId="0A113AAC">
            <w:pPr>
              <w:snapToGrid w:val="0"/>
              <w:spacing w:line="360" w:lineRule="auto"/>
              <w:jc w:val="center"/>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Qm=（Qe.N）/（N-1）    公式2</w:t>
            </w:r>
          </w:p>
          <w:p w14:paraId="6D8AF9FC">
            <w:pPr>
              <w:snapToGrid w:val="0"/>
              <w:spacing w:line="360" w:lineRule="auto"/>
              <w:jc w:val="center"/>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Qe=k.Δt.Qr    公式3</w:t>
            </w:r>
          </w:p>
          <w:p w14:paraId="4D179719">
            <w:pPr>
              <w:snapToGrid w:val="0"/>
              <w:spacing w:line="360" w:lineRule="auto"/>
              <w:jc w:val="center"/>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N=Qm/（Qb+Qw）    公式4</w:t>
            </w:r>
          </w:p>
          <w:p w14:paraId="02EC3B82">
            <w:pPr>
              <w:snapToGrid w:val="0"/>
              <w:spacing w:line="360" w:lineRule="auto"/>
              <w:ind w:firstLine="480" w:firstLineChars="200"/>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式中：Qm-补充水量（m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/h）；</w:t>
            </w:r>
          </w:p>
          <w:p w14:paraId="187D523E">
            <w:pPr>
              <w:snapToGrid w:val="0"/>
              <w:spacing w:line="360" w:lineRule="auto"/>
              <w:ind w:firstLine="480" w:firstLineChars="200"/>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Qe－蒸发水量（m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/h）；</w:t>
            </w:r>
          </w:p>
          <w:p w14:paraId="63AC40F4">
            <w:pPr>
              <w:snapToGrid w:val="0"/>
              <w:spacing w:line="360" w:lineRule="auto"/>
              <w:ind w:firstLine="480" w:firstLineChars="200"/>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Qb－排污水量（m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/h）；</w:t>
            </w:r>
          </w:p>
          <w:p w14:paraId="4CBC1B28">
            <w:pPr>
              <w:snapToGrid w:val="0"/>
              <w:spacing w:line="360" w:lineRule="auto"/>
              <w:ind w:firstLine="480" w:firstLineChars="200"/>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Qw－风吹损失水量（m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/h），无除水器数据取0.5%Qr；</w:t>
            </w:r>
          </w:p>
          <w:p w14:paraId="2C947D98">
            <w:pPr>
              <w:snapToGrid w:val="0"/>
              <w:spacing w:line="360" w:lineRule="auto"/>
              <w:ind w:firstLine="480" w:firstLineChars="200"/>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N－浓缩倍数，直冷开式系统的设计浓缩倍数不宜小于3.0，间冷开式系统的设计浓缩倍数不宜小于5.0，拟建项目冷却方式为间接冷却，本次评价取5.0；</w:t>
            </w:r>
          </w:p>
          <w:p w14:paraId="73346E3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Qr－循环冷却水量（m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/h），本次评价取</w:t>
            </w:r>
            <w:r>
              <w:rPr>
                <w:rFonts w:hint="eastAsia" w:cs="Times New Roman"/>
                <w:bCs/>
                <w:snapToGrid w:val="0"/>
                <w:color w:val="auto"/>
                <w:kern w:val="0"/>
                <w:sz w:val="24"/>
                <w:szCs w:val="24"/>
                <w:highlight w:val="none"/>
                <w:lang w:val="en-US" w:eastAsia="zh-CN"/>
              </w:rPr>
              <w:t>8.25</w:t>
            </w:r>
            <w:r>
              <w:rPr>
                <w:rFonts w:hint="default" w:ascii="Times New Roman" w:hAnsi="Times New Roman" w:eastAsia="宋体" w:cs="Times New Roman"/>
                <w:bCs/>
                <w:snapToGrid w:val="0"/>
                <w:color w:val="auto"/>
                <w:kern w:val="0"/>
                <w:sz w:val="24"/>
                <w:szCs w:val="24"/>
                <w:highlight w:val="none"/>
              </w:rPr>
              <w:t>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/h；</w:t>
            </w:r>
          </w:p>
          <w:p w14:paraId="788B8AB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k－蒸发损失系数（1/℃），进塔大气温度取25℃，根据GB/T50050-2017表5.0.6中20℃及30℃蒸发损失系数，取0.00145；</w:t>
            </w:r>
          </w:p>
          <w:p w14:paraId="16EF162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Δt－循环冷却水进、出冷却水池温差（℃），本次评价以40℃计。</w:t>
            </w:r>
          </w:p>
          <w:p w14:paraId="2A68E97A">
            <w:pPr>
              <w:pStyle w:val="8"/>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计算得间冷开式循环冷却水系统蒸发水量为Qm：0.</w:t>
            </w:r>
            <w:r>
              <w:rPr>
                <w:rFonts w:hint="eastAsia" w:cs="Times New Roman"/>
                <w:bCs/>
                <w:snapToGrid w:val="0"/>
                <w:color w:val="auto"/>
                <w:kern w:val="0"/>
                <w:sz w:val="24"/>
                <w:szCs w:val="24"/>
                <w:highlight w:val="none"/>
                <w:lang w:val="en-US" w:eastAsia="zh-CN"/>
              </w:rPr>
              <w:t>5981</w:t>
            </w:r>
            <w:r>
              <w:rPr>
                <w:rFonts w:hint="default" w:ascii="Times New Roman" w:hAnsi="Times New Roman" w:eastAsia="宋体" w:cs="Times New Roman"/>
                <w:bCs/>
                <w:snapToGrid w:val="0"/>
                <w:color w:val="auto"/>
                <w:kern w:val="0"/>
                <w:sz w:val="24"/>
                <w:szCs w:val="24"/>
                <w:highlight w:val="none"/>
              </w:rPr>
              <w:t>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/h（</w:t>
            </w:r>
            <w:r>
              <w:rPr>
                <w:rFonts w:hint="eastAsia" w:cs="Times New Roman"/>
                <w:bCs/>
                <w:snapToGrid w:val="0"/>
                <w:color w:val="auto"/>
                <w:kern w:val="0"/>
                <w:sz w:val="24"/>
                <w:szCs w:val="24"/>
                <w:highlight w:val="none"/>
                <w:lang w:val="en-US" w:eastAsia="zh-CN"/>
              </w:rPr>
              <w:t>1579</w:t>
            </w:r>
            <w:r>
              <w:rPr>
                <w:rFonts w:hint="default" w:ascii="Times New Roman" w:hAnsi="Times New Roman" w:eastAsia="宋体" w:cs="Times New Roman"/>
                <w:bCs/>
                <w:snapToGrid w:val="0"/>
                <w:color w:val="auto"/>
                <w:kern w:val="0"/>
                <w:sz w:val="24"/>
                <w:szCs w:val="24"/>
                <w:highlight w:val="none"/>
              </w:rPr>
              <w:t>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/a）、Qe：0.</w:t>
            </w:r>
            <w:r>
              <w:rPr>
                <w:rFonts w:hint="eastAsia" w:cs="Times New Roman"/>
                <w:bCs/>
                <w:snapToGrid w:val="0"/>
                <w:color w:val="auto"/>
                <w:kern w:val="0"/>
                <w:sz w:val="24"/>
                <w:szCs w:val="24"/>
                <w:highlight w:val="none"/>
                <w:lang w:val="en-US" w:eastAsia="zh-CN"/>
              </w:rPr>
              <w:t>4785</w:t>
            </w:r>
            <w:r>
              <w:rPr>
                <w:rFonts w:hint="default" w:ascii="Times New Roman" w:hAnsi="Times New Roman" w:eastAsia="宋体" w:cs="Times New Roman"/>
                <w:bCs/>
                <w:snapToGrid w:val="0"/>
                <w:color w:val="auto"/>
                <w:kern w:val="0"/>
                <w:sz w:val="24"/>
                <w:szCs w:val="24"/>
                <w:highlight w:val="none"/>
              </w:rPr>
              <w:t>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/h（</w:t>
            </w:r>
            <w:r>
              <w:rPr>
                <w:rFonts w:hint="eastAsia" w:cs="Times New Roman"/>
                <w:bCs/>
                <w:snapToGrid w:val="0"/>
                <w:color w:val="auto"/>
                <w:kern w:val="0"/>
                <w:sz w:val="24"/>
                <w:szCs w:val="24"/>
                <w:highlight w:val="none"/>
                <w:lang w:val="en-US" w:eastAsia="zh-CN"/>
              </w:rPr>
              <w:t>1263</w:t>
            </w:r>
            <w:r>
              <w:rPr>
                <w:rFonts w:hint="default" w:ascii="Times New Roman" w:hAnsi="Times New Roman" w:eastAsia="宋体" w:cs="Times New Roman"/>
                <w:bCs/>
                <w:snapToGrid w:val="0"/>
                <w:color w:val="auto"/>
                <w:kern w:val="0"/>
                <w:sz w:val="24"/>
                <w:szCs w:val="24"/>
                <w:highlight w:val="none"/>
              </w:rPr>
              <w:t>.</w:t>
            </w:r>
            <w:r>
              <w:rPr>
                <w:rFonts w:hint="eastAsia" w:cs="Times New Roman"/>
                <w:bCs/>
                <w:snapToGrid w:val="0"/>
                <w:color w:val="auto"/>
                <w:kern w:val="0"/>
                <w:sz w:val="24"/>
                <w:szCs w:val="24"/>
                <w:highlight w:val="none"/>
                <w:lang w:val="en-US" w:eastAsia="zh-CN"/>
              </w:rPr>
              <w:t>2</w:t>
            </w:r>
            <w:r>
              <w:rPr>
                <w:rFonts w:hint="default" w:ascii="Times New Roman" w:hAnsi="Times New Roman" w:eastAsia="宋体" w:cs="Times New Roman"/>
                <w:bCs/>
                <w:snapToGrid w:val="0"/>
                <w:color w:val="auto"/>
                <w:kern w:val="0"/>
                <w:sz w:val="24"/>
                <w:szCs w:val="24"/>
                <w:highlight w:val="none"/>
              </w:rPr>
              <w:t>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/a）、Qw：0.0</w:t>
            </w:r>
            <w:r>
              <w:rPr>
                <w:rFonts w:hint="eastAsia" w:cs="Times New Roman"/>
                <w:bCs/>
                <w:snapToGrid w:val="0"/>
                <w:color w:val="auto"/>
                <w:kern w:val="0"/>
                <w:sz w:val="24"/>
                <w:szCs w:val="24"/>
                <w:highlight w:val="none"/>
                <w:lang w:val="en-US" w:eastAsia="zh-CN"/>
              </w:rPr>
              <w:t>413</w:t>
            </w:r>
            <w:r>
              <w:rPr>
                <w:rFonts w:hint="default" w:ascii="Times New Roman" w:hAnsi="Times New Roman" w:eastAsia="宋体" w:cs="Times New Roman"/>
                <w:bCs/>
                <w:snapToGrid w:val="0"/>
                <w:color w:val="auto"/>
                <w:kern w:val="0"/>
                <w:sz w:val="24"/>
                <w:szCs w:val="24"/>
                <w:highlight w:val="none"/>
              </w:rPr>
              <w:t>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/h（</w:t>
            </w:r>
            <w:r>
              <w:rPr>
                <w:rFonts w:hint="eastAsia" w:cs="Times New Roman"/>
                <w:bCs/>
                <w:snapToGrid w:val="0"/>
                <w:color w:val="auto"/>
                <w:kern w:val="0"/>
                <w:sz w:val="24"/>
                <w:szCs w:val="24"/>
                <w:highlight w:val="none"/>
                <w:lang w:val="en-US" w:eastAsia="zh-CN"/>
              </w:rPr>
              <w:t>109</w:t>
            </w:r>
            <w:r>
              <w:rPr>
                <w:rFonts w:hint="default" w:ascii="Times New Roman" w:hAnsi="Times New Roman" w:eastAsia="宋体" w:cs="Times New Roman"/>
                <w:bCs/>
                <w:snapToGrid w:val="0"/>
                <w:color w:val="auto"/>
                <w:kern w:val="0"/>
                <w:sz w:val="24"/>
                <w:szCs w:val="24"/>
                <w:highlight w:val="none"/>
              </w:rPr>
              <w:t>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/a）、Qb：0.0</w:t>
            </w:r>
            <w:r>
              <w:rPr>
                <w:rFonts w:hint="eastAsia" w:cs="Times New Roman"/>
                <w:bCs/>
                <w:snapToGrid w:val="0"/>
                <w:color w:val="auto"/>
                <w:kern w:val="0"/>
                <w:sz w:val="24"/>
                <w:szCs w:val="24"/>
                <w:highlight w:val="none"/>
                <w:lang w:val="en-US" w:eastAsia="zh-CN"/>
              </w:rPr>
              <w:t>7835</w:t>
            </w:r>
            <w:r>
              <w:rPr>
                <w:rFonts w:hint="default" w:ascii="Times New Roman" w:hAnsi="Times New Roman" w:eastAsia="宋体" w:cs="Times New Roman"/>
                <w:bCs/>
                <w:snapToGrid w:val="0"/>
                <w:color w:val="auto"/>
                <w:kern w:val="0"/>
                <w:sz w:val="24"/>
                <w:szCs w:val="24"/>
                <w:highlight w:val="none"/>
              </w:rPr>
              <w:t>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/h（</w:t>
            </w:r>
            <w:r>
              <w:rPr>
                <w:rFonts w:hint="eastAsia" w:cs="Times New Roman"/>
                <w:bCs/>
                <w:snapToGrid w:val="0"/>
                <w:color w:val="auto"/>
                <w:kern w:val="0"/>
                <w:sz w:val="24"/>
                <w:szCs w:val="24"/>
                <w:highlight w:val="none"/>
                <w:lang w:val="en-US" w:eastAsia="zh-CN"/>
              </w:rPr>
              <w:t>206</w:t>
            </w:r>
            <w:r>
              <w:rPr>
                <w:rFonts w:hint="default" w:ascii="Times New Roman" w:hAnsi="Times New Roman" w:eastAsia="宋体" w:cs="Times New Roman"/>
                <w:bCs/>
                <w:snapToGrid w:val="0"/>
                <w:color w:val="auto"/>
                <w:kern w:val="0"/>
                <w:sz w:val="24"/>
                <w:szCs w:val="24"/>
                <w:highlight w:val="none"/>
              </w:rPr>
              <w:t>.</w:t>
            </w:r>
            <w:r>
              <w:rPr>
                <w:rFonts w:hint="eastAsia" w:cs="Times New Roman"/>
                <w:bCs/>
                <w:snapToGrid w:val="0"/>
                <w:color w:val="auto"/>
                <w:kern w:val="0"/>
                <w:sz w:val="24"/>
                <w:szCs w:val="24"/>
                <w:highlight w:val="none"/>
                <w:lang w:val="en-US" w:eastAsia="zh-CN"/>
              </w:rPr>
              <w:t>8</w:t>
            </w:r>
            <w:r>
              <w:rPr>
                <w:rFonts w:hint="default" w:ascii="Times New Roman" w:hAnsi="Times New Roman" w:eastAsia="宋体" w:cs="Times New Roman"/>
                <w:bCs/>
                <w:snapToGrid w:val="0"/>
                <w:color w:val="auto"/>
                <w:kern w:val="0"/>
                <w:sz w:val="24"/>
                <w:szCs w:val="24"/>
                <w:highlight w:val="none"/>
              </w:rPr>
              <w:t>m</w:t>
            </w:r>
            <w:r>
              <w:rPr>
                <w:rFonts w:hint="default" w:ascii="Times New Roman" w:hAnsi="Times New Roman" w:eastAsia="宋体" w:cs="Times New Roman"/>
                <w:bCs/>
                <w:snapToGrid w:val="0"/>
                <w:color w:val="auto"/>
                <w:kern w:val="0"/>
                <w:sz w:val="24"/>
                <w:szCs w:val="24"/>
                <w:highlight w:val="none"/>
                <w:vertAlign w:val="superscript"/>
              </w:rPr>
              <w:t>3</w:t>
            </w:r>
            <w:r>
              <w:rPr>
                <w:rFonts w:hint="default" w:ascii="Times New Roman" w:hAnsi="Times New Roman" w:eastAsia="宋体" w:cs="Times New Roman"/>
                <w:bCs/>
                <w:snapToGrid w:val="0"/>
                <w:color w:val="auto"/>
                <w:kern w:val="0"/>
                <w:sz w:val="24"/>
                <w:szCs w:val="24"/>
                <w:highlight w:val="none"/>
              </w:rPr>
              <w:t>/a）</w:t>
            </w:r>
          </w:p>
          <w:p w14:paraId="5189196F">
            <w:pPr>
              <w:pStyle w:val="8"/>
              <w:keepNext w:val="0"/>
              <w:keepLines w:val="0"/>
              <w:pageBreakBefore w:val="0"/>
              <w:widowControl w:val="0"/>
              <w:kinsoku/>
              <w:wordWrap/>
              <w:overflowPunct/>
              <w:topLinePunct w:val="0"/>
              <w:autoSpaceDE/>
              <w:autoSpaceDN/>
              <w:bidi w:val="0"/>
              <w:adjustRightInd/>
              <w:spacing w:line="360" w:lineRule="auto"/>
              <w:jc w:val="center"/>
              <w:textAlignment w:val="auto"/>
              <w:rPr>
                <w:color w:val="auto"/>
              </w:rPr>
            </w:pPr>
            <w:r>
              <w:rPr>
                <w:rFonts w:hint="eastAsia" w:ascii="Times New Roman" w:hAnsi="Times New Roman" w:eastAsia="宋体" w:cs="Times New Roman"/>
                <w:bCs/>
                <w:snapToGrid w:val="0"/>
                <w:color w:val="auto"/>
                <w:kern w:val="0"/>
                <w:sz w:val="24"/>
                <w:szCs w:val="24"/>
                <w:highlight w:val="none"/>
                <w:lang w:eastAsia="zh-CN"/>
              </w:rPr>
              <w:drawing>
                <wp:inline distT="0" distB="0" distL="114300" distR="114300">
                  <wp:extent cx="5076825" cy="1866900"/>
                  <wp:effectExtent l="0" t="0" r="9525" b="0"/>
                  <wp:docPr id="117" name="图片 117" descr="715c7b50-0d19-43ec-b52f-a947fe07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715c7b50-0d19-43ec-b52f-a947fe078256"/>
                          <pic:cNvPicPr>
                            <a:picLocks noChangeAspect="1"/>
                          </pic:cNvPicPr>
                        </pic:nvPicPr>
                        <pic:blipFill>
                          <a:blip r:embed="rId21"/>
                          <a:stretch>
                            <a:fillRect/>
                          </a:stretch>
                        </pic:blipFill>
                        <pic:spPr>
                          <a:xfrm>
                            <a:off x="0" y="0"/>
                            <a:ext cx="5076825" cy="1866900"/>
                          </a:xfrm>
                          <a:prstGeom prst="rect">
                            <a:avLst/>
                          </a:prstGeom>
                        </pic:spPr>
                      </pic:pic>
                    </a:graphicData>
                  </a:graphic>
                </wp:inline>
              </w:drawing>
            </w:r>
          </w:p>
          <w:p w14:paraId="5C0EDD18">
            <w:pPr>
              <w:pStyle w:val="88"/>
              <w:rPr>
                <w:color w:val="auto"/>
                <w:sz w:val="24"/>
                <w:szCs w:val="24"/>
              </w:rPr>
            </w:pPr>
            <w:r>
              <w:rPr>
                <w:color w:val="auto"/>
                <w:sz w:val="24"/>
                <w:szCs w:val="24"/>
              </w:rPr>
              <w:t>水平衡图    单位：m³/</w:t>
            </w:r>
            <w:r>
              <w:rPr>
                <w:rFonts w:hint="eastAsia"/>
                <w:color w:val="auto"/>
                <w:sz w:val="24"/>
                <w:szCs w:val="24"/>
              </w:rPr>
              <w:t>a</w:t>
            </w:r>
          </w:p>
          <w:p w14:paraId="69C9B8AD">
            <w:pPr>
              <w:pStyle w:val="54"/>
              <w:rPr>
                <w:rFonts w:cs="Times New Roman"/>
                <w:color w:val="auto"/>
              </w:rPr>
            </w:pPr>
            <w:r>
              <w:rPr>
                <w:rFonts w:cs="Times New Roman"/>
                <w:color w:val="auto"/>
              </w:rPr>
              <w:t>厂区总平面布置</w:t>
            </w:r>
          </w:p>
          <w:p w14:paraId="58AB236D">
            <w:pPr>
              <w:pStyle w:val="55"/>
              <w:rPr>
                <w:color w:val="auto"/>
                <w:sz w:val="24"/>
                <w:szCs w:val="24"/>
              </w:rPr>
            </w:pPr>
            <w:r>
              <w:rPr>
                <w:color w:val="auto"/>
                <w:sz w:val="24"/>
                <w:szCs w:val="24"/>
              </w:rPr>
              <w:t>项目</w:t>
            </w:r>
            <w:r>
              <w:rPr>
                <w:rFonts w:hint="eastAsia"/>
                <w:color w:val="auto"/>
                <w:sz w:val="24"/>
                <w:szCs w:val="24"/>
              </w:rPr>
              <w:t>租赁</w:t>
            </w:r>
            <w:ins w:id="0" w:author="微微一笑" w:date="2026-08-06T09:51:45Z">
              <w:r>
                <w:rPr>
                  <w:rFonts w:hint="eastAsia"/>
                  <w:color w:val="auto"/>
                  <w:sz w:val="24"/>
                  <w:szCs w:val="24"/>
                  <w:lang w:eastAsia="zh-CN"/>
                  <w:rPrChange w:id="1" w:author="微微一笑" w:date="2026-08-10T16:38:26Z">
                    <w:rPr>
                      <w:rFonts w:hint="eastAsia"/>
                      <w:color w:val="auto"/>
                      <w:sz w:val="24"/>
                      <w:szCs w:val="24"/>
                      <w:lang w:eastAsia="zh-CN"/>
                    </w:rPr>
                  </w:rPrChange>
                </w:rPr>
                <w:t>位于</w:t>
              </w:r>
            </w:ins>
            <w:r>
              <w:rPr>
                <w:rFonts w:hint="eastAsia"/>
                <w:color w:val="auto"/>
                <w:sz w:val="24"/>
                <w:szCs w:val="24"/>
              </w:rPr>
              <w:t>福州市闽</w:t>
            </w:r>
            <w:r>
              <w:rPr>
                <w:rFonts w:hint="eastAsia"/>
                <w:color w:val="auto"/>
                <w:sz w:val="24"/>
                <w:szCs w:val="24"/>
              </w:rPr>
              <w:t>侯县经济技术开发区二期南岭路1号3#楼</w:t>
            </w:r>
            <w:r>
              <w:rPr>
                <w:color w:val="auto"/>
                <w:sz w:val="24"/>
                <w:szCs w:val="24"/>
              </w:rPr>
              <w:t>，</w:t>
            </w:r>
            <w:r>
              <w:rPr>
                <w:rFonts w:hint="eastAsia"/>
                <w:color w:val="auto"/>
                <w:sz w:val="24"/>
                <w:szCs w:val="24"/>
              </w:rPr>
              <w:t>租赁</w:t>
            </w:r>
            <w:r>
              <w:rPr>
                <w:rFonts w:hint="eastAsia"/>
                <w:color w:val="auto"/>
                <w:sz w:val="24"/>
                <w:szCs w:val="24"/>
                <w:lang w:val="en-US" w:eastAsia="zh-CN"/>
              </w:rPr>
              <w:t>1</w:t>
            </w:r>
            <w:r>
              <w:rPr>
                <w:rFonts w:hint="eastAsia"/>
                <w:color w:val="auto"/>
                <w:sz w:val="24"/>
                <w:szCs w:val="24"/>
              </w:rPr>
              <w:t>层</w:t>
            </w:r>
            <w:r>
              <w:rPr>
                <w:rFonts w:hint="eastAsia"/>
                <w:color w:val="auto"/>
                <w:sz w:val="24"/>
                <w:szCs w:val="24"/>
                <w:lang w:eastAsia="zh-CN"/>
              </w:rPr>
              <w:t>局部</w:t>
            </w:r>
            <w:r>
              <w:rPr>
                <w:rFonts w:hint="eastAsia"/>
                <w:color w:val="auto"/>
                <w:sz w:val="24"/>
                <w:szCs w:val="24"/>
              </w:rPr>
              <w:t>（</w:t>
            </w:r>
            <w:r>
              <w:rPr>
                <w:rFonts w:hint="eastAsia"/>
                <w:color w:val="auto"/>
                <w:sz w:val="24"/>
                <w:szCs w:val="24"/>
                <w:lang w:val="en-US" w:eastAsia="zh-CN"/>
              </w:rPr>
              <w:t>2625</w:t>
            </w:r>
            <w:r>
              <w:rPr>
                <w:rFonts w:hint="eastAsia"/>
                <w:color w:val="auto"/>
                <w:sz w:val="24"/>
                <w:szCs w:val="24"/>
              </w:rPr>
              <w:t>m</w:t>
            </w:r>
            <w:r>
              <w:rPr>
                <w:color w:val="auto"/>
                <w:sz w:val="24"/>
                <w:szCs w:val="24"/>
                <w:vertAlign w:val="superscript"/>
              </w:rPr>
              <w:t>2</w:t>
            </w:r>
            <w:r>
              <w:rPr>
                <w:rFonts w:hint="eastAsia"/>
                <w:color w:val="auto"/>
                <w:sz w:val="24"/>
                <w:szCs w:val="24"/>
              </w:rPr>
              <w:t>）、</w:t>
            </w:r>
            <w:r>
              <w:rPr>
                <w:rFonts w:hint="eastAsia"/>
                <w:color w:val="auto"/>
                <w:sz w:val="24"/>
                <w:szCs w:val="24"/>
                <w:lang w:val="en-US" w:eastAsia="zh-CN"/>
              </w:rPr>
              <w:t>2</w:t>
            </w:r>
            <w:r>
              <w:rPr>
                <w:rFonts w:hint="eastAsia"/>
                <w:color w:val="auto"/>
                <w:sz w:val="24"/>
                <w:szCs w:val="24"/>
              </w:rPr>
              <w:t>层（</w:t>
            </w:r>
            <w:r>
              <w:rPr>
                <w:rFonts w:hint="eastAsia"/>
                <w:color w:val="auto"/>
                <w:sz w:val="24"/>
                <w:szCs w:val="24"/>
                <w:lang w:val="en-US" w:eastAsia="zh-CN"/>
              </w:rPr>
              <w:t>7125</w:t>
            </w:r>
            <w:r>
              <w:rPr>
                <w:rFonts w:hint="eastAsia"/>
                <w:color w:val="auto"/>
                <w:sz w:val="24"/>
                <w:szCs w:val="24"/>
              </w:rPr>
              <w:t>m</w:t>
            </w:r>
            <w:r>
              <w:rPr>
                <w:color w:val="auto"/>
                <w:sz w:val="24"/>
                <w:szCs w:val="24"/>
                <w:vertAlign w:val="superscript"/>
              </w:rPr>
              <w:t>2</w:t>
            </w:r>
            <w:r>
              <w:rPr>
                <w:rFonts w:hint="eastAsia"/>
                <w:color w:val="auto"/>
                <w:sz w:val="24"/>
                <w:szCs w:val="24"/>
              </w:rPr>
              <w:t>），</w:t>
            </w:r>
            <w:bookmarkStart w:id="57" w:name="_GoBack"/>
            <w:bookmarkEnd w:id="57"/>
            <w:r>
              <w:rPr>
                <w:rFonts w:hint="eastAsia"/>
                <w:color w:val="auto"/>
                <w:sz w:val="24"/>
                <w:szCs w:val="24"/>
              </w:rPr>
              <w:t>合计</w:t>
            </w:r>
            <w:r>
              <w:rPr>
                <w:rFonts w:hint="eastAsia"/>
                <w:color w:val="auto"/>
                <w:sz w:val="24"/>
                <w:szCs w:val="24"/>
                <w:lang w:val="en-US" w:eastAsia="zh-CN"/>
              </w:rPr>
              <w:t>9750</w:t>
            </w:r>
            <w:r>
              <w:rPr>
                <w:rFonts w:hint="eastAsia"/>
                <w:color w:val="auto"/>
                <w:sz w:val="24"/>
                <w:szCs w:val="24"/>
              </w:rPr>
              <w:t>m</w:t>
            </w:r>
            <w:r>
              <w:rPr>
                <w:color w:val="auto"/>
                <w:sz w:val="24"/>
                <w:szCs w:val="24"/>
                <w:vertAlign w:val="superscript"/>
              </w:rPr>
              <w:t>2</w:t>
            </w:r>
            <w:r>
              <w:rPr>
                <w:rFonts w:hint="eastAsia"/>
                <w:color w:val="auto"/>
                <w:sz w:val="24"/>
                <w:szCs w:val="24"/>
              </w:rPr>
              <w:t>，作为生产车间，建设高密度聚乙烯板材及户外家具生产线</w:t>
            </w:r>
            <w:r>
              <w:rPr>
                <w:color w:val="auto"/>
                <w:sz w:val="24"/>
                <w:szCs w:val="24"/>
              </w:rPr>
              <w:t>。</w:t>
            </w:r>
          </w:p>
          <w:p w14:paraId="017D67DD">
            <w:pPr>
              <w:pStyle w:val="55"/>
              <w:rPr>
                <w:rFonts w:hint="eastAsia" w:eastAsia="宋体"/>
                <w:color w:val="auto"/>
                <w:sz w:val="24"/>
                <w:szCs w:val="24"/>
                <w:lang w:val="en-US" w:eastAsia="zh-CN"/>
              </w:rPr>
            </w:pPr>
            <w:r>
              <w:rPr>
                <w:rFonts w:hint="eastAsia"/>
                <w:color w:val="auto"/>
                <w:sz w:val="24"/>
                <w:szCs w:val="24"/>
              </w:rPr>
              <w:t>生产车间</w:t>
            </w:r>
            <w:r>
              <w:rPr>
                <w:color w:val="auto"/>
                <w:sz w:val="24"/>
                <w:szCs w:val="24"/>
              </w:rPr>
              <w:t>布置：</w:t>
            </w:r>
            <w:r>
              <w:rPr>
                <w:rFonts w:hint="eastAsia"/>
                <w:color w:val="auto"/>
                <w:sz w:val="24"/>
                <w:szCs w:val="24"/>
              </w:rPr>
              <w:t>1层生产车间布置</w:t>
            </w:r>
            <w:r>
              <w:rPr>
                <w:rFonts w:hint="eastAsia"/>
                <w:color w:val="auto"/>
                <w:sz w:val="24"/>
                <w:szCs w:val="24"/>
                <w:lang w:eastAsia="zh-CN"/>
              </w:rPr>
              <w:t>配件区、家具加工区、成品组装区、办公室、成品库区</w:t>
            </w:r>
            <w:r>
              <w:rPr>
                <w:rFonts w:hint="eastAsia"/>
                <w:color w:val="auto"/>
                <w:sz w:val="24"/>
                <w:szCs w:val="24"/>
              </w:rPr>
              <w:t>，</w:t>
            </w:r>
            <w:r>
              <w:rPr>
                <w:rFonts w:hint="eastAsia"/>
                <w:color w:val="auto"/>
                <w:sz w:val="24"/>
                <w:szCs w:val="24"/>
                <w:lang w:val="en-US" w:eastAsia="zh-CN"/>
              </w:rPr>
              <w:t>2</w:t>
            </w:r>
            <w:r>
              <w:rPr>
                <w:rFonts w:hint="eastAsia"/>
                <w:color w:val="auto"/>
                <w:sz w:val="24"/>
                <w:szCs w:val="24"/>
              </w:rPr>
              <w:t>层生产车间布置破碎</w:t>
            </w:r>
            <w:r>
              <w:rPr>
                <w:rFonts w:hint="eastAsia"/>
                <w:color w:val="auto"/>
                <w:sz w:val="24"/>
                <w:szCs w:val="24"/>
                <w:lang w:eastAsia="zh-CN"/>
              </w:rPr>
              <w:t>车间</w:t>
            </w:r>
            <w:r>
              <w:rPr>
                <w:rFonts w:hint="eastAsia"/>
                <w:color w:val="auto"/>
                <w:sz w:val="24"/>
                <w:szCs w:val="24"/>
              </w:rPr>
              <w:t>、挤压成型</w:t>
            </w:r>
            <w:r>
              <w:rPr>
                <w:rFonts w:hint="eastAsia"/>
                <w:color w:val="auto"/>
                <w:sz w:val="24"/>
                <w:szCs w:val="24"/>
                <w:lang w:eastAsia="zh-CN"/>
              </w:rPr>
              <w:t>车间、</w:t>
            </w:r>
            <w:r>
              <w:rPr>
                <w:rFonts w:hint="eastAsia"/>
                <w:color w:val="auto"/>
                <w:sz w:val="24"/>
                <w:szCs w:val="24"/>
              </w:rPr>
              <w:t>原</w:t>
            </w:r>
            <w:r>
              <w:rPr>
                <w:rFonts w:hint="eastAsia"/>
                <w:color w:val="auto"/>
                <w:sz w:val="24"/>
                <w:szCs w:val="24"/>
                <w:lang w:eastAsia="zh-CN"/>
              </w:rPr>
              <w:t>辅材料车间</w:t>
            </w:r>
            <w:r>
              <w:rPr>
                <w:rFonts w:hint="eastAsia"/>
                <w:color w:val="auto"/>
                <w:sz w:val="24"/>
                <w:szCs w:val="24"/>
              </w:rPr>
              <w:t>、</w:t>
            </w:r>
            <w:r>
              <w:rPr>
                <w:rFonts w:hint="eastAsia"/>
                <w:color w:val="auto"/>
                <w:sz w:val="24"/>
                <w:szCs w:val="24"/>
                <w:lang w:eastAsia="zh-CN"/>
              </w:rPr>
              <w:t>机加工车间、</w:t>
            </w:r>
            <w:r>
              <w:rPr>
                <w:rFonts w:hint="eastAsia"/>
                <w:color w:val="auto"/>
                <w:sz w:val="24"/>
                <w:szCs w:val="24"/>
              </w:rPr>
              <w:t>半成品</w:t>
            </w:r>
            <w:r>
              <w:rPr>
                <w:rFonts w:hint="eastAsia"/>
                <w:color w:val="auto"/>
                <w:sz w:val="24"/>
                <w:szCs w:val="24"/>
                <w:lang w:eastAsia="zh-CN"/>
              </w:rPr>
              <w:t>库</w:t>
            </w:r>
            <w:r>
              <w:rPr>
                <w:rFonts w:hint="eastAsia"/>
                <w:color w:val="auto"/>
                <w:sz w:val="24"/>
                <w:szCs w:val="24"/>
              </w:rPr>
              <w:t>区</w:t>
            </w:r>
            <w:r>
              <w:rPr>
                <w:rFonts w:hint="eastAsia"/>
                <w:color w:val="auto"/>
                <w:sz w:val="24"/>
                <w:szCs w:val="24"/>
                <w:lang w:eastAsia="zh-CN"/>
              </w:rPr>
              <w:t>、成品车间、空压机、配电房</w:t>
            </w:r>
            <w:r>
              <w:rPr>
                <w:rFonts w:hint="eastAsia"/>
                <w:color w:val="auto"/>
                <w:sz w:val="24"/>
                <w:szCs w:val="24"/>
                <w:lang w:val="en-US" w:eastAsia="zh-CN"/>
              </w:rPr>
              <w:t>。</w:t>
            </w:r>
          </w:p>
          <w:p w14:paraId="3579E234">
            <w:pPr>
              <w:pStyle w:val="55"/>
              <w:rPr>
                <w:rFonts w:hint="eastAsia"/>
                <w:color w:val="auto"/>
                <w:sz w:val="11"/>
                <w:szCs w:val="11"/>
              </w:rPr>
            </w:pPr>
            <w:r>
              <w:rPr>
                <w:color w:val="auto"/>
                <w:sz w:val="24"/>
                <w:szCs w:val="24"/>
              </w:rPr>
              <w:t>环保设施位置：危险废物暂存间</w:t>
            </w:r>
            <w:r>
              <w:rPr>
                <w:rFonts w:hint="eastAsia"/>
                <w:color w:val="auto"/>
                <w:sz w:val="24"/>
                <w:szCs w:val="24"/>
              </w:rPr>
              <w:t>、</w:t>
            </w:r>
            <w:r>
              <w:rPr>
                <w:color w:val="auto"/>
                <w:sz w:val="24"/>
                <w:szCs w:val="24"/>
              </w:rPr>
              <w:t>一般</w:t>
            </w:r>
            <w:r>
              <w:rPr>
                <w:rFonts w:hint="eastAsia"/>
                <w:iCs/>
                <w:color w:val="auto"/>
                <w:sz w:val="24"/>
                <w:szCs w:val="24"/>
              </w:rPr>
              <w:t>工业</w:t>
            </w:r>
            <w:r>
              <w:rPr>
                <w:color w:val="auto"/>
                <w:sz w:val="24"/>
                <w:szCs w:val="24"/>
              </w:rPr>
              <w:t>固废暂存</w:t>
            </w:r>
            <w:r>
              <w:rPr>
                <w:rFonts w:hint="eastAsia"/>
                <w:color w:val="auto"/>
                <w:sz w:val="24"/>
                <w:szCs w:val="24"/>
              </w:rPr>
              <w:t>间</w:t>
            </w:r>
            <w:r>
              <w:rPr>
                <w:color w:val="auto"/>
                <w:sz w:val="24"/>
                <w:szCs w:val="24"/>
              </w:rPr>
              <w:t>位于</w:t>
            </w:r>
            <w:r>
              <w:rPr>
                <w:rFonts w:hint="eastAsia"/>
                <w:color w:val="auto"/>
                <w:sz w:val="24"/>
                <w:szCs w:val="24"/>
                <w:lang w:eastAsia="zh-CN"/>
              </w:rPr>
              <w:t>二</w:t>
            </w:r>
            <w:r>
              <w:rPr>
                <w:rFonts w:hint="eastAsia"/>
                <w:color w:val="auto"/>
                <w:sz w:val="24"/>
                <w:szCs w:val="24"/>
              </w:rPr>
              <w:t>层生产车间南侧</w:t>
            </w:r>
            <w:r>
              <w:rPr>
                <w:color w:val="auto"/>
                <w:sz w:val="24"/>
                <w:szCs w:val="24"/>
              </w:rPr>
              <w:t>，</w:t>
            </w:r>
            <w:r>
              <w:rPr>
                <w:rFonts w:hint="eastAsia"/>
                <w:color w:val="auto"/>
                <w:sz w:val="24"/>
                <w:szCs w:val="24"/>
              </w:rPr>
              <w:t>挤压成型废气处理设施位于厂房</w:t>
            </w:r>
            <w:r>
              <w:rPr>
                <w:color w:val="auto"/>
                <w:sz w:val="24"/>
                <w:szCs w:val="24"/>
              </w:rPr>
              <w:t>北侧</w:t>
            </w:r>
            <w:r>
              <w:rPr>
                <w:rFonts w:hint="eastAsia"/>
                <w:color w:val="auto"/>
                <w:sz w:val="24"/>
                <w:szCs w:val="24"/>
              </w:rPr>
              <w:t>外</w:t>
            </w:r>
            <w:r>
              <w:rPr>
                <w:color w:val="auto"/>
                <w:sz w:val="24"/>
                <w:szCs w:val="24"/>
              </w:rPr>
              <w:t>地面，</w:t>
            </w:r>
            <w:r>
              <w:rPr>
                <w:rFonts w:hint="eastAsia"/>
                <w:color w:val="auto"/>
                <w:sz w:val="24"/>
                <w:szCs w:val="24"/>
              </w:rPr>
              <w:t>破碎粉尘</w:t>
            </w:r>
            <w:r>
              <w:rPr>
                <w:color w:val="auto"/>
                <w:sz w:val="24"/>
                <w:szCs w:val="24"/>
              </w:rPr>
              <w:t>除尘设备位于</w:t>
            </w:r>
            <w:r>
              <w:rPr>
                <w:rFonts w:hint="eastAsia"/>
                <w:color w:val="auto"/>
                <w:sz w:val="24"/>
                <w:szCs w:val="24"/>
              </w:rPr>
              <w:t>破碎设备旁</w:t>
            </w:r>
            <w:r>
              <w:rPr>
                <w:color w:val="auto"/>
                <w:sz w:val="24"/>
                <w:szCs w:val="24"/>
              </w:rPr>
              <w:t>。详见</w:t>
            </w:r>
            <w:r>
              <w:rPr>
                <w:rFonts w:hint="eastAsia"/>
                <w:color w:val="auto"/>
                <w:sz w:val="24"/>
                <w:szCs w:val="24"/>
              </w:rPr>
              <w:t>附图</w:t>
            </w:r>
            <w:r>
              <w:rPr>
                <w:rFonts w:hint="eastAsia"/>
                <w:color w:val="auto"/>
                <w:sz w:val="24"/>
                <w:szCs w:val="24"/>
                <w:lang w:val="en-US" w:eastAsia="zh-CN"/>
              </w:rPr>
              <w:t>4</w:t>
            </w:r>
            <w:r>
              <w:rPr>
                <w:color w:val="auto"/>
                <w:sz w:val="24"/>
                <w:szCs w:val="24"/>
              </w:rPr>
              <w:t>。</w:t>
            </w:r>
          </w:p>
        </w:tc>
      </w:tr>
    </w:tbl>
    <w:p w14:paraId="41DF51AD">
      <w:pPr>
        <w:rPr>
          <w:color w:val="auto"/>
        </w:rPr>
        <w:sectPr>
          <w:pgSz w:w="11906" w:h="16838"/>
          <w:pgMar w:top="1531" w:right="1531" w:bottom="1531" w:left="1531" w:header="851" w:footer="850" w:gutter="0"/>
          <w:pgBorders>
            <w:top w:val="none" w:sz="0" w:space="0"/>
            <w:left w:val="none" w:sz="0" w:space="0"/>
            <w:bottom w:val="none" w:sz="0" w:space="0"/>
            <w:right w:val="none" w:sz="0" w:space="0"/>
          </w:pgBorders>
          <w:cols w:space="0" w:num="1"/>
          <w:rtlGutter w:val="0"/>
          <w:docGrid w:type="lines" w:linePitch="312" w:charSpace="0"/>
        </w:sectPr>
      </w:pP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634"/>
      </w:tblGrid>
      <w:tr w14:paraId="0CBE72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noWrap w:val="0"/>
            <w:vAlign w:val="center"/>
          </w:tcPr>
          <w:p w14:paraId="6BFC4B0D">
            <w:pPr>
              <w:pStyle w:val="20"/>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工艺流程和产排污环节</w:t>
            </w:r>
          </w:p>
        </w:tc>
        <w:tc>
          <w:tcPr>
            <w:tcW w:w="8634" w:type="dxa"/>
            <w:noWrap w:val="0"/>
            <w:vAlign w:val="center"/>
          </w:tcPr>
          <w:p w14:paraId="4589342E">
            <w:pPr>
              <w:pStyle w:val="54"/>
              <w:jc w:val="both"/>
              <w:rPr>
                <w:rFonts w:cs="Times New Roman"/>
                <w:color w:val="auto"/>
                <w:sz w:val="24"/>
                <w:szCs w:val="24"/>
              </w:rPr>
            </w:pPr>
            <w:r>
              <w:rPr>
                <w:rFonts w:cs="Times New Roman"/>
                <w:color w:val="auto"/>
                <w:sz w:val="24"/>
                <w:szCs w:val="24"/>
              </w:rPr>
              <w:t>工艺流程和产污环节</w:t>
            </w:r>
          </w:p>
          <w:p w14:paraId="0E26E098">
            <w:pPr>
              <w:pStyle w:val="62"/>
              <w:ind w:left="210"/>
              <w:jc w:val="both"/>
              <w:rPr>
                <w:rFonts w:ascii="Times New Roman" w:hAnsi="Times New Roman" w:cs="Times New Roman"/>
                <w:color w:val="auto"/>
                <w:sz w:val="24"/>
                <w:szCs w:val="24"/>
              </w:rPr>
            </w:pPr>
            <w:r>
              <w:rPr>
                <w:rFonts w:ascii="Times New Roman" w:hAnsi="Times New Roman" w:cs="Times New Roman"/>
                <w:color w:val="auto"/>
                <w:sz w:val="24"/>
                <w:szCs w:val="24"/>
              </w:rPr>
              <w:t>工艺流程</w:t>
            </w:r>
          </w:p>
          <w:p w14:paraId="02CC8459">
            <w:pPr>
              <w:pStyle w:val="55"/>
              <w:rPr>
                <w:color w:val="auto"/>
                <w:sz w:val="24"/>
                <w:szCs w:val="24"/>
              </w:rPr>
            </w:pPr>
            <w:r>
              <w:rPr>
                <w:color w:val="auto"/>
                <w:sz w:val="24"/>
                <w:szCs w:val="24"/>
              </w:rPr>
              <w:t>本项目</w:t>
            </w:r>
            <w:r>
              <w:rPr>
                <w:rFonts w:hint="eastAsia"/>
                <w:color w:val="auto"/>
                <w:sz w:val="24"/>
                <w:szCs w:val="24"/>
              </w:rPr>
              <w:t>生产</w:t>
            </w:r>
            <w:r>
              <w:rPr>
                <w:color w:val="auto"/>
                <w:sz w:val="24"/>
                <w:szCs w:val="24"/>
              </w:rPr>
              <w:t>工艺流程见</w:t>
            </w:r>
            <w:r>
              <w:rPr>
                <w:color w:val="auto"/>
                <w:sz w:val="24"/>
                <w:szCs w:val="24"/>
              </w:rPr>
              <w:fldChar w:fldCharType="begin"/>
            </w:r>
            <w:r>
              <w:rPr>
                <w:color w:val="auto"/>
                <w:sz w:val="24"/>
                <w:szCs w:val="24"/>
              </w:rPr>
              <w:instrText xml:space="preserve"> REF _Ref78448269 \r \h  \* MERGEFORMAT </w:instrText>
            </w:r>
            <w:r>
              <w:rPr>
                <w:color w:val="auto"/>
                <w:sz w:val="24"/>
                <w:szCs w:val="24"/>
              </w:rPr>
              <w:fldChar w:fldCharType="separate"/>
            </w:r>
            <w:r>
              <w:rPr>
                <w:rFonts w:hint="eastAsia"/>
                <w:color w:val="auto"/>
                <w:sz w:val="24"/>
                <w:szCs w:val="24"/>
              </w:rPr>
              <w:t>图2.</w:t>
            </w:r>
            <w:r>
              <w:rPr>
                <w:rFonts w:hint="eastAsia"/>
                <w:color w:val="auto"/>
                <w:sz w:val="24"/>
                <w:szCs w:val="24"/>
                <w:lang w:val="en-US" w:eastAsia="zh-CN"/>
              </w:rPr>
              <w:t>9</w:t>
            </w:r>
            <w:r>
              <w:rPr>
                <w:rFonts w:hint="eastAsia"/>
                <w:color w:val="auto"/>
                <w:sz w:val="24"/>
                <w:szCs w:val="24"/>
              </w:rPr>
              <w:t>-1</w:t>
            </w:r>
            <w:r>
              <w:rPr>
                <w:color w:val="auto"/>
                <w:sz w:val="24"/>
                <w:szCs w:val="24"/>
              </w:rPr>
              <w:fldChar w:fldCharType="end"/>
            </w:r>
            <w:r>
              <w:rPr>
                <w:color w:val="auto"/>
                <w:sz w:val="24"/>
                <w:szCs w:val="24"/>
              </w:rPr>
              <w:t>。</w:t>
            </w:r>
            <w:bookmarkStart w:id="19" w:name="_Hlk89856123"/>
          </w:p>
          <w:p w14:paraId="3013A0F7">
            <w:pPr>
              <w:pStyle w:val="30"/>
              <w:rPr>
                <w:rFonts w:hint="eastAsia" w:eastAsia="宋体"/>
                <w:color w:val="auto"/>
                <w:lang w:eastAsia="zh-CN"/>
              </w:rPr>
            </w:pPr>
            <w:bookmarkStart w:id="20" w:name="_Hlk78213551"/>
            <w:r>
              <w:rPr>
                <w:rFonts w:hint="eastAsia" w:eastAsia="宋体"/>
                <w:color w:val="auto"/>
                <w:lang w:eastAsia="zh-CN"/>
              </w:rPr>
              <w:drawing>
                <wp:inline distT="0" distB="0" distL="114300" distR="114300">
                  <wp:extent cx="5305425" cy="4962525"/>
                  <wp:effectExtent l="0" t="0" r="9525" b="9525"/>
                  <wp:docPr id="91" name="图片 91" descr="艾迪图片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艾迪图片副本"/>
                          <pic:cNvPicPr>
                            <a:picLocks noChangeAspect="1"/>
                          </pic:cNvPicPr>
                        </pic:nvPicPr>
                        <pic:blipFill>
                          <a:blip r:embed="rId22"/>
                          <a:stretch>
                            <a:fillRect/>
                          </a:stretch>
                        </pic:blipFill>
                        <pic:spPr>
                          <a:xfrm>
                            <a:off x="0" y="0"/>
                            <a:ext cx="5305425" cy="4962525"/>
                          </a:xfrm>
                          <a:prstGeom prst="rect">
                            <a:avLst/>
                          </a:prstGeom>
                        </pic:spPr>
                      </pic:pic>
                    </a:graphicData>
                  </a:graphic>
                </wp:inline>
              </w:drawing>
            </w:r>
          </w:p>
          <w:p w14:paraId="1C61193E">
            <w:pPr>
              <w:pStyle w:val="88"/>
              <w:rPr>
                <w:color w:val="auto"/>
                <w:highlight w:val="none"/>
              </w:rPr>
            </w:pPr>
            <w:bookmarkStart w:id="21" w:name="_Ref78448269"/>
            <w:r>
              <w:rPr>
                <w:rFonts w:hint="eastAsia"/>
                <w:color w:val="auto"/>
                <w:sz w:val="24"/>
                <w:szCs w:val="24"/>
                <w:highlight w:val="none"/>
              </w:rPr>
              <w:t>生产工艺流程图</w:t>
            </w:r>
            <w:bookmarkEnd w:id="21"/>
          </w:p>
          <w:p w14:paraId="5D22E2BA">
            <w:pPr>
              <w:pStyle w:val="30"/>
              <w:spacing w:line="360" w:lineRule="auto"/>
              <w:ind w:firstLine="480" w:firstLineChars="200"/>
              <w:jc w:val="both"/>
              <w:rPr>
                <w:color w:val="auto"/>
                <w:sz w:val="24"/>
                <w:szCs w:val="24"/>
              </w:rPr>
            </w:pPr>
            <w:r>
              <w:rPr>
                <w:rFonts w:hint="eastAsia"/>
                <w:color w:val="auto"/>
                <w:sz w:val="24"/>
                <w:szCs w:val="24"/>
              </w:rPr>
              <w:t>（1）原料</w:t>
            </w:r>
          </w:p>
          <w:p w14:paraId="5352BF3E">
            <w:pPr>
              <w:pStyle w:val="30"/>
              <w:spacing w:line="360" w:lineRule="auto"/>
              <w:ind w:firstLine="480" w:firstLineChars="200"/>
              <w:jc w:val="both"/>
              <w:rPr>
                <w:rFonts w:hint="eastAsia" w:eastAsia="宋体"/>
                <w:color w:val="auto"/>
                <w:sz w:val="24"/>
                <w:szCs w:val="24"/>
                <w:lang w:val="en-US" w:eastAsia="zh-CN"/>
              </w:rPr>
            </w:pPr>
            <w:r>
              <w:rPr>
                <w:rFonts w:hint="eastAsia"/>
                <w:color w:val="auto"/>
                <w:sz w:val="24"/>
                <w:szCs w:val="24"/>
              </w:rPr>
              <w:t>本项目板材及户外家具生产原料主要为高密度聚乙烯颗粒、色母、碳酸钙粉，配比比例高密度聚乙烯颗粒：色母：改性剂（碳酸钙粉）为</w:t>
            </w:r>
            <w:r>
              <w:rPr>
                <w:color w:val="auto"/>
                <w:sz w:val="24"/>
                <w:szCs w:val="24"/>
              </w:rPr>
              <w:t>100</w:t>
            </w:r>
            <w:r>
              <w:rPr>
                <w:rFonts w:hint="eastAsia"/>
                <w:color w:val="auto"/>
                <w:sz w:val="24"/>
                <w:szCs w:val="24"/>
              </w:rPr>
              <w:t>:</w:t>
            </w:r>
            <w:r>
              <w:rPr>
                <w:color w:val="auto"/>
                <w:sz w:val="24"/>
                <w:szCs w:val="24"/>
              </w:rPr>
              <w:t>4</w:t>
            </w:r>
            <w:r>
              <w:rPr>
                <w:rFonts w:hint="eastAsia"/>
                <w:color w:val="auto"/>
                <w:sz w:val="24"/>
                <w:szCs w:val="24"/>
              </w:rPr>
              <w:t>:</w:t>
            </w:r>
            <w:r>
              <w:rPr>
                <w:color w:val="auto"/>
                <w:sz w:val="24"/>
                <w:szCs w:val="24"/>
              </w:rPr>
              <w:t>5</w:t>
            </w:r>
            <w:r>
              <w:rPr>
                <w:rFonts w:hint="eastAsia"/>
                <w:color w:val="auto"/>
                <w:sz w:val="24"/>
                <w:szCs w:val="24"/>
              </w:rPr>
              <w:t>，原料外购，部分高密度聚乙烯为</w:t>
            </w:r>
            <w:r>
              <w:rPr>
                <w:rFonts w:hint="eastAsia"/>
                <w:color w:val="auto"/>
                <w:sz w:val="24"/>
                <w:szCs w:val="24"/>
                <w:lang w:eastAsia="zh-CN"/>
              </w:rPr>
              <w:t>本</w:t>
            </w:r>
            <w:r>
              <w:rPr>
                <w:rFonts w:hint="eastAsia"/>
                <w:color w:val="auto"/>
                <w:sz w:val="24"/>
                <w:szCs w:val="24"/>
              </w:rPr>
              <w:t>项目边角料、</w:t>
            </w:r>
            <w:r>
              <w:rPr>
                <w:rFonts w:hint="eastAsia"/>
                <w:color w:val="auto"/>
                <w:sz w:val="24"/>
                <w:szCs w:val="24"/>
                <w:lang w:eastAsia="zh-CN"/>
              </w:rPr>
              <w:t>不合格</w:t>
            </w:r>
            <w:r>
              <w:rPr>
                <w:rFonts w:hint="eastAsia"/>
                <w:color w:val="auto"/>
                <w:sz w:val="24"/>
                <w:szCs w:val="24"/>
              </w:rPr>
              <w:t>品</w:t>
            </w:r>
            <w:r>
              <w:rPr>
                <w:rFonts w:hint="eastAsia"/>
                <w:color w:val="auto"/>
                <w:sz w:val="24"/>
                <w:szCs w:val="24"/>
                <w:lang w:eastAsia="zh-CN"/>
              </w:rPr>
              <w:t>破碎后</w:t>
            </w:r>
            <w:r>
              <w:rPr>
                <w:rFonts w:hint="eastAsia"/>
                <w:color w:val="auto"/>
                <w:sz w:val="24"/>
                <w:szCs w:val="24"/>
              </w:rPr>
              <w:t>重新加工利用。</w:t>
            </w:r>
          </w:p>
          <w:p w14:paraId="77A044C8">
            <w:pPr>
              <w:pStyle w:val="30"/>
              <w:numPr>
                <w:ilvl w:val="0"/>
                <w:numId w:val="5"/>
              </w:numPr>
              <w:spacing w:line="360" w:lineRule="auto"/>
              <w:ind w:firstLine="480" w:firstLineChars="200"/>
              <w:jc w:val="both"/>
              <w:rPr>
                <w:rFonts w:hint="eastAsia"/>
                <w:color w:val="auto"/>
                <w:kern w:val="2"/>
                <w:sz w:val="24"/>
                <w:szCs w:val="24"/>
                <w:lang w:val="en-US" w:eastAsia="zh-CN"/>
              </w:rPr>
            </w:pPr>
            <w:r>
              <w:rPr>
                <w:rFonts w:hint="eastAsia"/>
                <w:color w:val="auto"/>
                <w:kern w:val="2"/>
                <w:sz w:val="24"/>
                <w:szCs w:val="24"/>
                <w:lang w:eastAsia="zh-CN"/>
              </w:rPr>
              <w:t>称量、</w:t>
            </w:r>
            <w:r>
              <w:rPr>
                <w:rFonts w:hint="eastAsia"/>
                <w:color w:val="auto"/>
                <w:kern w:val="2"/>
                <w:sz w:val="24"/>
                <w:szCs w:val="24"/>
                <w:lang w:val="en-US" w:eastAsia="zh-CN"/>
              </w:rPr>
              <w:t>上料、混料</w:t>
            </w:r>
          </w:p>
          <w:p w14:paraId="0D39BDDB">
            <w:pPr>
              <w:pStyle w:val="30"/>
              <w:spacing w:line="360" w:lineRule="auto"/>
              <w:ind w:firstLine="480" w:firstLineChars="200"/>
              <w:jc w:val="both"/>
              <w:rPr>
                <w:rFonts w:hint="eastAsia"/>
                <w:color w:val="auto"/>
                <w:sz w:val="24"/>
                <w:szCs w:val="24"/>
                <w:lang w:val="en-US" w:eastAsia="zh-CN"/>
              </w:rPr>
            </w:pPr>
            <w:r>
              <w:rPr>
                <w:rFonts w:hint="eastAsia"/>
                <w:color w:val="auto"/>
                <w:kern w:val="2"/>
                <w:sz w:val="24"/>
                <w:szCs w:val="24"/>
                <w:lang w:val="en-US" w:eastAsia="zh-CN"/>
              </w:rPr>
              <w:t>将</w:t>
            </w:r>
            <w:r>
              <w:rPr>
                <w:rFonts w:hint="eastAsia"/>
                <w:color w:val="auto"/>
                <w:sz w:val="24"/>
                <w:szCs w:val="24"/>
              </w:rPr>
              <w:t>高密度聚乙烯颗粒、色母、碳酸钙粉</w:t>
            </w:r>
            <w:r>
              <w:rPr>
                <w:rFonts w:hint="eastAsia"/>
                <w:color w:val="auto"/>
                <w:sz w:val="24"/>
                <w:szCs w:val="24"/>
                <w:lang w:eastAsia="zh-CN"/>
              </w:rPr>
              <w:t>按比例称量后进行上料、混料，碳酸钙粉为粉末状，称量上料、混料过程中会产生粉尘。</w:t>
            </w:r>
          </w:p>
          <w:p w14:paraId="5F76BA75">
            <w:pPr>
              <w:pStyle w:val="30"/>
              <w:spacing w:line="360" w:lineRule="auto"/>
              <w:ind w:firstLine="480" w:firstLineChars="200"/>
              <w:jc w:val="both"/>
              <w:rPr>
                <w:color w:val="auto"/>
                <w:sz w:val="24"/>
                <w:szCs w:val="24"/>
              </w:rPr>
            </w:pPr>
            <w:r>
              <w:rPr>
                <w:rFonts w:hint="eastAsia"/>
                <w:color w:val="auto"/>
                <w:sz w:val="24"/>
                <w:szCs w:val="24"/>
              </w:rPr>
              <w:t>（</w:t>
            </w:r>
            <w:r>
              <w:rPr>
                <w:rFonts w:hint="eastAsia"/>
                <w:color w:val="auto"/>
                <w:sz w:val="24"/>
                <w:szCs w:val="24"/>
                <w:lang w:val="en-US" w:eastAsia="zh-CN"/>
              </w:rPr>
              <w:t>3</w:t>
            </w:r>
            <w:r>
              <w:rPr>
                <w:rFonts w:hint="eastAsia"/>
                <w:color w:val="auto"/>
                <w:sz w:val="24"/>
                <w:szCs w:val="24"/>
              </w:rPr>
              <w:t>）熔融挤出</w:t>
            </w:r>
          </w:p>
          <w:p w14:paraId="63EAD918">
            <w:pPr>
              <w:pStyle w:val="30"/>
              <w:spacing w:line="360" w:lineRule="auto"/>
              <w:ind w:firstLine="480" w:firstLineChars="200"/>
              <w:jc w:val="both"/>
              <w:rPr>
                <w:rFonts w:hint="eastAsia"/>
                <w:color w:val="auto"/>
                <w:sz w:val="24"/>
                <w:szCs w:val="24"/>
              </w:rPr>
            </w:pPr>
            <w:r>
              <w:rPr>
                <w:rFonts w:hint="eastAsia"/>
                <w:color w:val="auto"/>
                <w:sz w:val="24"/>
                <w:szCs w:val="24"/>
              </w:rPr>
              <w:t>高密度聚乙烯颗粒、色母、碳酸钙粉称量后通过上料机进入混料机，混合后原料进入挤压机，本项目</w:t>
            </w:r>
            <w:r>
              <w:rPr>
                <w:rFonts w:hint="eastAsia"/>
                <w:color w:val="auto"/>
                <w:sz w:val="24"/>
                <w:szCs w:val="24"/>
                <w:lang w:eastAsia="zh-CN"/>
              </w:rPr>
              <w:t>称量、</w:t>
            </w:r>
            <w:r>
              <w:rPr>
                <w:rFonts w:hint="eastAsia"/>
                <w:color w:val="auto"/>
                <w:sz w:val="24"/>
                <w:szCs w:val="24"/>
                <w:lang w:val="en-US" w:eastAsia="zh-CN"/>
              </w:rPr>
              <w:t>上料、混料</w:t>
            </w:r>
            <w:r>
              <w:rPr>
                <w:rFonts w:hint="eastAsia"/>
                <w:color w:val="auto"/>
                <w:sz w:val="24"/>
                <w:szCs w:val="24"/>
              </w:rPr>
              <w:t>、</w:t>
            </w:r>
            <w:r>
              <w:rPr>
                <w:rFonts w:hint="eastAsia"/>
                <w:color w:val="auto"/>
                <w:sz w:val="24"/>
                <w:szCs w:val="24"/>
                <w:lang w:eastAsia="zh-CN"/>
              </w:rPr>
              <w:t>熔融</w:t>
            </w:r>
            <w:r>
              <w:rPr>
                <w:rFonts w:hint="eastAsia"/>
                <w:color w:val="auto"/>
                <w:sz w:val="24"/>
                <w:szCs w:val="24"/>
              </w:rPr>
              <w:t>、挤出为一体化设备。挤压机采用电加热方式加热到1</w:t>
            </w:r>
            <w:r>
              <w:rPr>
                <w:color w:val="auto"/>
                <w:sz w:val="24"/>
                <w:szCs w:val="24"/>
              </w:rPr>
              <w:t>90</w:t>
            </w:r>
            <w:r>
              <w:rPr>
                <w:rFonts w:hint="eastAsia"/>
                <w:color w:val="auto"/>
                <w:sz w:val="24"/>
                <w:szCs w:val="24"/>
              </w:rPr>
              <w:t>℃，使物料熔化成熔体。</w:t>
            </w:r>
          </w:p>
          <w:p w14:paraId="4220F659">
            <w:pPr>
              <w:pStyle w:val="30"/>
              <w:spacing w:line="360" w:lineRule="auto"/>
              <w:ind w:firstLine="480" w:firstLineChars="200"/>
              <w:jc w:val="both"/>
              <w:rPr>
                <w:color w:val="auto"/>
                <w:sz w:val="24"/>
                <w:szCs w:val="24"/>
              </w:rPr>
            </w:pPr>
            <w:r>
              <w:rPr>
                <w:rFonts w:hint="eastAsia"/>
                <w:color w:val="auto"/>
                <w:sz w:val="24"/>
                <w:szCs w:val="24"/>
              </w:rPr>
              <w:t>（</w:t>
            </w:r>
            <w:r>
              <w:rPr>
                <w:rFonts w:hint="eastAsia"/>
                <w:color w:val="auto"/>
                <w:sz w:val="24"/>
                <w:szCs w:val="24"/>
                <w:lang w:val="en-US" w:eastAsia="zh-CN"/>
              </w:rPr>
              <w:t>4</w:t>
            </w:r>
            <w:r>
              <w:rPr>
                <w:rFonts w:hint="eastAsia"/>
                <w:color w:val="auto"/>
                <w:sz w:val="24"/>
                <w:szCs w:val="24"/>
              </w:rPr>
              <w:t>）</w:t>
            </w:r>
            <w:r>
              <w:rPr>
                <w:rFonts w:hint="eastAsia"/>
                <w:color w:val="auto"/>
                <w:sz w:val="24"/>
                <w:szCs w:val="24"/>
                <w:lang w:eastAsia="zh-CN"/>
              </w:rPr>
              <w:t>成</w:t>
            </w:r>
            <w:r>
              <w:rPr>
                <w:rFonts w:hint="eastAsia"/>
                <w:color w:val="auto"/>
                <w:sz w:val="24"/>
                <w:szCs w:val="24"/>
              </w:rPr>
              <w:t>型</w:t>
            </w:r>
          </w:p>
          <w:p w14:paraId="1F58AB76">
            <w:pPr>
              <w:pStyle w:val="30"/>
              <w:spacing w:line="360" w:lineRule="auto"/>
              <w:ind w:firstLine="480" w:firstLineChars="200"/>
              <w:jc w:val="both"/>
              <w:rPr>
                <w:rFonts w:hint="eastAsia"/>
                <w:color w:val="auto"/>
                <w:sz w:val="24"/>
                <w:szCs w:val="24"/>
              </w:rPr>
            </w:pPr>
            <w:r>
              <w:rPr>
                <w:rFonts w:hint="eastAsia"/>
                <w:color w:val="auto"/>
                <w:sz w:val="24"/>
                <w:szCs w:val="24"/>
              </w:rPr>
              <w:t>熔化后的物料挤入定型机内成型，注塑成型后采用冷却水对模具降温，定型设备采用间接冷却水冷却。</w:t>
            </w:r>
          </w:p>
          <w:p w14:paraId="04297C5A">
            <w:pPr>
              <w:pStyle w:val="30"/>
              <w:spacing w:line="360" w:lineRule="auto"/>
              <w:ind w:firstLine="480" w:firstLineChars="200"/>
              <w:jc w:val="both"/>
              <w:rPr>
                <w:color w:val="auto"/>
                <w:sz w:val="24"/>
                <w:szCs w:val="24"/>
              </w:rPr>
            </w:pPr>
            <w:r>
              <w:rPr>
                <w:rFonts w:hint="eastAsia"/>
                <w:color w:val="auto"/>
                <w:sz w:val="24"/>
                <w:szCs w:val="24"/>
              </w:rPr>
              <w:t>（</w:t>
            </w:r>
            <w:r>
              <w:rPr>
                <w:rFonts w:hint="eastAsia"/>
                <w:color w:val="auto"/>
                <w:sz w:val="24"/>
                <w:szCs w:val="24"/>
                <w:lang w:val="en-US" w:eastAsia="zh-CN"/>
              </w:rPr>
              <w:t>5</w:t>
            </w:r>
            <w:r>
              <w:rPr>
                <w:rFonts w:hint="eastAsia"/>
                <w:color w:val="auto"/>
                <w:sz w:val="24"/>
                <w:szCs w:val="24"/>
              </w:rPr>
              <w:t>）切割</w:t>
            </w:r>
          </w:p>
          <w:p w14:paraId="2DE435C7">
            <w:pPr>
              <w:pStyle w:val="30"/>
              <w:spacing w:line="360" w:lineRule="auto"/>
              <w:ind w:firstLine="480" w:firstLineChars="200"/>
              <w:jc w:val="both"/>
              <w:rPr>
                <w:color w:val="auto"/>
                <w:sz w:val="24"/>
                <w:szCs w:val="24"/>
              </w:rPr>
            </w:pPr>
            <w:r>
              <w:rPr>
                <w:rFonts w:hint="eastAsia"/>
                <w:color w:val="auto"/>
                <w:sz w:val="24"/>
                <w:szCs w:val="24"/>
              </w:rPr>
              <w:t>成型后的板材根据订单需求对板材进行切割、修边。订单为板材的则将加工后的板材检验合格后送入成品仓库，订单为家具的则将板材运至机加工车间进一步加工。</w:t>
            </w:r>
          </w:p>
          <w:p w14:paraId="56082815">
            <w:pPr>
              <w:pStyle w:val="30"/>
              <w:spacing w:line="360" w:lineRule="auto"/>
              <w:ind w:firstLine="480" w:firstLineChars="200"/>
              <w:jc w:val="both"/>
              <w:rPr>
                <w:color w:val="auto"/>
                <w:sz w:val="24"/>
                <w:szCs w:val="24"/>
              </w:rPr>
            </w:pPr>
            <w:r>
              <w:rPr>
                <w:rFonts w:hint="eastAsia"/>
                <w:color w:val="auto"/>
                <w:sz w:val="24"/>
                <w:szCs w:val="24"/>
              </w:rPr>
              <w:t>（</w:t>
            </w:r>
            <w:r>
              <w:rPr>
                <w:rFonts w:hint="eastAsia"/>
                <w:color w:val="auto"/>
                <w:sz w:val="24"/>
                <w:szCs w:val="24"/>
                <w:lang w:val="en-US" w:eastAsia="zh-CN"/>
              </w:rPr>
              <w:t>6</w:t>
            </w:r>
            <w:r>
              <w:rPr>
                <w:rFonts w:hint="eastAsia"/>
                <w:color w:val="auto"/>
                <w:sz w:val="24"/>
                <w:szCs w:val="24"/>
              </w:rPr>
              <w:t>）机加工</w:t>
            </w:r>
          </w:p>
          <w:p w14:paraId="758F987B">
            <w:pPr>
              <w:pStyle w:val="30"/>
              <w:spacing w:line="360" w:lineRule="auto"/>
              <w:ind w:firstLine="480" w:firstLineChars="200"/>
              <w:jc w:val="both"/>
              <w:rPr>
                <w:color w:val="auto"/>
                <w:sz w:val="24"/>
                <w:szCs w:val="24"/>
              </w:rPr>
            </w:pPr>
            <w:r>
              <w:rPr>
                <w:rFonts w:hint="eastAsia"/>
                <w:color w:val="auto"/>
                <w:sz w:val="24"/>
                <w:szCs w:val="24"/>
              </w:rPr>
              <w:t>根据订单需求对板材进行切、铣、钻等工序进行机械加工，根据客户需求对板材进行镂刻，需要镂刻的量约5</w:t>
            </w:r>
            <w:r>
              <w:rPr>
                <w:color w:val="auto"/>
                <w:sz w:val="24"/>
                <w:szCs w:val="24"/>
              </w:rPr>
              <w:t>0</w:t>
            </w:r>
            <w:r>
              <w:rPr>
                <w:rFonts w:hint="eastAsia"/>
                <w:color w:val="auto"/>
                <w:sz w:val="24"/>
                <w:szCs w:val="24"/>
              </w:rPr>
              <w:t>%。</w:t>
            </w:r>
          </w:p>
          <w:p w14:paraId="2DF66B59">
            <w:pPr>
              <w:pStyle w:val="30"/>
              <w:spacing w:line="360" w:lineRule="auto"/>
              <w:ind w:firstLine="480" w:firstLineChars="200"/>
              <w:jc w:val="both"/>
              <w:rPr>
                <w:rFonts w:hint="eastAsia"/>
                <w:color w:val="auto"/>
                <w:sz w:val="24"/>
                <w:szCs w:val="24"/>
              </w:rPr>
            </w:pPr>
            <w:r>
              <w:rPr>
                <w:rFonts w:hint="eastAsia"/>
                <w:color w:val="auto"/>
                <w:sz w:val="24"/>
                <w:szCs w:val="24"/>
              </w:rPr>
              <w:t>（</w:t>
            </w:r>
            <w:r>
              <w:rPr>
                <w:rFonts w:hint="eastAsia"/>
                <w:color w:val="auto"/>
                <w:sz w:val="24"/>
                <w:szCs w:val="24"/>
                <w:lang w:val="en-US" w:eastAsia="zh-CN"/>
              </w:rPr>
              <w:t>7</w:t>
            </w:r>
            <w:r>
              <w:rPr>
                <w:rFonts w:hint="eastAsia"/>
                <w:color w:val="auto"/>
                <w:sz w:val="24"/>
                <w:szCs w:val="24"/>
              </w:rPr>
              <w:t>）组装</w:t>
            </w:r>
          </w:p>
          <w:bookmarkEnd w:id="20"/>
          <w:p w14:paraId="6D445471">
            <w:pPr>
              <w:pStyle w:val="55"/>
              <w:rPr>
                <w:color w:val="auto"/>
                <w:sz w:val="24"/>
                <w:szCs w:val="24"/>
              </w:rPr>
            </w:pPr>
            <w:r>
              <w:rPr>
                <w:rFonts w:hint="eastAsia"/>
                <w:color w:val="auto"/>
                <w:sz w:val="24"/>
                <w:szCs w:val="24"/>
              </w:rPr>
              <w:t>本项目户外家具的桌子、椅子组装</w:t>
            </w:r>
            <w:r>
              <w:rPr>
                <w:rFonts w:hint="eastAsia"/>
                <w:color w:val="auto"/>
                <w:sz w:val="24"/>
                <w:szCs w:val="24"/>
                <w:lang w:eastAsia="zh-CN"/>
              </w:rPr>
              <w:t>时</w:t>
            </w:r>
            <w:r>
              <w:rPr>
                <w:rFonts w:hint="eastAsia"/>
                <w:color w:val="auto"/>
                <w:sz w:val="24"/>
                <w:szCs w:val="24"/>
              </w:rPr>
              <w:t>主要采用螺丝、螺母、弹簧等五金配件进行组装，组装成品经检验合格进入成品库。</w:t>
            </w:r>
          </w:p>
          <w:p w14:paraId="179A684B">
            <w:pPr>
              <w:pStyle w:val="55"/>
              <w:rPr>
                <w:color w:val="auto"/>
                <w:sz w:val="24"/>
                <w:szCs w:val="24"/>
              </w:rPr>
            </w:pPr>
            <w:r>
              <w:rPr>
                <w:rFonts w:hint="eastAsia"/>
                <w:color w:val="auto"/>
                <w:sz w:val="24"/>
                <w:szCs w:val="24"/>
              </w:rPr>
              <w:t>（</w:t>
            </w:r>
            <w:r>
              <w:rPr>
                <w:rFonts w:hint="eastAsia"/>
                <w:color w:val="auto"/>
                <w:sz w:val="24"/>
                <w:szCs w:val="24"/>
                <w:lang w:val="en-US" w:eastAsia="zh-CN"/>
              </w:rPr>
              <w:t>8</w:t>
            </w:r>
            <w:r>
              <w:rPr>
                <w:rFonts w:hint="eastAsia"/>
                <w:color w:val="auto"/>
                <w:sz w:val="24"/>
                <w:szCs w:val="24"/>
              </w:rPr>
              <w:t>）废料回收</w:t>
            </w:r>
          </w:p>
          <w:p w14:paraId="53572F53">
            <w:pPr>
              <w:pStyle w:val="55"/>
              <w:rPr>
                <w:color w:val="auto"/>
                <w:sz w:val="24"/>
                <w:szCs w:val="24"/>
              </w:rPr>
            </w:pPr>
            <w:r>
              <w:rPr>
                <w:rFonts w:hint="eastAsia"/>
                <w:color w:val="auto"/>
                <w:sz w:val="24"/>
                <w:szCs w:val="24"/>
              </w:rPr>
              <w:t>本项目对切割、机加工产生的边角料以及检验产生的不合格产品收集后，采用破碎机破碎成小粒径物料，重新利用。</w:t>
            </w:r>
          </w:p>
          <w:bookmarkEnd w:id="19"/>
          <w:p w14:paraId="002B1CAE">
            <w:pPr>
              <w:pStyle w:val="55"/>
              <w:rPr>
                <w:rFonts w:hint="eastAsia"/>
                <w:color w:val="auto"/>
              </w:rPr>
            </w:pPr>
          </w:p>
        </w:tc>
      </w:tr>
    </w:tbl>
    <w:p w14:paraId="49411A13">
      <w:pPr>
        <w:rPr>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type="lines" w:linePitch="312" w:charSpace="117"/>
        </w:sectPr>
      </w:pPr>
    </w:p>
    <w:tbl>
      <w:tblPr>
        <w:tblStyle w:val="23"/>
        <w:tblW w:w="506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9238"/>
      </w:tblGrid>
      <w:tr w14:paraId="6ADC76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17" w:hRule="atLeast"/>
          <w:jc w:val="center"/>
        </w:trPr>
        <w:tc>
          <w:tcPr>
            <w:tcW w:w="246" w:type="pct"/>
            <w:noWrap w:val="0"/>
            <w:vAlign w:val="center"/>
          </w:tcPr>
          <w:p w14:paraId="21FED7DA">
            <w:pPr>
              <w:pStyle w:val="20"/>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工艺流程和产排污环节</w:t>
            </w:r>
          </w:p>
        </w:tc>
        <w:tc>
          <w:tcPr>
            <w:tcW w:w="4753" w:type="pct"/>
            <w:noWrap w:val="0"/>
            <w:vAlign w:val="top"/>
          </w:tcPr>
          <w:p w14:paraId="0233F2CB">
            <w:pPr>
              <w:pStyle w:val="62"/>
              <w:spacing w:beforeLines="0"/>
              <w:ind w:left="210"/>
              <w:rPr>
                <w:rFonts w:ascii="Times New Roman" w:hAnsi="Times New Roman" w:cs="Times New Roman"/>
                <w:color w:val="auto"/>
                <w:sz w:val="24"/>
                <w:szCs w:val="24"/>
              </w:rPr>
            </w:pPr>
            <w:r>
              <w:rPr>
                <w:rFonts w:ascii="Times New Roman" w:hAnsi="Times New Roman" w:cs="Times New Roman"/>
                <w:color w:val="auto"/>
                <w:sz w:val="24"/>
                <w:szCs w:val="24"/>
              </w:rPr>
              <w:t>主要产污环节分析</w:t>
            </w:r>
          </w:p>
          <w:p w14:paraId="4FE5C0D7">
            <w:pPr>
              <w:pStyle w:val="62"/>
              <w:keepNext w:val="0"/>
              <w:keepLines w:val="0"/>
              <w:pageBreakBefore w:val="0"/>
              <w:widowControl w:val="0"/>
              <w:numPr>
                <w:ilvl w:val="2"/>
                <w:numId w:val="0"/>
              </w:numPr>
              <w:kinsoku/>
              <w:wordWrap/>
              <w:overflowPunct/>
              <w:topLinePunct w:val="0"/>
              <w:autoSpaceDE/>
              <w:autoSpaceDN/>
              <w:bidi w:val="0"/>
              <w:adjustRightInd/>
              <w:snapToGrid/>
              <w:spacing w:before="0" w:beforeLines="0" w:line="360" w:lineRule="auto"/>
              <w:ind w:leftChars="0"/>
              <w:jc w:val="center"/>
              <w:textAlignment w:val="auto"/>
              <w:rPr>
                <w:rFonts w:ascii="Times New Roman" w:hAnsi="Times New Roman" w:cs="Times New Roman"/>
                <w:color w:val="auto"/>
                <w:sz w:val="24"/>
                <w:szCs w:val="24"/>
              </w:rPr>
            </w:pPr>
            <w:r>
              <w:rPr>
                <w:color w:val="auto"/>
                <w:kern w:val="21"/>
                <w:sz w:val="24"/>
                <w:szCs w:val="24"/>
                <w:lang w:val="en-US" w:eastAsia="zh-CN"/>
              </w:rPr>
              <w:t>表2</w:t>
            </w:r>
            <w:r>
              <w:rPr>
                <w:rFonts w:hint="eastAsia"/>
                <w:color w:val="auto"/>
                <w:kern w:val="21"/>
                <w:sz w:val="24"/>
                <w:szCs w:val="24"/>
                <w:lang w:val="en-US" w:eastAsia="zh-CN"/>
              </w:rPr>
              <w:t>.9</w:t>
            </w:r>
            <w:r>
              <w:rPr>
                <w:color w:val="auto"/>
                <w:kern w:val="21"/>
                <w:sz w:val="24"/>
                <w:szCs w:val="24"/>
                <w:lang w:val="en-US" w:eastAsia="zh-CN"/>
              </w:rPr>
              <w:t>-</w:t>
            </w:r>
            <w:r>
              <w:rPr>
                <w:rFonts w:hint="eastAsia"/>
                <w:color w:val="auto"/>
                <w:kern w:val="21"/>
                <w:sz w:val="24"/>
                <w:szCs w:val="24"/>
                <w:lang w:val="en-US" w:eastAsia="zh-CN"/>
              </w:rPr>
              <w:t>1</w:t>
            </w:r>
            <w:r>
              <w:rPr>
                <w:color w:val="auto"/>
                <w:kern w:val="21"/>
                <w:sz w:val="24"/>
                <w:szCs w:val="24"/>
                <w:lang w:val="en-US" w:eastAsia="zh-CN"/>
              </w:rPr>
              <w:t xml:space="preserve">  </w:t>
            </w:r>
            <w:r>
              <w:rPr>
                <w:rFonts w:hint="eastAsia"/>
                <w:color w:val="auto"/>
                <w:kern w:val="21"/>
                <w:sz w:val="24"/>
                <w:szCs w:val="24"/>
                <w:lang w:val="en-US" w:eastAsia="zh-CN"/>
              </w:rPr>
              <w:t>本</w:t>
            </w:r>
            <w:r>
              <w:rPr>
                <w:color w:val="auto"/>
                <w:kern w:val="21"/>
                <w:sz w:val="24"/>
                <w:szCs w:val="24"/>
                <w:lang w:val="en-US" w:eastAsia="zh-CN"/>
              </w:rPr>
              <w:t>项目主要产污环节一览表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675"/>
              <w:gridCol w:w="1087"/>
              <w:gridCol w:w="1587"/>
              <w:gridCol w:w="1186"/>
              <w:gridCol w:w="1385"/>
              <w:gridCol w:w="706"/>
              <w:gridCol w:w="2396"/>
            </w:tblGrid>
            <w:tr w14:paraId="336B79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noWrap w:val="0"/>
                  <w:vAlign w:val="center"/>
                </w:tcPr>
                <w:p w14:paraId="225FD2EC">
                  <w:pPr>
                    <w:widowControl/>
                    <w:jc w:val="center"/>
                    <w:rPr>
                      <w:color w:val="auto"/>
                      <w:kern w:val="0"/>
                      <w:szCs w:val="21"/>
                    </w:rPr>
                  </w:pPr>
                  <w:r>
                    <w:rPr>
                      <w:color w:val="auto"/>
                      <w:kern w:val="0"/>
                      <w:szCs w:val="21"/>
                    </w:rPr>
                    <w:t>污染类型</w:t>
                  </w:r>
                </w:p>
              </w:tc>
              <w:tc>
                <w:tcPr>
                  <w:tcW w:w="602" w:type="pct"/>
                  <w:noWrap w:val="0"/>
                  <w:vAlign w:val="center"/>
                </w:tcPr>
                <w:p w14:paraId="1E8E2829">
                  <w:pPr>
                    <w:widowControl/>
                    <w:jc w:val="center"/>
                    <w:rPr>
                      <w:color w:val="auto"/>
                      <w:kern w:val="0"/>
                      <w:szCs w:val="21"/>
                    </w:rPr>
                  </w:pPr>
                  <w:r>
                    <w:rPr>
                      <w:color w:val="auto"/>
                      <w:kern w:val="0"/>
                      <w:szCs w:val="21"/>
                    </w:rPr>
                    <w:t>污染源</w:t>
                  </w:r>
                </w:p>
              </w:tc>
              <w:tc>
                <w:tcPr>
                  <w:tcW w:w="879" w:type="pct"/>
                  <w:noWrap w:val="0"/>
                  <w:vAlign w:val="center"/>
                </w:tcPr>
                <w:p w14:paraId="38264786">
                  <w:pPr>
                    <w:widowControl/>
                    <w:jc w:val="center"/>
                    <w:rPr>
                      <w:color w:val="auto"/>
                      <w:kern w:val="0"/>
                      <w:szCs w:val="21"/>
                    </w:rPr>
                  </w:pPr>
                  <w:r>
                    <w:rPr>
                      <w:color w:val="auto"/>
                      <w:kern w:val="0"/>
                      <w:szCs w:val="21"/>
                    </w:rPr>
                    <w:t>产污环节</w:t>
                  </w:r>
                </w:p>
              </w:tc>
              <w:tc>
                <w:tcPr>
                  <w:tcW w:w="657" w:type="pct"/>
                  <w:noWrap w:val="0"/>
                  <w:vAlign w:val="center"/>
                </w:tcPr>
                <w:p w14:paraId="3CB101A4">
                  <w:pPr>
                    <w:widowControl/>
                    <w:jc w:val="center"/>
                    <w:rPr>
                      <w:color w:val="auto"/>
                      <w:kern w:val="0"/>
                      <w:szCs w:val="21"/>
                    </w:rPr>
                  </w:pPr>
                  <w:r>
                    <w:rPr>
                      <w:color w:val="auto"/>
                      <w:kern w:val="0"/>
                      <w:szCs w:val="21"/>
                    </w:rPr>
                    <w:t>污染物名称</w:t>
                  </w:r>
                </w:p>
              </w:tc>
              <w:tc>
                <w:tcPr>
                  <w:tcW w:w="767" w:type="pct"/>
                  <w:noWrap w:val="0"/>
                  <w:vAlign w:val="center"/>
                </w:tcPr>
                <w:p w14:paraId="5EC694BD">
                  <w:pPr>
                    <w:widowControl/>
                    <w:jc w:val="center"/>
                    <w:rPr>
                      <w:color w:val="auto"/>
                      <w:kern w:val="0"/>
                      <w:szCs w:val="21"/>
                    </w:rPr>
                  </w:pPr>
                  <w:r>
                    <w:rPr>
                      <w:color w:val="auto"/>
                      <w:kern w:val="0"/>
                      <w:szCs w:val="21"/>
                    </w:rPr>
                    <w:t>主要污染因子</w:t>
                  </w:r>
                </w:p>
              </w:tc>
              <w:tc>
                <w:tcPr>
                  <w:tcW w:w="391" w:type="pct"/>
                  <w:noWrap w:val="0"/>
                  <w:vAlign w:val="center"/>
                </w:tcPr>
                <w:p w14:paraId="1E0CFF0D">
                  <w:pPr>
                    <w:widowControl/>
                    <w:jc w:val="center"/>
                    <w:rPr>
                      <w:color w:val="auto"/>
                      <w:kern w:val="0"/>
                      <w:szCs w:val="21"/>
                    </w:rPr>
                  </w:pPr>
                  <w:r>
                    <w:rPr>
                      <w:color w:val="auto"/>
                      <w:kern w:val="0"/>
                      <w:szCs w:val="21"/>
                    </w:rPr>
                    <w:t>产生</w:t>
                  </w:r>
                </w:p>
                <w:p w14:paraId="5FE1CBB3">
                  <w:pPr>
                    <w:widowControl/>
                    <w:jc w:val="center"/>
                    <w:rPr>
                      <w:color w:val="auto"/>
                      <w:kern w:val="0"/>
                      <w:szCs w:val="21"/>
                    </w:rPr>
                  </w:pPr>
                  <w:r>
                    <w:rPr>
                      <w:color w:val="auto"/>
                      <w:kern w:val="0"/>
                      <w:szCs w:val="21"/>
                    </w:rPr>
                    <w:t>情况</w:t>
                  </w:r>
                </w:p>
              </w:tc>
              <w:tc>
                <w:tcPr>
                  <w:tcW w:w="1327" w:type="pct"/>
                  <w:noWrap w:val="0"/>
                  <w:vAlign w:val="center"/>
                </w:tcPr>
                <w:p w14:paraId="5BFB7447">
                  <w:pPr>
                    <w:widowControl/>
                    <w:jc w:val="center"/>
                    <w:rPr>
                      <w:color w:val="auto"/>
                      <w:kern w:val="0"/>
                      <w:szCs w:val="21"/>
                    </w:rPr>
                  </w:pPr>
                  <w:r>
                    <w:rPr>
                      <w:color w:val="auto"/>
                      <w:kern w:val="0"/>
                      <w:szCs w:val="21"/>
                    </w:rPr>
                    <w:t>排放去向</w:t>
                  </w:r>
                </w:p>
              </w:tc>
            </w:tr>
            <w:tr w14:paraId="218707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restart"/>
                  <w:noWrap w:val="0"/>
                  <w:vAlign w:val="center"/>
                </w:tcPr>
                <w:p w14:paraId="489A3C82">
                  <w:pPr>
                    <w:widowControl/>
                    <w:jc w:val="center"/>
                    <w:rPr>
                      <w:color w:val="auto"/>
                      <w:kern w:val="0"/>
                      <w:szCs w:val="21"/>
                    </w:rPr>
                  </w:pPr>
                  <w:r>
                    <w:rPr>
                      <w:color w:val="auto"/>
                      <w:kern w:val="0"/>
                      <w:szCs w:val="21"/>
                    </w:rPr>
                    <w:t>废气</w:t>
                  </w:r>
                </w:p>
              </w:tc>
              <w:tc>
                <w:tcPr>
                  <w:tcW w:w="602" w:type="pct"/>
                  <w:noWrap w:val="0"/>
                  <w:vAlign w:val="center"/>
                </w:tcPr>
                <w:p w14:paraId="6BA953AD">
                  <w:pPr>
                    <w:widowControl/>
                    <w:jc w:val="center"/>
                    <w:rPr>
                      <w:rFonts w:hint="eastAsia"/>
                      <w:color w:val="auto"/>
                      <w:kern w:val="0"/>
                      <w:szCs w:val="21"/>
                    </w:rPr>
                  </w:pPr>
                  <w:r>
                    <w:rPr>
                      <w:rFonts w:hint="eastAsia"/>
                      <w:color w:val="auto"/>
                      <w:kern w:val="0"/>
                      <w:szCs w:val="21"/>
                      <w:lang w:eastAsia="zh-CN"/>
                    </w:rPr>
                    <w:t>称量、</w:t>
                  </w:r>
                  <w:r>
                    <w:rPr>
                      <w:rFonts w:hint="eastAsia"/>
                      <w:color w:val="auto"/>
                      <w:kern w:val="0"/>
                      <w:szCs w:val="21"/>
                      <w:lang w:val="en-US" w:eastAsia="zh-CN"/>
                    </w:rPr>
                    <w:t>上料、混料</w:t>
                  </w:r>
                </w:p>
              </w:tc>
              <w:tc>
                <w:tcPr>
                  <w:tcW w:w="879" w:type="pct"/>
                  <w:noWrap w:val="0"/>
                  <w:vAlign w:val="center"/>
                </w:tcPr>
                <w:p w14:paraId="7B5C1936">
                  <w:pPr>
                    <w:widowControl/>
                    <w:jc w:val="center"/>
                    <w:rPr>
                      <w:rFonts w:hint="eastAsia"/>
                      <w:color w:val="auto"/>
                      <w:kern w:val="0"/>
                      <w:szCs w:val="21"/>
                    </w:rPr>
                  </w:pPr>
                  <w:r>
                    <w:rPr>
                      <w:rFonts w:hint="eastAsia"/>
                      <w:color w:val="auto"/>
                      <w:kern w:val="0"/>
                      <w:szCs w:val="21"/>
                      <w:lang w:eastAsia="zh-CN"/>
                    </w:rPr>
                    <w:t>原料称量、</w:t>
                  </w:r>
                  <w:r>
                    <w:rPr>
                      <w:rFonts w:hint="eastAsia"/>
                      <w:color w:val="auto"/>
                      <w:kern w:val="0"/>
                      <w:szCs w:val="21"/>
                      <w:lang w:val="en-US" w:eastAsia="zh-CN"/>
                    </w:rPr>
                    <w:t>上料、混料</w:t>
                  </w:r>
                </w:p>
              </w:tc>
              <w:tc>
                <w:tcPr>
                  <w:tcW w:w="657" w:type="pct"/>
                  <w:noWrap w:val="0"/>
                  <w:vAlign w:val="center"/>
                </w:tcPr>
                <w:p w14:paraId="557F1726">
                  <w:pPr>
                    <w:widowControl/>
                    <w:jc w:val="center"/>
                    <w:rPr>
                      <w:color w:val="auto"/>
                      <w:kern w:val="0"/>
                      <w:szCs w:val="21"/>
                    </w:rPr>
                  </w:pPr>
                  <w:r>
                    <w:rPr>
                      <w:color w:val="auto"/>
                      <w:kern w:val="0"/>
                      <w:szCs w:val="21"/>
                    </w:rPr>
                    <w:t>粉尘</w:t>
                  </w:r>
                </w:p>
              </w:tc>
              <w:tc>
                <w:tcPr>
                  <w:tcW w:w="767" w:type="pct"/>
                  <w:noWrap w:val="0"/>
                  <w:vAlign w:val="center"/>
                </w:tcPr>
                <w:p w14:paraId="672BA024">
                  <w:pPr>
                    <w:widowControl/>
                    <w:jc w:val="center"/>
                    <w:rPr>
                      <w:color w:val="auto"/>
                      <w:kern w:val="0"/>
                      <w:szCs w:val="21"/>
                    </w:rPr>
                  </w:pPr>
                  <w:r>
                    <w:rPr>
                      <w:color w:val="auto"/>
                      <w:kern w:val="0"/>
                      <w:szCs w:val="21"/>
                    </w:rPr>
                    <w:t>颗粒物</w:t>
                  </w:r>
                </w:p>
              </w:tc>
              <w:tc>
                <w:tcPr>
                  <w:tcW w:w="391" w:type="pct"/>
                  <w:noWrap w:val="0"/>
                  <w:vAlign w:val="center"/>
                </w:tcPr>
                <w:p w14:paraId="7BEB2A17">
                  <w:pPr>
                    <w:widowControl/>
                    <w:jc w:val="center"/>
                    <w:rPr>
                      <w:color w:val="auto"/>
                      <w:kern w:val="0"/>
                      <w:szCs w:val="21"/>
                    </w:rPr>
                  </w:pPr>
                  <w:r>
                    <w:rPr>
                      <w:color w:val="auto"/>
                      <w:kern w:val="0"/>
                      <w:szCs w:val="21"/>
                    </w:rPr>
                    <w:t>间断</w:t>
                  </w:r>
                </w:p>
              </w:tc>
              <w:tc>
                <w:tcPr>
                  <w:tcW w:w="1327" w:type="pct"/>
                  <w:noWrap w:val="0"/>
                  <w:vAlign w:val="center"/>
                </w:tcPr>
                <w:p w14:paraId="6AD59069">
                  <w:pPr>
                    <w:widowControl/>
                    <w:jc w:val="center"/>
                    <w:rPr>
                      <w:color w:val="auto"/>
                      <w:kern w:val="0"/>
                      <w:szCs w:val="21"/>
                    </w:rPr>
                  </w:pPr>
                  <w:r>
                    <w:rPr>
                      <w:color w:val="auto"/>
                      <w:kern w:val="0"/>
                      <w:szCs w:val="21"/>
                    </w:rPr>
                    <w:t>布袋除尘器处理后</w:t>
                  </w:r>
                  <w:r>
                    <w:rPr>
                      <w:rFonts w:hint="eastAsia"/>
                      <w:color w:val="auto"/>
                      <w:kern w:val="0"/>
                      <w:szCs w:val="21"/>
                    </w:rPr>
                    <w:t>车间内排放</w:t>
                  </w:r>
                </w:p>
              </w:tc>
            </w:tr>
            <w:tr w14:paraId="32A046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continue"/>
                  <w:noWrap w:val="0"/>
                  <w:vAlign w:val="center"/>
                </w:tcPr>
                <w:p w14:paraId="2EA5F81B">
                  <w:pPr>
                    <w:widowControl/>
                    <w:jc w:val="center"/>
                    <w:rPr>
                      <w:color w:val="auto"/>
                      <w:kern w:val="0"/>
                      <w:szCs w:val="21"/>
                    </w:rPr>
                  </w:pPr>
                </w:p>
              </w:tc>
              <w:tc>
                <w:tcPr>
                  <w:tcW w:w="602" w:type="pct"/>
                  <w:noWrap w:val="0"/>
                  <w:vAlign w:val="center"/>
                </w:tcPr>
                <w:p w14:paraId="7149441A">
                  <w:pPr>
                    <w:widowControl/>
                    <w:jc w:val="center"/>
                    <w:rPr>
                      <w:rFonts w:hint="eastAsia"/>
                      <w:color w:val="auto"/>
                      <w:kern w:val="0"/>
                      <w:szCs w:val="21"/>
                    </w:rPr>
                  </w:pPr>
                  <w:r>
                    <w:rPr>
                      <w:rFonts w:hint="eastAsia"/>
                      <w:color w:val="auto"/>
                      <w:kern w:val="0"/>
                      <w:szCs w:val="21"/>
                    </w:rPr>
                    <w:t>熔融挤出</w:t>
                  </w:r>
                </w:p>
              </w:tc>
              <w:tc>
                <w:tcPr>
                  <w:tcW w:w="879" w:type="pct"/>
                  <w:noWrap w:val="0"/>
                  <w:vAlign w:val="center"/>
                </w:tcPr>
                <w:p w14:paraId="40579801">
                  <w:pPr>
                    <w:widowControl/>
                    <w:jc w:val="center"/>
                    <w:rPr>
                      <w:rFonts w:hint="eastAsia"/>
                      <w:color w:val="auto"/>
                      <w:kern w:val="0"/>
                      <w:szCs w:val="21"/>
                    </w:rPr>
                  </w:pPr>
                  <w:r>
                    <w:rPr>
                      <w:rFonts w:hint="eastAsia"/>
                      <w:color w:val="auto"/>
                      <w:kern w:val="0"/>
                      <w:szCs w:val="21"/>
                    </w:rPr>
                    <w:t>原料</w:t>
                  </w:r>
                  <w:r>
                    <w:rPr>
                      <w:rFonts w:hint="eastAsia"/>
                      <w:color w:val="auto"/>
                      <w:kern w:val="0"/>
                      <w:szCs w:val="21"/>
                      <w:lang w:eastAsia="zh-CN"/>
                    </w:rPr>
                    <w:t>熔融</w:t>
                  </w:r>
                  <w:r>
                    <w:rPr>
                      <w:rFonts w:hint="eastAsia"/>
                      <w:color w:val="auto"/>
                      <w:kern w:val="0"/>
                      <w:szCs w:val="21"/>
                    </w:rPr>
                    <w:t>挤出</w:t>
                  </w:r>
                </w:p>
              </w:tc>
              <w:tc>
                <w:tcPr>
                  <w:tcW w:w="657" w:type="pct"/>
                  <w:noWrap w:val="0"/>
                  <w:vAlign w:val="center"/>
                </w:tcPr>
                <w:p w14:paraId="402FED28">
                  <w:pPr>
                    <w:widowControl/>
                    <w:jc w:val="center"/>
                    <w:rPr>
                      <w:color w:val="auto"/>
                      <w:kern w:val="0"/>
                      <w:szCs w:val="21"/>
                    </w:rPr>
                  </w:pPr>
                  <w:r>
                    <w:rPr>
                      <w:rFonts w:hint="eastAsia"/>
                      <w:color w:val="auto"/>
                      <w:kern w:val="0"/>
                      <w:szCs w:val="21"/>
                    </w:rPr>
                    <w:t>熔融废气</w:t>
                  </w:r>
                </w:p>
              </w:tc>
              <w:tc>
                <w:tcPr>
                  <w:tcW w:w="767" w:type="pct"/>
                  <w:noWrap w:val="0"/>
                  <w:vAlign w:val="center"/>
                </w:tcPr>
                <w:p w14:paraId="436A7F1B">
                  <w:pPr>
                    <w:widowControl/>
                    <w:jc w:val="center"/>
                    <w:rPr>
                      <w:rFonts w:hint="eastAsia" w:eastAsia="宋体"/>
                      <w:color w:val="auto"/>
                      <w:kern w:val="0"/>
                      <w:szCs w:val="21"/>
                      <w:lang w:eastAsia="zh-CN"/>
                    </w:rPr>
                  </w:pPr>
                  <w:r>
                    <w:rPr>
                      <w:rFonts w:hint="eastAsia"/>
                      <w:color w:val="auto"/>
                      <w:kern w:val="0"/>
                      <w:szCs w:val="21"/>
                    </w:rPr>
                    <w:t>非甲烷总烃</w:t>
                  </w:r>
                  <w:r>
                    <w:rPr>
                      <w:rFonts w:hint="eastAsia"/>
                      <w:color w:val="auto"/>
                      <w:kern w:val="0"/>
                      <w:szCs w:val="21"/>
                      <w:lang w:eastAsia="zh-CN"/>
                    </w:rPr>
                    <w:t>、臭气浓度</w:t>
                  </w:r>
                </w:p>
              </w:tc>
              <w:tc>
                <w:tcPr>
                  <w:tcW w:w="391" w:type="pct"/>
                  <w:noWrap w:val="0"/>
                  <w:vAlign w:val="center"/>
                </w:tcPr>
                <w:p w14:paraId="407C2DC1">
                  <w:pPr>
                    <w:widowControl/>
                    <w:jc w:val="center"/>
                    <w:rPr>
                      <w:color w:val="auto"/>
                      <w:kern w:val="0"/>
                      <w:szCs w:val="21"/>
                    </w:rPr>
                  </w:pPr>
                  <w:r>
                    <w:rPr>
                      <w:color w:val="auto"/>
                      <w:kern w:val="0"/>
                      <w:szCs w:val="21"/>
                    </w:rPr>
                    <w:t>间断</w:t>
                  </w:r>
                </w:p>
              </w:tc>
              <w:tc>
                <w:tcPr>
                  <w:tcW w:w="1327" w:type="pct"/>
                  <w:noWrap w:val="0"/>
                  <w:vAlign w:val="center"/>
                </w:tcPr>
                <w:p w14:paraId="28015456">
                  <w:pPr>
                    <w:widowControl/>
                    <w:jc w:val="center"/>
                    <w:rPr>
                      <w:rFonts w:hint="eastAsia"/>
                      <w:color w:val="auto"/>
                      <w:kern w:val="0"/>
                      <w:szCs w:val="21"/>
                    </w:rPr>
                  </w:pPr>
                  <w:r>
                    <w:rPr>
                      <w:color w:val="auto"/>
                      <w:kern w:val="0"/>
                      <w:szCs w:val="21"/>
                    </w:rPr>
                    <w:t>二级活性炭吸附处理后，由</w:t>
                  </w:r>
                  <w:r>
                    <w:rPr>
                      <w:rFonts w:hint="eastAsia"/>
                      <w:color w:val="auto"/>
                      <w:kern w:val="0"/>
                      <w:szCs w:val="21"/>
                      <w:lang w:val="en-US" w:eastAsia="zh-CN"/>
                    </w:rPr>
                    <w:t>15</w:t>
                  </w:r>
                  <w:r>
                    <w:rPr>
                      <w:color w:val="auto"/>
                      <w:kern w:val="0"/>
                      <w:szCs w:val="21"/>
                    </w:rPr>
                    <w:t>m高排气筒</w:t>
                  </w:r>
                  <w:r>
                    <w:rPr>
                      <w:rFonts w:hint="eastAsia"/>
                      <w:color w:val="auto"/>
                      <w:kern w:val="0"/>
                      <w:szCs w:val="21"/>
                      <w:lang w:eastAsia="zh-CN"/>
                    </w:rPr>
                    <w:t>（</w:t>
                  </w:r>
                  <w:r>
                    <w:rPr>
                      <w:color w:val="auto"/>
                      <w:kern w:val="0"/>
                      <w:szCs w:val="21"/>
                    </w:rPr>
                    <w:t>DA001</w:t>
                  </w:r>
                  <w:r>
                    <w:rPr>
                      <w:rFonts w:hint="eastAsia"/>
                      <w:color w:val="auto"/>
                      <w:kern w:val="0"/>
                      <w:szCs w:val="21"/>
                      <w:lang w:eastAsia="zh-CN"/>
                    </w:rPr>
                    <w:t>）</w:t>
                  </w:r>
                  <w:r>
                    <w:rPr>
                      <w:color w:val="auto"/>
                      <w:kern w:val="0"/>
                      <w:szCs w:val="21"/>
                    </w:rPr>
                    <w:t>排放</w:t>
                  </w:r>
                </w:p>
              </w:tc>
            </w:tr>
            <w:tr w14:paraId="0B2998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continue"/>
                  <w:noWrap w:val="0"/>
                  <w:vAlign w:val="center"/>
                </w:tcPr>
                <w:p w14:paraId="01E069BB">
                  <w:pPr>
                    <w:widowControl/>
                    <w:jc w:val="center"/>
                    <w:rPr>
                      <w:color w:val="auto"/>
                      <w:kern w:val="0"/>
                      <w:szCs w:val="21"/>
                    </w:rPr>
                  </w:pPr>
                </w:p>
              </w:tc>
              <w:tc>
                <w:tcPr>
                  <w:tcW w:w="602" w:type="pct"/>
                  <w:noWrap w:val="0"/>
                  <w:vAlign w:val="center"/>
                </w:tcPr>
                <w:p w14:paraId="59EE475E">
                  <w:pPr>
                    <w:widowControl/>
                    <w:jc w:val="center"/>
                    <w:rPr>
                      <w:rFonts w:hint="eastAsia" w:eastAsia="宋体"/>
                      <w:color w:val="auto"/>
                      <w:kern w:val="0"/>
                      <w:szCs w:val="21"/>
                      <w:lang w:eastAsia="zh-CN"/>
                    </w:rPr>
                  </w:pPr>
                  <w:r>
                    <w:rPr>
                      <w:rFonts w:hint="eastAsia"/>
                      <w:color w:val="auto"/>
                      <w:kern w:val="0"/>
                      <w:szCs w:val="21"/>
                      <w:lang w:eastAsia="zh-CN"/>
                    </w:rPr>
                    <w:t>机加工</w:t>
                  </w:r>
                </w:p>
              </w:tc>
              <w:tc>
                <w:tcPr>
                  <w:tcW w:w="879" w:type="pct"/>
                  <w:noWrap w:val="0"/>
                  <w:vAlign w:val="center"/>
                </w:tcPr>
                <w:p w14:paraId="799AB404">
                  <w:pPr>
                    <w:widowControl/>
                    <w:jc w:val="center"/>
                    <w:rPr>
                      <w:rFonts w:hint="eastAsia" w:eastAsia="宋体"/>
                      <w:color w:val="auto"/>
                      <w:kern w:val="0"/>
                      <w:szCs w:val="21"/>
                      <w:lang w:eastAsia="zh-CN"/>
                    </w:rPr>
                  </w:pPr>
                  <w:r>
                    <w:rPr>
                      <w:rFonts w:hint="eastAsia"/>
                      <w:color w:val="auto"/>
                      <w:kern w:val="0"/>
                      <w:szCs w:val="21"/>
                      <w:lang w:eastAsia="zh-CN"/>
                    </w:rPr>
                    <w:t>产品机加工</w:t>
                  </w:r>
                </w:p>
              </w:tc>
              <w:tc>
                <w:tcPr>
                  <w:tcW w:w="657" w:type="pct"/>
                  <w:noWrap w:val="0"/>
                  <w:vAlign w:val="center"/>
                </w:tcPr>
                <w:p w14:paraId="334BB4CE">
                  <w:pPr>
                    <w:widowControl/>
                    <w:jc w:val="center"/>
                    <w:rPr>
                      <w:color w:val="auto"/>
                      <w:kern w:val="0"/>
                      <w:szCs w:val="21"/>
                    </w:rPr>
                  </w:pPr>
                  <w:r>
                    <w:rPr>
                      <w:color w:val="auto"/>
                      <w:kern w:val="0"/>
                      <w:szCs w:val="21"/>
                    </w:rPr>
                    <w:t>粉尘</w:t>
                  </w:r>
                </w:p>
              </w:tc>
              <w:tc>
                <w:tcPr>
                  <w:tcW w:w="767" w:type="pct"/>
                  <w:noWrap w:val="0"/>
                  <w:vAlign w:val="center"/>
                </w:tcPr>
                <w:p w14:paraId="0D73B5EF">
                  <w:pPr>
                    <w:widowControl/>
                    <w:jc w:val="center"/>
                    <w:rPr>
                      <w:color w:val="auto"/>
                      <w:kern w:val="0"/>
                      <w:szCs w:val="21"/>
                    </w:rPr>
                  </w:pPr>
                  <w:r>
                    <w:rPr>
                      <w:color w:val="auto"/>
                      <w:kern w:val="0"/>
                      <w:szCs w:val="21"/>
                    </w:rPr>
                    <w:t>颗粒物</w:t>
                  </w:r>
                </w:p>
              </w:tc>
              <w:tc>
                <w:tcPr>
                  <w:tcW w:w="391" w:type="pct"/>
                  <w:noWrap w:val="0"/>
                  <w:vAlign w:val="center"/>
                </w:tcPr>
                <w:p w14:paraId="30310E7C">
                  <w:pPr>
                    <w:widowControl/>
                    <w:jc w:val="center"/>
                    <w:rPr>
                      <w:color w:val="auto"/>
                      <w:kern w:val="0"/>
                      <w:szCs w:val="21"/>
                    </w:rPr>
                  </w:pPr>
                  <w:r>
                    <w:rPr>
                      <w:color w:val="auto"/>
                      <w:kern w:val="0"/>
                      <w:szCs w:val="21"/>
                    </w:rPr>
                    <w:t>间断</w:t>
                  </w:r>
                </w:p>
              </w:tc>
              <w:tc>
                <w:tcPr>
                  <w:tcW w:w="1327" w:type="pct"/>
                  <w:noWrap w:val="0"/>
                  <w:vAlign w:val="center"/>
                </w:tcPr>
                <w:p w14:paraId="7EE4216A">
                  <w:pPr>
                    <w:widowControl/>
                    <w:jc w:val="center"/>
                    <w:rPr>
                      <w:color w:val="auto"/>
                      <w:kern w:val="0"/>
                      <w:szCs w:val="21"/>
                    </w:rPr>
                  </w:pPr>
                  <w:r>
                    <w:rPr>
                      <w:color w:val="auto"/>
                      <w:kern w:val="0"/>
                      <w:szCs w:val="21"/>
                    </w:rPr>
                    <w:t>布袋除尘器处理后</w:t>
                  </w:r>
                  <w:r>
                    <w:rPr>
                      <w:rFonts w:hint="eastAsia"/>
                      <w:color w:val="auto"/>
                      <w:kern w:val="0"/>
                      <w:szCs w:val="21"/>
                    </w:rPr>
                    <w:t>车间内排放</w:t>
                  </w:r>
                </w:p>
              </w:tc>
            </w:tr>
            <w:tr w14:paraId="5DF859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noWrap w:val="0"/>
                  <w:vAlign w:val="center"/>
                </w:tcPr>
                <w:p w14:paraId="608CE1FD">
                  <w:pPr>
                    <w:widowControl/>
                    <w:jc w:val="center"/>
                    <w:rPr>
                      <w:color w:val="auto"/>
                      <w:kern w:val="0"/>
                      <w:szCs w:val="21"/>
                    </w:rPr>
                  </w:pPr>
                </w:p>
              </w:tc>
              <w:tc>
                <w:tcPr>
                  <w:tcW w:w="602" w:type="pct"/>
                  <w:noWrap w:val="0"/>
                  <w:vAlign w:val="center"/>
                </w:tcPr>
                <w:p w14:paraId="27924F1A">
                  <w:pPr>
                    <w:widowControl/>
                    <w:jc w:val="center"/>
                    <w:rPr>
                      <w:rFonts w:hint="eastAsia"/>
                      <w:color w:val="auto"/>
                      <w:kern w:val="0"/>
                      <w:szCs w:val="21"/>
                    </w:rPr>
                  </w:pPr>
                  <w:r>
                    <w:rPr>
                      <w:rFonts w:hint="eastAsia"/>
                      <w:color w:val="auto"/>
                      <w:kern w:val="0"/>
                      <w:szCs w:val="21"/>
                    </w:rPr>
                    <w:t>破碎</w:t>
                  </w:r>
                </w:p>
              </w:tc>
              <w:tc>
                <w:tcPr>
                  <w:tcW w:w="879" w:type="pct"/>
                  <w:noWrap w:val="0"/>
                  <w:vAlign w:val="center"/>
                </w:tcPr>
                <w:p w14:paraId="4613471D">
                  <w:pPr>
                    <w:widowControl/>
                    <w:jc w:val="center"/>
                    <w:rPr>
                      <w:rFonts w:hint="eastAsia"/>
                      <w:color w:val="auto"/>
                      <w:kern w:val="0"/>
                      <w:szCs w:val="21"/>
                    </w:rPr>
                  </w:pPr>
                  <w:r>
                    <w:rPr>
                      <w:rFonts w:hint="eastAsia"/>
                      <w:color w:val="auto"/>
                      <w:kern w:val="0"/>
                      <w:szCs w:val="21"/>
                    </w:rPr>
                    <w:t>边角料、</w:t>
                  </w:r>
                  <w:r>
                    <w:rPr>
                      <w:rFonts w:hint="eastAsia"/>
                      <w:color w:val="auto"/>
                      <w:kern w:val="0"/>
                      <w:szCs w:val="21"/>
                      <w:lang w:eastAsia="zh-CN"/>
                    </w:rPr>
                    <w:t>不合格</w:t>
                  </w:r>
                  <w:r>
                    <w:rPr>
                      <w:rFonts w:hint="eastAsia"/>
                      <w:color w:val="auto"/>
                      <w:kern w:val="0"/>
                      <w:szCs w:val="21"/>
                    </w:rPr>
                    <w:t>品破碎</w:t>
                  </w:r>
                </w:p>
              </w:tc>
              <w:tc>
                <w:tcPr>
                  <w:tcW w:w="657" w:type="pct"/>
                  <w:noWrap w:val="0"/>
                  <w:vAlign w:val="center"/>
                </w:tcPr>
                <w:p w14:paraId="7865A7B2">
                  <w:pPr>
                    <w:widowControl/>
                    <w:jc w:val="center"/>
                    <w:rPr>
                      <w:rFonts w:hint="eastAsia"/>
                      <w:color w:val="auto"/>
                      <w:kern w:val="0"/>
                      <w:szCs w:val="21"/>
                    </w:rPr>
                  </w:pPr>
                  <w:r>
                    <w:rPr>
                      <w:color w:val="auto"/>
                      <w:kern w:val="0"/>
                      <w:szCs w:val="21"/>
                    </w:rPr>
                    <w:t>粉尘</w:t>
                  </w:r>
                </w:p>
              </w:tc>
              <w:tc>
                <w:tcPr>
                  <w:tcW w:w="767" w:type="pct"/>
                  <w:noWrap w:val="0"/>
                  <w:vAlign w:val="center"/>
                </w:tcPr>
                <w:p w14:paraId="603AFA96">
                  <w:pPr>
                    <w:widowControl/>
                    <w:jc w:val="center"/>
                    <w:rPr>
                      <w:rFonts w:hint="eastAsia"/>
                      <w:color w:val="auto"/>
                      <w:kern w:val="0"/>
                      <w:szCs w:val="21"/>
                    </w:rPr>
                  </w:pPr>
                  <w:r>
                    <w:rPr>
                      <w:color w:val="auto"/>
                      <w:kern w:val="0"/>
                      <w:szCs w:val="21"/>
                    </w:rPr>
                    <w:t>颗粒物</w:t>
                  </w:r>
                </w:p>
              </w:tc>
              <w:tc>
                <w:tcPr>
                  <w:tcW w:w="391" w:type="pct"/>
                  <w:noWrap w:val="0"/>
                  <w:vAlign w:val="center"/>
                </w:tcPr>
                <w:p w14:paraId="21927BB0">
                  <w:pPr>
                    <w:widowControl/>
                    <w:jc w:val="center"/>
                    <w:rPr>
                      <w:color w:val="auto"/>
                      <w:kern w:val="0"/>
                      <w:szCs w:val="21"/>
                    </w:rPr>
                  </w:pPr>
                  <w:r>
                    <w:rPr>
                      <w:color w:val="auto"/>
                      <w:kern w:val="0"/>
                      <w:szCs w:val="21"/>
                    </w:rPr>
                    <w:t>间断</w:t>
                  </w:r>
                </w:p>
              </w:tc>
              <w:tc>
                <w:tcPr>
                  <w:tcW w:w="1327" w:type="pct"/>
                  <w:noWrap w:val="0"/>
                  <w:vAlign w:val="center"/>
                </w:tcPr>
                <w:p w14:paraId="1B763BD6">
                  <w:pPr>
                    <w:widowControl/>
                    <w:jc w:val="center"/>
                    <w:rPr>
                      <w:color w:val="auto"/>
                      <w:kern w:val="0"/>
                      <w:szCs w:val="21"/>
                    </w:rPr>
                  </w:pPr>
                  <w:r>
                    <w:rPr>
                      <w:color w:val="auto"/>
                      <w:kern w:val="0"/>
                      <w:szCs w:val="21"/>
                    </w:rPr>
                    <w:t>布袋除尘器处理后</w:t>
                  </w:r>
                  <w:r>
                    <w:rPr>
                      <w:rFonts w:hint="eastAsia"/>
                      <w:color w:val="auto"/>
                      <w:kern w:val="0"/>
                      <w:szCs w:val="21"/>
                    </w:rPr>
                    <w:t>车间内排放</w:t>
                  </w:r>
                </w:p>
              </w:tc>
            </w:tr>
            <w:tr w14:paraId="4C983A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restart"/>
                  <w:noWrap w:val="0"/>
                  <w:vAlign w:val="center"/>
                </w:tcPr>
                <w:p w14:paraId="1E1C768D">
                  <w:pPr>
                    <w:widowControl/>
                    <w:jc w:val="center"/>
                    <w:rPr>
                      <w:color w:val="auto"/>
                      <w:kern w:val="0"/>
                      <w:szCs w:val="21"/>
                    </w:rPr>
                  </w:pPr>
                  <w:r>
                    <w:rPr>
                      <w:color w:val="auto"/>
                      <w:kern w:val="0"/>
                      <w:szCs w:val="21"/>
                    </w:rPr>
                    <w:t>废水</w:t>
                  </w:r>
                </w:p>
              </w:tc>
              <w:tc>
                <w:tcPr>
                  <w:tcW w:w="1481" w:type="pct"/>
                  <w:gridSpan w:val="2"/>
                  <w:noWrap w:val="0"/>
                  <w:vAlign w:val="center"/>
                </w:tcPr>
                <w:p w14:paraId="2C9CE65D">
                  <w:pPr>
                    <w:widowControl/>
                    <w:jc w:val="center"/>
                    <w:rPr>
                      <w:color w:val="auto"/>
                      <w:kern w:val="0"/>
                      <w:szCs w:val="21"/>
                    </w:rPr>
                  </w:pPr>
                  <w:r>
                    <w:rPr>
                      <w:color w:val="auto"/>
                      <w:kern w:val="0"/>
                      <w:szCs w:val="21"/>
                    </w:rPr>
                    <w:t>员工生活</w:t>
                  </w:r>
                </w:p>
              </w:tc>
              <w:tc>
                <w:tcPr>
                  <w:tcW w:w="657" w:type="pct"/>
                  <w:noWrap w:val="0"/>
                  <w:vAlign w:val="center"/>
                </w:tcPr>
                <w:p w14:paraId="201537DC">
                  <w:pPr>
                    <w:widowControl/>
                    <w:jc w:val="center"/>
                    <w:rPr>
                      <w:color w:val="auto"/>
                      <w:kern w:val="0"/>
                      <w:szCs w:val="21"/>
                    </w:rPr>
                  </w:pPr>
                  <w:r>
                    <w:rPr>
                      <w:color w:val="auto"/>
                      <w:kern w:val="0"/>
                      <w:szCs w:val="21"/>
                    </w:rPr>
                    <w:t>生活污水</w:t>
                  </w:r>
                </w:p>
              </w:tc>
              <w:tc>
                <w:tcPr>
                  <w:tcW w:w="767" w:type="pct"/>
                  <w:noWrap w:val="0"/>
                  <w:vAlign w:val="center"/>
                </w:tcPr>
                <w:p w14:paraId="2FA1D439">
                  <w:pPr>
                    <w:pStyle w:val="8"/>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bidi="ar"/>
                    </w:rPr>
                    <w:t>p</w:t>
                  </w:r>
                  <w:r>
                    <w:rPr>
                      <w:rFonts w:hint="default" w:ascii="Times New Roman" w:hAnsi="Times New Roman" w:eastAsia="宋体" w:cs="Times New Roman"/>
                      <w:color w:val="auto"/>
                      <w:sz w:val="21"/>
                      <w:szCs w:val="21"/>
                      <w:lang w:bidi="ar"/>
                    </w:rPr>
                    <w:t>H、COD、BOD</w:t>
                  </w:r>
                  <w:r>
                    <w:rPr>
                      <w:rFonts w:hint="default" w:ascii="Times New Roman" w:hAnsi="Times New Roman" w:eastAsia="宋体" w:cs="Times New Roman"/>
                      <w:color w:val="auto"/>
                      <w:sz w:val="21"/>
                      <w:szCs w:val="21"/>
                      <w:vertAlign w:val="subscript"/>
                      <w:lang w:bidi="ar"/>
                    </w:rPr>
                    <w:t>5</w:t>
                  </w:r>
                  <w:r>
                    <w:rPr>
                      <w:rFonts w:hint="default" w:ascii="Times New Roman" w:hAnsi="Times New Roman" w:eastAsia="宋体" w:cs="Times New Roman"/>
                      <w:color w:val="auto"/>
                      <w:sz w:val="21"/>
                      <w:szCs w:val="21"/>
                      <w:lang w:bidi="ar"/>
                    </w:rPr>
                    <w:t>、SS、氨氮</w:t>
                  </w:r>
                  <w:r>
                    <w:rPr>
                      <w:rFonts w:hint="eastAsia" w:cs="Times New Roman"/>
                      <w:color w:val="auto"/>
                      <w:sz w:val="21"/>
                      <w:szCs w:val="21"/>
                      <w:lang w:eastAsia="zh-CN" w:bidi="ar"/>
                    </w:rPr>
                    <w:t>、</w:t>
                  </w:r>
                  <w:r>
                    <w:rPr>
                      <w:rFonts w:hint="eastAsia" w:ascii="Times New Roman" w:hAnsi="Times New Roman" w:eastAsia="宋体" w:cs="Times New Roman"/>
                      <w:color w:val="auto"/>
                      <w:kern w:val="0"/>
                      <w:sz w:val="21"/>
                      <w:szCs w:val="21"/>
                      <w:lang w:val="en-US" w:eastAsia="zh-CN" w:bidi="ar-SA"/>
                    </w:rPr>
                    <w:t>TN、TP</w:t>
                  </w:r>
                </w:p>
              </w:tc>
              <w:tc>
                <w:tcPr>
                  <w:tcW w:w="391" w:type="pct"/>
                  <w:noWrap w:val="0"/>
                  <w:vAlign w:val="center"/>
                </w:tcPr>
                <w:p w14:paraId="1C174EF3">
                  <w:pPr>
                    <w:widowControl/>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间断</w:t>
                  </w:r>
                </w:p>
              </w:tc>
              <w:tc>
                <w:tcPr>
                  <w:tcW w:w="1327" w:type="pct"/>
                  <w:noWrap w:val="0"/>
                  <w:vAlign w:val="center"/>
                </w:tcPr>
                <w:p w14:paraId="3E51E27B">
                  <w:pPr>
                    <w:widowControl/>
                    <w:jc w:val="center"/>
                    <w:rPr>
                      <w:color w:val="auto"/>
                      <w:kern w:val="0"/>
                      <w:szCs w:val="21"/>
                    </w:rPr>
                  </w:pPr>
                  <w:r>
                    <w:rPr>
                      <w:color w:val="auto"/>
                      <w:kern w:val="0"/>
                      <w:szCs w:val="21"/>
                    </w:rPr>
                    <w:t>化粪池处理后，纳入</w:t>
                  </w:r>
                  <w:r>
                    <w:rPr>
                      <w:rFonts w:hint="eastAsia"/>
                      <w:color w:val="auto"/>
                      <w:kern w:val="0"/>
                      <w:szCs w:val="21"/>
                      <w:lang w:eastAsia="zh-CN"/>
                    </w:rPr>
                    <w:t>闽侯县污水处理厂</w:t>
                  </w:r>
                  <w:r>
                    <w:rPr>
                      <w:rFonts w:hint="eastAsia"/>
                      <w:color w:val="auto"/>
                      <w:kern w:val="0"/>
                      <w:szCs w:val="21"/>
                    </w:rPr>
                    <w:t>处理</w:t>
                  </w:r>
                </w:p>
              </w:tc>
            </w:tr>
            <w:tr w14:paraId="4A2984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continue"/>
                  <w:noWrap w:val="0"/>
                  <w:vAlign w:val="center"/>
                </w:tcPr>
                <w:p w14:paraId="28E8145A">
                  <w:pPr>
                    <w:widowControl/>
                    <w:jc w:val="center"/>
                    <w:rPr>
                      <w:color w:val="auto"/>
                      <w:kern w:val="0"/>
                      <w:szCs w:val="21"/>
                    </w:rPr>
                  </w:pPr>
                </w:p>
              </w:tc>
              <w:tc>
                <w:tcPr>
                  <w:tcW w:w="1481" w:type="pct"/>
                  <w:gridSpan w:val="2"/>
                  <w:noWrap w:val="0"/>
                  <w:vAlign w:val="center"/>
                </w:tcPr>
                <w:p w14:paraId="70AF5468">
                  <w:pPr>
                    <w:widowControl/>
                    <w:jc w:val="center"/>
                    <w:rPr>
                      <w:color w:val="auto"/>
                      <w:kern w:val="0"/>
                      <w:szCs w:val="21"/>
                    </w:rPr>
                  </w:pPr>
                  <w:r>
                    <w:rPr>
                      <w:rFonts w:hint="eastAsia"/>
                      <w:color w:val="auto"/>
                      <w:kern w:val="0"/>
                      <w:szCs w:val="21"/>
                    </w:rPr>
                    <w:t>循环冷却水</w:t>
                  </w:r>
                </w:p>
              </w:tc>
              <w:tc>
                <w:tcPr>
                  <w:tcW w:w="657" w:type="pct"/>
                  <w:noWrap w:val="0"/>
                  <w:vAlign w:val="center"/>
                </w:tcPr>
                <w:p w14:paraId="3D31954E">
                  <w:pPr>
                    <w:widowControl/>
                    <w:jc w:val="center"/>
                    <w:rPr>
                      <w:color w:val="auto"/>
                      <w:kern w:val="0"/>
                      <w:szCs w:val="21"/>
                    </w:rPr>
                  </w:pPr>
                  <w:r>
                    <w:rPr>
                      <w:rFonts w:hint="eastAsia"/>
                      <w:color w:val="auto"/>
                      <w:kern w:val="0"/>
                      <w:szCs w:val="21"/>
                    </w:rPr>
                    <w:t>冷却水</w:t>
                  </w:r>
                </w:p>
              </w:tc>
              <w:tc>
                <w:tcPr>
                  <w:tcW w:w="767" w:type="pct"/>
                  <w:noWrap w:val="0"/>
                  <w:vAlign w:val="center"/>
                </w:tcPr>
                <w:p w14:paraId="4394D17F">
                  <w:pPr>
                    <w:widowControl/>
                    <w:jc w:val="center"/>
                    <w:rPr>
                      <w:rFonts w:hint="default" w:eastAsia="等线"/>
                      <w:color w:val="auto"/>
                      <w:kern w:val="0"/>
                      <w:szCs w:val="21"/>
                      <w:lang w:val="en-US" w:eastAsia="zh-CN"/>
                    </w:rPr>
                  </w:pPr>
                  <w:r>
                    <w:rPr>
                      <w:rFonts w:hint="eastAsia" w:eastAsia="等线"/>
                      <w:color w:val="auto"/>
                      <w:kern w:val="0"/>
                      <w:szCs w:val="21"/>
                      <w:lang w:val="en-US" w:eastAsia="zh-CN"/>
                    </w:rPr>
                    <w:t>SS</w:t>
                  </w:r>
                </w:p>
              </w:tc>
              <w:tc>
                <w:tcPr>
                  <w:tcW w:w="391" w:type="pct"/>
                  <w:noWrap w:val="0"/>
                  <w:vAlign w:val="center"/>
                </w:tcPr>
                <w:p w14:paraId="413AB2D8">
                  <w:pPr>
                    <w:widowControl/>
                    <w:jc w:val="center"/>
                    <w:rPr>
                      <w:rFonts w:hint="eastAsia" w:eastAsia="宋体"/>
                      <w:color w:val="auto"/>
                      <w:kern w:val="0"/>
                      <w:szCs w:val="21"/>
                      <w:lang w:eastAsia="zh-CN"/>
                    </w:rPr>
                  </w:pPr>
                  <w:r>
                    <w:rPr>
                      <w:rFonts w:hint="eastAsia"/>
                      <w:color w:val="auto"/>
                      <w:kern w:val="0"/>
                      <w:szCs w:val="21"/>
                      <w:lang w:eastAsia="zh-CN"/>
                    </w:rPr>
                    <w:t>定期</w:t>
                  </w:r>
                </w:p>
              </w:tc>
              <w:tc>
                <w:tcPr>
                  <w:tcW w:w="1327" w:type="pct"/>
                  <w:noWrap w:val="0"/>
                  <w:vAlign w:val="center"/>
                </w:tcPr>
                <w:p w14:paraId="3E32BA22">
                  <w:pPr>
                    <w:widowControl/>
                    <w:jc w:val="center"/>
                    <w:rPr>
                      <w:color w:val="auto"/>
                      <w:kern w:val="0"/>
                      <w:szCs w:val="21"/>
                    </w:rPr>
                  </w:pPr>
                  <w:r>
                    <w:rPr>
                      <w:rFonts w:hint="default" w:ascii="Times New Roman" w:hAnsi="Times New Roman" w:eastAsia="宋体" w:cs="Times New Roman"/>
                      <w:color w:val="auto"/>
                      <w:sz w:val="21"/>
                      <w:szCs w:val="21"/>
                      <w:lang w:eastAsia="zh-CN" w:bidi="ar"/>
                    </w:rPr>
                    <w:t>经循环水池沉淀后循环使用，定期排放</w:t>
                  </w:r>
                </w:p>
              </w:tc>
            </w:tr>
            <w:tr w14:paraId="7BAB10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noWrap w:val="0"/>
                  <w:vAlign w:val="center"/>
                </w:tcPr>
                <w:p w14:paraId="71799824">
                  <w:pPr>
                    <w:widowControl/>
                    <w:jc w:val="center"/>
                    <w:rPr>
                      <w:color w:val="auto"/>
                      <w:kern w:val="0"/>
                      <w:szCs w:val="21"/>
                    </w:rPr>
                  </w:pPr>
                  <w:r>
                    <w:rPr>
                      <w:color w:val="auto"/>
                      <w:kern w:val="0"/>
                      <w:szCs w:val="21"/>
                    </w:rPr>
                    <w:t>噪声</w:t>
                  </w:r>
                </w:p>
              </w:tc>
              <w:tc>
                <w:tcPr>
                  <w:tcW w:w="1481" w:type="pct"/>
                  <w:gridSpan w:val="2"/>
                  <w:noWrap w:val="0"/>
                  <w:vAlign w:val="center"/>
                </w:tcPr>
                <w:p w14:paraId="477CA7CA">
                  <w:pPr>
                    <w:widowControl/>
                    <w:jc w:val="center"/>
                    <w:rPr>
                      <w:color w:val="auto"/>
                      <w:kern w:val="0"/>
                      <w:szCs w:val="21"/>
                    </w:rPr>
                  </w:pPr>
                  <w:r>
                    <w:rPr>
                      <w:color w:val="auto"/>
                      <w:kern w:val="0"/>
                      <w:szCs w:val="21"/>
                    </w:rPr>
                    <w:t>设备噪声</w:t>
                  </w:r>
                </w:p>
              </w:tc>
              <w:tc>
                <w:tcPr>
                  <w:tcW w:w="657" w:type="pct"/>
                  <w:noWrap w:val="0"/>
                  <w:vAlign w:val="center"/>
                </w:tcPr>
                <w:p w14:paraId="70D69D2E">
                  <w:pPr>
                    <w:widowControl/>
                    <w:jc w:val="center"/>
                    <w:rPr>
                      <w:color w:val="auto"/>
                      <w:kern w:val="0"/>
                      <w:szCs w:val="21"/>
                    </w:rPr>
                  </w:pPr>
                  <w:r>
                    <w:rPr>
                      <w:color w:val="auto"/>
                      <w:kern w:val="0"/>
                      <w:szCs w:val="21"/>
                    </w:rPr>
                    <w:t>噪声</w:t>
                  </w:r>
                </w:p>
              </w:tc>
              <w:tc>
                <w:tcPr>
                  <w:tcW w:w="767" w:type="pct"/>
                  <w:noWrap w:val="0"/>
                  <w:vAlign w:val="center"/>
                </w:tcPr>
                <w:p w14:paraId="58966DB4">
                  <w:pPr>
                    <w:widowControl/>
                    <w:jc w:val="center"/>
                    <w:rPr>
                      <w:rFonts w:eastAsia="等线"/>
                      <w:color w:val="auto"/>
                      <w:kern w:val="0"/>
                      <w:szCs w:val="21"/>
                    </w:rPr>
                  </w:pPr>
                  <w:r>
                    <w:rPr>
                      <w:rFonts w:eastAsia="等线"/>
                      <w:color w:val="auto"/>
                      <w:kern w:val="0"/>
                      <w:szCs w:val="21"/>
                    </w:rPr>
                    <w:t>L</w:t>
                  </w:r>
                  <w:r>
                    <w:rPr>
                      <w:rFonts w:eastAsia="等线"/>
                      <w:color w:val="auto"/>
                      <w:kern w:val="0"/>
                      <w:szCs w:val="21"/>
                      <w:vertAlign w:val="subscript"/>
                    </w:rPr>
                    <w:t>Aeq</w:t>
                  </w:r>
                </w:p>
              </w:tc>
              <w:tc>
                <w:tcPr>
                  <w:tcW w:w="391" w:type="pct"/>
                  <w:noWrap w:val="0"/>
                  <w:vAlign w:val="center"/>
                </w:tcPr>
                <w:p w14:paraId="19CE67DF">
                  <w:pPr>
                    <w:widowControl/>
                    <w:jc w:val="center"/>
                    <w:rPr>
                      <w:color w:val="auto"/>
                      <w:kern w:val="0"/>
                      <w:szCs w:val="21"/>
                    </w:rPr>
                  </w:pPr>
                  <w:r>
                    <w:rPr>
                      <w:color w:val="auto"/>
                      <w:kern w:val="0"/>
                      <w:szCs w:val="21"/>
                    </w:rPr>
                    <w:t>间断</w:t>
                  </w:r>
                </w:p>
              </w:tc>
              <w:tc>
                <w:tcPr>
                  <w:tcW w:w="1327" w:type="pct"/>
                  <w:noWrap w:val="0"/>
                  <w:vAlign w:val="center"/>
                </w:tcPr>
                <w:p w14:paraId="22D6F87C">
                  <w:pPr>
                    <w:widowControl/>
                    <w:jc w:val="center"/>
                    <w:rPr>
                      <w:rFonts w:eastAsia="等线"/>
                      <w:color w:val="auto"/>
                      <w:kern w:val="0"/>
                      <w:szCs w:val="21"/>
                    </w:rPr>
                  </w:pPr>
                  <w:r>
                    <w:rPr>
                      <w:rFonts w:eastAsia="等线"/>
                      <w:color w:val="auto"/>
                      <w:kern w:val="0"/>
                      <w:szCs w:val="21"/>
                    </w:rPr>
                    <w:t>/</w:t>
                  </w:r>
                </w:p>
              </w:tc>
            </w:tr>
            <w:tr w14:paraId="5BFD7E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restart"/>
                  <w:noWrap w:val="0"/>
                  <w:vAlign w:val="center"/>
                </w:tcPr>
                <w:p w14:paraId="3177AAFD">
                  <w:pPr>
                    <w:widowControl/>
                    <w:jc w:val="center"/>
                    <w:rPr>
                      <w:rFonts w:hint="eastAsia" w:eastAsia="宋体"/>
                      <w:color w:val="auto"/>
                      <w:kern w:val="0"/>
                      <w:szCs w:val="21"/>
                      <w:lang w:eastAsia="zh-CN"/>
                    </w:rPr>
                  </w:pPr>
                  <w:r>
                    <w:rPr>
                      <w:rFonts w:hint="eastAsia"/>
                      <w:color w:val="auto"/>
                      <w:kern w:val="0"/>
                      <w:szCs w:val="21"/>
                      <w:lang w:eastAsia="zh-CN"/>
                    </w:rPr>
                    <w:t>固废</w:t>
                  </w:r>
                </w:p>
              </w:tc>
              <w:tc>
                <w:tcPr>
                  <w:tcW w:w="602" w:type="pct"/>
                  <w:noWrap w:val="0"/>
                  <w:vAlign w:val="center"/>
                </w:tcPr>
                <w:p w14:paraId="5DBDCF5B">
                  <w:pPr>
                    <w:widowControl/>
                    <w:jc w:val="center"/>
                    <w:rPr>
                      <w:color w:val="auto"/>
                      <w:kern w:val="0"/>
                      <w:szCs w:val="21"/>
                    </w:rPr>
                  </w:pPr>
                  <w:r>
                    <w:rPr>
                      <w:rFonts w:hint="eastAsia"/>
                      <w:color w:val="auto"/>
                      <w:kern w:val="0"/>
                      <w:szCs w:val="21"/>
                    </w:rPr>
                    <w:t>生产过程</w:t>
                  </w:r>
                </w:p>
              </w:tc>
              <w:tc>
                <w:tcPr>
                  <w:tcW w:w="879" w:type="pct"/>
                  <w:noWrap w:val="0"/>
                  <w:vAlign w:val="center"/>
                </w:tcPr>
                <w:p w14:paraId="36DB3867">
                  <w:pPr>
                    <w:widowControl/>
                    <w:jc w:val="center"/>
                    <w:rPr>
                      <w:rFonts w:hint="eastAsia" w:eastAsia="宋体"/>
                      <w:color w:val="auto"/>
                      <w:kern w:val="0"/>
                      <w:szCs w:val="21"/>
                      <w:lang w:eastAsia="zh-CN"/>
                    </w:rPr>
                  </w:pPr>
                  <w:r>
                    <w:rPr>
                      <w:rFonts w:hint="eastAsia"/>
                      <w:color w:val="auto"/>
                      <w:kern w:val="0"/>
                      <w:szCs w:val="21"/>
                      <w:lang w:eastAsia="zh-CN"/>
                    </w:rPr>
                    <w:t>原材料包装</w:t>
                  </w:r>
                </w:p>
              </w:tc>
              <w:tc>
                <w:tcPr>
                  <w:tcW w:w="1424" w:type="pct"/>
                  <w:gridSpan w:val="2"/>
                  <w:noWrap w:val="0"/>
                  <w:vAlign w:val="center"/>
                </w:tcPr>
                <w:p w14:paraId="1C773807">
                  <w:pPr>
                    <w:widowControl/>
                    <w:jc w:val="center"/>
                    <w:rPr>
                      <w:rFonts w:hint="eastAsia" w:eastAsia="宋体"/>
                      <w:color w:val="auto"/>
                      <w:kern w:val="0"/>
                      <w:szCs w:val="21"/>
                      <w:lang w:eastAsia="zh-CN"/>
                    </w:rPr>
                  </w:pPr>
                  <w:r>
                    <w:rPr>
                      <w:rFonts w:hint="eastAsia"/>
                      <w:color w:val="auto"/>
                      <w:kern w:val="0"/>
                      <w:szCs w:val="21"/>
                    </w:rPr>
                    <w:t>废包装</w:t>
                  </w:r>
                  <w:r>
                    <w:rPr>
                      <w:rFonts w:hint="eastAsia"/>
                      <w:color w:val="auto"/>
                      <w:kern w:val="0"/>
                      <w:szCs w:val="21"/>
                      <w:lang w:eastAsia="zh-CN"/>
                    </w:rPr>
                    <w:t>材料</w:t>
                  </w:r>
                </w:p>
              </w:tc>
              <w:tc>
                <w:tcPr>
                  <w:tcW w:w="391" w:type="pct"/>
                  <w:noWrap w:val="0"/>
                  <w:vAlign w:val="center"/>
                </w:tcPr>
                <w:p w14:paraId="09E2C27E">
                  <w:pPr>
                    <w:widowControl/>
                    <w:jc w:val="center"/>
                    <w:rPr>
                      <w:color w:val="auto"/>
                      <w:kern w:val="0"/>
                      <w:szCs w:val="21"/>
                    </w:rPr>
                  </w:pPr>
                  <w:r>
                    <w:rPr>
                      <w:rFonts w:hint="eastAsia"/>
                      <w:color w:val="auto"/>
                      <w:kern w:val="0"/>
                      <w:szCs w:val="21"/>
                    </w:rPr>
                    <w:t>间断</w:t>
                  </w:r>
                </w:p>
              </w:tc>
              <w:tc>
                <w:tcPr>
                  <w:tcW w:w="1327" w:type="pct"/>
                  <w:noWrap w:val="0"/>
                  <w:vAlign w:val="center"/>
                </w:tcPr>
                <w:p w14:paraId="0BC710F1">
                  <w:pPr>
                    <w:widowControl/>
                    <w:jc w:val="center"/>
                    <w:rPr>
                      <w:color w:val="auto"/>
                      <w:kern w:val="0"/>
                      <w:szCs w:val="21"/>
                    </w:rPr>
                  </w:pPr>
                  <w:r>
                    <w:rPr>
                      <w:color w:val="auto"/>
                      <w:kern w:val="0"/>
                      <w:szCs w:val="21"/>
                    </w:rPr>
                    <w:t>一般</w:t>
                  </w:r>
                  <w:r>
                    <w:rPr>
                      <w:rFonts w:hint="eastAsia"/>
                      <w:iCs/>
                      <w:color w:val="auto"/>
                    </w:rPr>
                    <w:t>工业</w:t>
                  </w:r>
                  <w:r>
                    <w:rPr>
                      <w:color w:val="auto"/>
                      <w:kern w:val="0"/>
                      <w:szCs w:val="21"/>
                    </w:rPr>
                    <w:t>固废，委外处置</w:t>
                  </w:r>
                </w:p>
              </w:tc>
            </w:tr>
            <w:tr w14:paraId="48232D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continue"/>
                  <w:noWrap w:val="0"/>
                  <w:vAlign w:val="center"/>
                </w:tcPr>
                <w:p w14:paraId="2793769E">
                  <w:pPr>
                    <w:widowControl/>
                    <w:jc w:val="center"/>
                    <w:rPr>
                      <w:color w:val="auto"/>
                      <w:kern w:val="0"/>
                      <w:szCs w:val="21"/>
                    </w:rPr>
                  </w:pPr>
                </w:p>
                <w:p w14:paraId="07BA5F1E">
                  <w:pPr>
                    <w:widowControl/>
                    <w:jc w:val="center"/>
                    <w:rPr>
                      <w:color w:val="auto"/>
                      <w:kern w:val="0"/>
                      <w:szCs w:val="21"/>
                    </w:rPr>
                  </w:pPr>
                </w:p>
              </w:tc>
              <w:tc>
                <w:tcPr>
                  <w:tcW w:w="602" w:type="pct"/>
                  <w:noWrap w:val="0"/>
                  <w:vAlign w:val="center"/>
                </w:tcPr>
                <w:p w14:paraId="1EA84F00">
                  <w:pPr>
                    <w:widowControl/>
                    <w:jc w:val="center"/>
                    <w:rPr>
                      <w:rFonts w:hint="eastAsia"/>
                      <w:color w:val="auto"/>
                      <w:kern w:val="0"/>
                      <w:szCs w:val="21"/>
                    </w:rPr>
                  </w:pPr>
                  <w:r>
                    <w:rPr>
                      <w:rFonts w:hint="eastAsia"/>
                      <w:color w:val="auto"/>
                      <w:kern w:val="0"/>
                      <w:szCs w:val="21"/>
                    </w:rPr>
                    <w:t>生产过程</w:t>
                  </w:r>
                </w:p>
              </w:tc>
              <w:tc>
                <w:tcPr>
                  <w:tcW w:w="879" w:type="pct"/>
                  <w:noWrap w:val="0"/>
                  <w:vAlign w:val="center"/>
                </w:tcPr>
                <w:p w14:paraId="2AD537F8">
                  <w:pPr>
                    <w:widowControl/>
                    <w:jc w:val="center"/>
                    <w:rPr>
                      <w:rFonts w:hint="eastAsia"/>
                      <w:color w:val="auto"/>
                      <w:kern w:val="0"/>
                      <w:szCs w:val="21"/>
                      <w:lang w:eastAsia="zh-CN"/>
                    </w:rPr>
                  </w:pPr>
                  <w:r>
                    <w:rPr>
                      <w:rFonts w:hint="eastAsia"/>
                      <w:color w:val="auto"/>
                      <w:kern w:val="0"/>
                      <w:szCs w:val="21"/>
                      <w:lang w:eastAsia="zh-CN"/>
                    </w:rPr>
                    <w:t>产品加工</w:t>
                  </w:r>
                </w:p>
              </w:tc>
              <w:tc>
                <w:tcPr>
                  <w:tcW w:w="1424" w:type="pct"/>
                  <w:gridSpan w:val="2"/>
                  <w:noWrap w:val="0"/>
                  <w:vAlign w:val="center"/>
                </w:tcPr>
                <w:p w14:paraId="45D0E6ED">
                  <w:pPr>
                    <w:widowControl/>
                    <w:jc w:val="center"/>
                    <w:rPr>
                      <w:rFonts w:hint="eastAsia"/>
                      <w:color w:val="auto"/>
                      <w:kern w:val="0"/>
                      <w:szCs w:val="21"/>
                      <w:lang w:eastAsia="zh-CN"/>
                    </w:rPr>
                  </w:pPr>
                  <w:r>
                    <w:rPr>
                      <w:rFonts w:hint="eastAsia"/>
                      <w:color w:val="auto"/>
                      <w:kern w:val="0"/>
                      <w:szCs w:val="21"/>
                    </w:rPr>
                    <w:t>边角料、</w:t>
                  </w:r>
                  <w:r>
                    <w:rPr>
                      <w:rFonts w:hint="eastAsia"/>
                      <w:color w:val="auto"/>
                      <w:kern w:val="0"/>
                      <w:szCs w:val="21"/>
                      <w:lang w:eastAsia="zh-CN"/>
                    </w:rPr>
                    <w:t>不合格品</w:t>
                  </w:r>
                </w:p>
                <w:p w14:paraId="21065160">
                  <w:pPr>
                    <w:widowControl/>
                    <w:jc w:val="center"/>
                    <w:rPr>
                      <w:rFonts w:hint="eastAsia"/>
                      <w:color w:val="auto"/>
                      <w:kern w:val="0"/>
                      <w:szCs w:val="21"/>
                    </w:rPr>
                  </w:pPr>
                  <w:r>
                    <w:rPr>
                      <w:rFonts w:hint="eastAsia"/>
                      <w:color w:val="auto"/>
                      <w:kern w:val="0"/>
                      <w:szCs w:val="21"/>
                      <w:lang w:eastAsia="zh-CN"/>
                    </w:rPr>
                    <w:t>（</w:t>
                  </w:r>
                  <w:r>
                    <w:rPr>
                      <w:rFonts w:hint="eastAsia"/>
                      <w:color w:val="auto"/>
                      <w:kern w:val="0"/>
                      <w:szCs w:val="21"/>
                    </w:rPr>
                    <w:t>H</w:t>
                  </w:r>
                  <w:r>
                    <w:rPr>
                      <w:color w:val="auto"/>
                      <w:kern w:val="0"/>
                      <w:szCs w:val="21"/>
                    </w:rPr>
                    <w:t>DPE</w:t>
                  </w:r>
                  <w:r>
                    <w:rPr>
                      <w:rFonts w:hint="eastAsia"/>
                      <w:color w:val="auto"/>
                      <w:kern w:val="0"/>
                      <w:szCs w:val="21"/>
                    </w:rPr>
                    <w:t>塑料</w:t>
                  </w:r>
                  <w:r>
                    <w:rPr>
                      <w:rFonts w:hint="eastAsia"/>
                      <w:color w:val="auto"/>
                      <w:kern w:val="0"/>
                      <w:szCs w:val="21"/>
                      <w:lang w:eastAsia="zh-CN"/>
                    </w:rPr>
                    <w:t>）</w:t>
                  </w:r>
                </w:p>
              </w:tc>
              <w:tc>
                <w:tcPr>
                  <w:tcW w:w="391" w:type="pct"/>
                  <w:noWrap w:val="0"/>
                  <w:vAlign w:val="center"/>
                </w:tcPr>
                <w:p w14:paraId="7B0C5226">
                  <w:pPr>
                    <w:widowControl/>
                    <w:jc w:val="center"/>
                    <w:rPr>
                      <w:rFonts w:hint="eastAsia"/>
                      <w:color w:val="auto"/>
                      <w:kern w:val="0"/>
                      <w:szCs w:val="21"/>
                    </w:rPr>
                  </w:pPr>
                  <w:r>
                    <w:rPr>
                      <w:color w:val="auto"/>
                      <w:kern w:val="0"/>
                      <w:szCs w:val="21"/>
                    </w:rPr>
                    <w:t>间断</w:t>
                  </w:r>
                </w:p>
              </w:tc>
              <w:tc>
                <w:tcPr>
                  <w:tcW w:w="1327" w:type="pct"/>
                  <w:noWrap w:val="0"/>
                  <w:vAlign w:val="center"/>
                </w:tcPr>
                <w:p w14:paraId="164FC6C6">
                  <w:pPr>
                    <w:widowControl/>
                    <w:jc w:val="center"/>
                    <w:rPr>
                      <w:color w:val="auto"/>
                      <w:kern w:val="0"/>
                      <w:szCs w:val="21"/>
                    </w:rPr>
                  </w:pPr>
                  <w:r>
                    <w:rPr>
                      <w:color w:val="auto"/>
                      <w:kern w:val="0"/>
                      <w:szCs w:val="21"/>
                    </w:rPr>
                    <w:t>一般</w:t>
                  </w:r>
                  <w:r>
                    <w:rPr>
                      <w:rFonts w:hint="eastAsia"/>
                      <w:iCs/>
                      <w:color w:val="auto"/>
                    </w:rPr>
                    <w:t>工业</w:t>
                  </w:r>
                  <w:r>
                    <w:rPr>
                      <w:color w:val="auto"/>
                      <w:kern w:val="0"/>
                      <w:szCs w:val="21"/>
                    </w:rPr>
                    <w:t>固</w:t>
                  </w:r>
                  <w:r>
                    <w:rPr>
                      <w:rFonts w:hint="eastAsia"/>
                      <w:color w:val="auto"/>
                      <w:kern w:val="0"/>
                      <w:szCs w:val="21"/>
                    </w:rPr>
                    <w:t>废，回用至生产线</w:t>
                  </w:r>
                </w:p>
              </w:tc>
            </w:tr>
            <w:tr w14:paraId="246456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continue"/>
                  <w:noWrap w:val="0"/>
                  <w:vAlign w:val="center"/>
                </w:tcPr>
                <w:p w14:paraId="62A08D85">
                  <w:pPr>
                    <w:widowControl/>
                    <w:jc w:val="center"/>
                    <w:rPr>
                      <w:color w:val="auto"/>
                      <w:kern w:val="0"/>
                      <w:szCs w:val="21"/>
                    </w:rPr>
                  </w:pPr>
                </w:p>
              </w:tc>
              <w:tc>
                <w:tcPr>
                  <w:tcW w:w="602" w:type="pct"/>
                  <w:noWrap w:val="0"/>
                  <w:vAlign w:val="center"/>
                </w:tcPr>
                <w:p w14:paraId="1D891D7C">
                  <w:pPr>
                    <w:widowControl/>
                    <w:jc w:val="center"/>
                    <w:rPr>
                      <w:rFonts w:hint="eastAsia"/>
                      <w:color w:val="auto"/>
                      <w:kern w:val="0"/>
                      <w:szCs w:val="21"/>
                    </w:rPr>
                  </w:pPr>
                  <w:r>
                    <w:rPr>
                      <w:rFonts w:hint="eastAsia"/>
                      <w:color w:val="auto"/>
                      <w:kern w:val="0"/>
                      <w:szCs w:val="21"/>
                    </w:rPr>
                    <w:t>生产过程</w:t>
                  </w:r>
                </w:p>
              </w:tc>
              <w:tc>
                <w:tcPr>
                  <w:tcW w:w="879" w:type="pct"/>
                  <w:noWrap w:val="0"/>
                  <w:vAlign w:val="center"/>
                </w:tcPr>
                <w:p w14:paraId="23B006F8">
                  <w:pPr>
                    <w:widowControl/>
                    <w:jc w:val="center"/>
                    <w:rPr>
                      <w:rFonts w:hint="eastAsia"/>
                      <w:color w:val="auto"/>
                      <w:kern w:val="0"/>
                      <w:szCs w:val="21"/>
                      <w:lang w:eastAsia="zh-CN"/>
                    </w:rPr>
                  </w:pPr>
                  <w:r>
                    <w:rPr>
                      <w:rFonts w:hint="eastAsia"/>
                      <w:color w:val="auto"/>
                      <w:kern w:val="0"/>
                      <w:szCs w:val="21"/>
                    </w:rPr>
                    <w:t>机加工</w:t>
                  </w:r>
                </w:p>
              </w:tc>
              <w:tc>
                <w:tcPr>
                  <w:tcW w:w="1424" w:type="pct"/>
                  <w:gridSpan w:val="2"/>
                  <w:noWrap w:val="0"/>
                  <w:vAlign w:val="center"/>
                </w:tcPr>
                <w:p w14:paraId="29F41B8D">
                  <w:pPr>
                    <w:widowControl/>
                    <w:jc w:val="center"/>
                    <w:rPr>
                      <w:rFonts w:hint="eastAsia"/>
                      <w:color w:val="auto"/>
                      <w:kern w:val="0"/>
                      <w:szCs w:val="21"/>
                    </w:rPr>
                  </w:pPr>
                  <w:r>
                    <w:rPr>
                      <w:rFonts w:hint="eastAsia"/>
                      <w:color w:val="auto"/>
                      <w:kern w:val="0"/>
                      <w:szCs w:val="21"/>
                    </w:rPr>
                    <w:t>沉降粉尘</w:t>
                  </w:r>
                </w:p>
              </w:tc>
              <w:tc>
                <w:tcPr>
                  <w:tcW w:w="391" w:type="pct"/>
                  <w:noWrap w:val="0"/>
                  <w:vAlign w:val="center"/>
                </w:tcPr>
                <w:p w14:paraId="69355B27">
                  <w:pPr>
                    <w:widowControl/>
                    <w:jc w:val="center"/>
                    <w:rPr>
                      <w:rFonts w:hint="eastAsia"/>
                      <w:color w:val="auto"/>
                      <w:kern w:val="0"/>
                      <w:szCs w:val="21"/>
                    </w:rPr>
                  </w:pPr>
                  <w:r>
                    <w:rPr>
                      <w:color w:val="auto"/>
                      <w:kern w:val="0"/>
                      <w:szCs w:val="21"/>
                    </w:rPr>
                    <w:t>间断</w:t>
                  </w:r>
                </w:p>
              </w:tc>
              <w:tc>
                <w:tcPr>
                  <w:tcW w:w="1327" w:type="pct"/>
                  <w:noWrap w:val="0"/>
                  <w:vAlign w:val="center"/>
                </w:tcPr>
                <w:p w14:paraId="113B87B7">
                  <w:pPr>
                    <w:widowControl/>
                    <w:jc w:val="center"/>
                    <w:rPr>
                      <w:color w:val="auto"/>
                      <w:kern w:val="0"/>
                      <w:szCs w:val="21"/>
                    </w:rPr>
                  </w:pPr>
                  <w:r>
                    <w:rPr>
                      <w:color w:val="auto"/>
                      <w:kern w:val="0"/>
                      <w:szCs w:val="21"/>
                    </w:rPr>
                    <w:t>一般</w:t>
                  </w:r>
                  <w:r>
                    <w:rPr>
                      <w:rFonts w:hint="eastAsia"/>
                      <w:iCs/>
                      <w:color w:val="auto"/>
                    </w:rPr>
                    <w:t>工业</w:t>
                  </w:r>
                  <w:r>
                    <w:rPr>
                      <w:color w:val="auto"/>
                      <w:kern w:val="0"/>
                      <w:szCs w:val="21"/>
                    </w:rPr>
                    <w:t>固废，委外处置</w:t>
                  </w:r>
                </w:p>
              </w:tc>
            </w:tr>
            <w:tr w14:paraId="0A787B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continue"/>
                  <w:noWrap w:val="0"/>
                  <w:vAlign w:val="center"/>
                </w:tcPr>
                <w:p w14:paraId="75F30E95">
                  <w:pPr>
                    <w:widowControl/>
                    <w:jc w:val="center"/>
                    <w:rPr>
                      <w:color w:val="auto"/>
                      <w:kern w:val="0"/>
                      <w:szCs w:val="21"/>
                    </w:rPr>
                  </w:pPr>
                </w:p>
              </w:tc>
              <w:tc>
                <w:tcPr>
                  <w:tcW w:w="602" w:type="pct"/>
                  <w:noWrap w:val="0"/>
                  <w:vAlign w:val="center"/>
                </w:tcPr>
                <w:p w14:paraId="13806332">
                  <w:pPr>
                    <w:widowControl/>
                    <w:jc w:val="center"/>
                    <w:rPr>
                      <w:rFonts w:hint="eastAsia"/>
                      <w:color w:val="auto"/>
                      <w:kern w:val="0"/>
                      <w:szCs w:val="21"/>
                    </w:rPr>
                  </w:pPr>
                  <w:r>
                    <w:rPr>
                      <w:rFonts w:hint="eastAsia"/>
                      <w:color w:val="auto"/>
                      <w:kern w:val="0"/>
                      <w:szCs w:val="21"/>
                      <w:lang w:eastAsia="zh-CN"/>
                    </w:rPr>
                    <w:t>废气处理</w:t>
                  </w:r>
                </w:p>
              </w:tc>
              <w:tc>
                <w:tcPr>
                  <w:tcW w:w="879" w:type="pct"/>
                  <w:noWrap w:val="0"/>
                  <w:vAlign w:val="center"/>
                </w:tcPr>
                <w:p w14:paraId="5985F1F9">
                  <w:pPr>
                    <w:widowControl/>
                    <w:jc w:val="center"/>
                    <w:rPr>
                      <w:rFonts w:hint="eastAsia"/>
                      <w:color w:val="auto"/>
                      <w:kern w:val="0"/>
                      <w:szCs w:val="21"/>
                      <w:lang w:eastAsia="zh-CN"/>
                    </w:rPr>
                  </w:pPr>
                  <w:r>
                    <w:rPr>
                      <w:color w:val="auto"/>
                      <w:kern w:val="0"/>
                      <w:szCs w:val="21"/>
                    </w:rPr>
                    <w:t>布袋除尘器</w:t>
                  </w:r>
                </w:p>
              </w:tc>
              <w:tc>
                <w:tcPr>
                  <w:tcW w:w="1424" w:type="pct"/>
                  <w:gridSpan w:val="2"/>
                  <w:noWrap w:val="0"/>
                  <w:vAlign w:val="center"/>
                </w:tcPr>
                <w:p w14:paraId="1704925D">
                  <w:pPr>
                    <w:widowControl/>
                    <w:jc w:val="center"/>
                    <w:rPr>
                      <w:rFonts w:hint="eastAsia"/>
                      <w:color w:val="auto"/>
                      <w:kern w:val="0"/>
                      <w:szCs w:val="21"/>
                    </w:rPr>
                  </w:pPr>
                  <w:r>
                    <w:rPr>
                      <w:color w:val="auto"/>
                      <w:kern w:val="0"/>
                      <w:szCs w:val="21"/>
                    </w:rPr>
                    <w:t>粉尘</w:t>
                  </w:r>
                </w:p>
              </w:tc>
              <w:tc>
                <w:tcPr>
                  <w:tcW w:w="391" w:type="pct"/>
                  <w:noWrap w:val="0"/>
                  <w:vAlign w:val="center"/>
                </w:tcPr>
                <w:p w14:paraId="187AF65C">
                  <w:pPr>
                    <w:widowControl/>
                    <w:jc w:val="center"/>
                    <w:rPr>
                      <w:rFonts w:hint="eastAsia"/>
                      <w:color w:val="auto"/>
                      <w:kern w:val="0"/>
                      <w:szCs w:val="21"/>
                    </w:rPr>
                  </w:pPr>
                  <w:r>
                    <w:rPr>
                      <w:color w:val="auto"/>
                      <w:kern w:val="0"/>
                      <w:szCs w:val="21"/>
                    </w:rPr>
                    <w:t>间断</w:t>
                  </w:r>
                </w:p>
              </w:tc>
              <w:tc>
                <w:tcPr>
                  <w:tcW w:w="1327" w:type="pct"/>
                  <w:noWrap w:val="0"/>
                  <w:vAlign w:val="center"/>
                </w:tcPr>
                <w:p w14:paraId="6E9A20A3">
                  <w:pPr>
                    <w:widowControl/>
                    <w:jc w:val="center"/>
                    <w:rPr>
                      <w:color w:val="auto"/>
                      <w:kern w:val="0"/>
                      <w:szCs w:val="21"/>
                    </w:rPr>
                  </w:pPr>
                  <w:r>
                    <w:rPr>
                      <w:color w:val="auto"/>
                      <w:kern w:val="0"/>
                      <w:szCs w:val="21"/>
                    </w:rPr>
                    <w:t>一般</w:t>
                  </w:r>
                  <w:r>
                    <w:rPr>
                      <w:rFonts w:hint="eastAsia"/>
                      <w:iCs/>
                      <w:color w:val="auto"/>
                    </w:rPr>
                    <w:t>工业</w:t>
                  </w:r>
                  <w:r>
                    <w:rPr>
                      <w:color w:val="auto"/>
                      <w:kern w:val="0"/>
                      <w:szCs w:val="21"/>
                    </w:rPr>
                    <w:t>固废，委外处置</w:t>
                  </w:r>
                </w:p>
              </w:tc>
            </w:tr>
            <w:tr w14:paraId="7CE6C2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continue"/>
                  <w:noWrap w:val="0"/>
                  <w:vAlign w:val="center"/>
                </w:tcPr>
                <w:p w14:paraId="4D490933">
                  <w:pPr>
                    <w:widowControl/>
                    <w:jc w:val="center"/>
                    <w:rPr>
                      <w:color w:val="auto"/>
                      <w:kern w:val="0"/>
                      <w:szCs w:val="21"/>
                    </w:rPr>
                  </w:pPr>
                </w:p>
              </w:tc>
              <w:tc>
                <w:tcPr>
                  <w:tcW w:w="602" w:type="pct"/>
                  <w:noWrap w:val="0"/>
                  <w:vAlign w:val="center"/>
                </w:tcPr>
                <w:p w14:paraId="4F402569">
                  <w:pPr>
                    <w:widowControl/>
                    <w:jc w:val="center"/>
                    <w:rPr>
                      <w:rFonts w:hint="eastAsia"/>
                      <w:color w:val="auto"/>
                      <w:kern w:val="0"/>
                      <w:szCs w:val="21"/>
                      <w:lang w:eastAsia="zh-CN"/>
                    </w:rPr>
                  </w:pPr>
                  <w:r>
                    <w:rPr>
                      <w:rFonts w:hint="eastAsia"/>
                      <w:color w:val="auto"/>
                      <w:kern w:val="0"/>
                      <w:szCs w:val="21"/>
                      <w:lang w:eastAsia="zh-CN"/>
                    </w:rPr>
                    <w:t>废气处理</w:t>
                  </w:r>
                </w:p>
              </w:tc>
              <w:tc>
                <w:tcPr>
                  <w:tcW w:w="879" w:type="pct"/>
                  <w:noWrap w:val="0"/>
                  <w:vAlign w:val="center"/>
                </w:tcPr>
                <w:p w14:paraId="2CFCD9F6">
                  <w:pPr>
                    <w:widowControl/>
                    <w:jc w:val="center"/>
                    <w:rPr>
                      <w:color w:val="auto"/>
                      <w:kern w:val="0"/>
                      <w:szCs w:val="21"/>
                    </w:rPr>
                  </w:pPr>
                  <w:r>
                    <w:rPr>
                      <w:color w:val="auto"/>
                      <w:kern w:val="0"/>
                      <w:szCs w:val="21"/>
                    </w:rPr>
                    <w:t>布袋除尘器</w:t>
                  </w:r>
                </w:p>
              </w:tc>
              <w:tc>
                <w:tcPr>
                  <w:tcW w:w="1424" w:type="pct"/>
                  <w:gridSpan w:val="2"/>
                  <w:noWrap w:val="0"/>
                  <w:vAlign w:val="center"/>
                </w:tcPr>
                <w:p w14:paraId="3A64993F">
                  <w:pPr>
                    <w:widowControl/>
                    <w:jc w:val="center"/>
                    <w:rPr>
                      <w:rFonts w:hint="eastAsia" w:eastAsia="宋体"/>
                      <w:color w:val="auto"/>
                      <w:kern w:val="0"/>
                      <w:szCs w:val="21"/>
                      <w:lang w:eastAsia="zh-CN"/>
                    </w:rPr>
                  </w:pPr>
                  <w:r>
                    <w:rPr>
                      <w:rFonts w:hint="eastAsia"/>
                      <w:color w:val="auto"/>
                      <w:kern w:val="0"/>
                      <w:szCs w:val="21"/>
                      <w:lang w:eastAsia="zh-CN"/>
                    </w:rPr>
                    <w:t>废滤袋</w:t>
                  </w:r>
                </w:p>
              </w:tc>
              <w:tc>
                <w:tcPr>
                  <w:tcW w:w="391" w:type="pct"/>
                  <w:noWrap w:val="0"/>
                  <w:vAlign w:val="center"/>
                </w:tcPr>
                <w:p w14:paraId="32B5E725">
                  <w:pPr>
                    <w:widowControl/>
                    <w:jc w:val="center"/>
                    <w:rPr>
                      <w:color w:val="auto"/>
                      <w:kern w:val="0"/>
                      <w:szCs w:val="21"/>
                    </w:rPr>
                  </w:pPr>
                  <w:r>
                    <w:rPr>
                      <w:color w:val="auto"/>
                      <w:kern w:val="0"/>
                      <w:szCs w:val="21"/>
                    </w:rPr>
                    <w:t>间断</w:t>
                  </w:r>
                </w:p>
              </w:tc>
              <w:tc>
                <w:tcPr>
                  <w:tcW w:w="1327" w:type="pct"/>
                  <w:noWrap w:val="0"/>
                  <w:vAlign w:val="center"/>
                </w:tcPr>
                <w:p w14:paraId="51F3F3DE">
                  <w:pPr>
                    <w:widowControl/>
                    <w:jc w:val="center"/>
                    <w:rPr>
                      <w:color w:val="auto"/>
                      <w:kern w:val="0"/>
                      <w:szCs w:val="21"/>
                    </w:rPr>
                  </w:pPr>
                  <w:r>
                    <w:rPr>
                      <w:color w:val="auto"/>
                      <w:kern w:val="0"/>
                      <w:szCs w:val="21"/>
                    </w:rPr>
                    <w:t>一般</w:t>
                  </w:r>
                  <w:r>
                    <w:rPr>
                      <w:rFonts w:hint="eastAsia"/>
                      <w:iCs/>
                      <w:color w:val="auto"/>
                    </w:rPr>
                    <w:t>工业</w:t>
                  </w:r>
                  <w:r>
                    <w:rPr>
                      <w:color w:val="auto"/>
                      <w:kern w:val="0"/>
                      <w:szCs w:val="21"/>
                    </w:rPr>
                    <w:t>固废，委外处置</w:t>
                  </w:r>
                </w:p>
              </w:tc>
            </w:tr>
            <w:tr w14:paraId="7FBAB4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continue"/>
                  <w:noWrap w:val="0"/>
                  <w:vAlign w:val="center"/>
                </w:tcPr>
                <w:p w14:paraId="2DDE3235">
                  <w:pPr>
                    <w:widowControl/>
                    <w:jc w:val="center"/>
                    <w:rPr>
                      <w:color w:val="auto"/>
                      <w:kern w:val="0"/>
                      <w:szCs w:val="21"/>
                    </w:rPr>
                  </w:pPr>
                </w:p>
              </w:tc>
              <w:tc>
                <w:tcPr>
                  <w:tcW w:w="602" w:type="pct"/>
                  <w:noWrap w:val="0"/>
                  <w:vAlign w:val="center"/>
                </w:tcPr>
                <w:p w14:paraId="7C09AD3A">
                  <w:pPr>
                    <w:widowControl/>
                    <w:jc w:val="center"/>
                    <w:rPr>
                      <w:rFonts w:hint="eastAsia" w:eastAsia="宋体"/>
                      <w:color w:val="auto"/>
                      <w:kern w:val="0"/>
                      <w:szCs w:val="21"/>
                      <w:lang w:eastAsia="zh-CN"/>
                    </w:rPr>
                  </w:pPr>
                  <w:r>
                    <w:rPr>
                      <w:rFonts w:hint="eastAsia"/>
                      <w:color w:val="auto"/>
                      <w:kern w:val="0"/>
                      <w:szCs w:val="21"/>
                      <w:lang w:eastAsia="zh-CN"/>
                    </w:rPr>
                    <w:t>废气处理</w:t>
                  </w:r>
                </w:p>
              </w:tc>
              <w:tc>
                <w:tcPr>
                  <w:tcW w:w="879" w:type="pct"/>
                  <w:noWrap w:val="0"/>
                  <w:vAlign w:val="center"/>
                </w:tcPr>
                <w:p w14:paraId="7E50EB70">
                  <w:pPr>
                    <w:widowControl/>
                    <w:jc w:val="center"/>
                    <w:rPr>
                      <w:color w:val="auto"/>
                      <w:kern w:val="0"/>
                      <w:szCs w:val="21"/>
                    </w:rPr>
                  </w:pPr>
                  <w:r>
                    <w:rPr>
                      <w:rFonts w:hint="eastAsia"/>
                      <w:color w:val="auto"/>
                      <w:kern w:val="0"/>
                      <w:szCs w:val="21"/>
                    </w:rPr>
                    <w:t>熔融废气</w:t>
                  </w:r>
                </w:p>
              </w:tc>
              <w:tc>
                <w:tcPr>
                  <w:tcW w:w="1424" w:type="pct"/>
                  <w:gridSpan w:val="2"/>
                  <w:noWrap w:val="0"/>
                  <w:vAlign w:val="center"/>
                </w:tcPr>
                <w:p w14:paraId="39DDE3B3">
                  <w:pPr>
                    <w:widowControl/>
                    <w:jc w:val="center"/>
                    <w:rPr>
                      <w:color w:val="auto"/>
                      <w:kern w:val="0"/>
                      <w:szCs w:val="21"/>
                    </w:rPr>
                  </w:pPr>
                  <w:r>
                    <w:rPr>
                      <w:rFonts w:hint="eastAsia"/>
                      <w:color w:val="auto"/>
                      <w:kern w:val="0"/>
                      <w:szCs w:val="21"/>
                    </w:rPr>
                    <w:t>废活性炭</w:t>
                  </w:r>
                </w:p>
              </w:tc>
              <w:tc>
                <w:tcPr>
                  <w:tcW w:w="391" w:type="pct"/>
                  <w:noWrap w:val="0"/>
                  <w:vAlign w:val="center"/>
                </w:tcPr>
                <w:p w14:paraId="0C27069D">
                  <w:pPr>
                    <w:widowControl/>
                    <w:jc w:val="center"/>
                    <w:rPr>
                      <w:color w:val="auto"/>
                      <w:kern w:val="0"/>
                      <w:szCs w:val="21"/>
                    </w:rPr>
                  </w:pPr>
                  <w:r>
                    <w:rPr>
                      <w:color w:val="auto"/>
                      <w:kern w:val="0"/>
                      <w:szCs w:val="21"/>
                    </w:rPr>
                    <w:t>间断</w:t>
                  </w:r>
                </w:p>
              </w:tc>
              <w:tc>
                <w:tcPr>
                  <w:tcW w:w="1327" w:type="pct"/>
                  <w:vMerge w:val="restart"/>
                  <w:noWrap w:val="0"/>
                  <w:vAlign w:val="center"/>
                </w:tcPr>
                <w:p w14:paraId="0575C31D">
                  <w:pPr>
                    <w:widowControl/>
                    <w:jc w:val="center"/>
                    <w:rPr>
                      <w:color w:val="auto"/>
                      <w:kern w:val="0"/>
                      <w:szCs w:val="21"/>
                    </w:rPr>
                  </w:pPr>
                  <w:r>
                    <w:rPr>
                      <w:color w:val="auto"/>
                      <w:kern w:val="0"/>
                      <w:szCs w:val="21"/>
                    </w:rPr>
                    <w:t>危险废物，委托有资质单位处置</w:t>
                  </w:r>
                </w:p>
              </w:tc>
            </w:tr>
            <w:tr w14:paraId="0DABFC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continue"/>
                  <w:noWrap w:val="0"/>
                  <w:vAlign w:val="center"/>
                </w:tcPr>
                <w:p w14:paraId="28AF4716">
                  <w:pPr>
                    <w:widowControl/>
                    <w:jc w:val="center"/>
                    <w:rPr>
                      <w:color w:val="auto"/>
                      <w:kern w:val="0"/>
                      <w:szCs w:val="21"/>
                    </w:rPr>
                  </w:pPr>
                </w:p>
              </w:tc>
              <w:tc>
                <w:tcPr>
                  <w:tcW w:w="602" w:type="pct"/>
                  <w:vMerge w:val="restart"/>
                  <w:noWrap w:val="0"/>
                  <w:vAlign w:val="center"/>
                </w:tcPr>
                <w:p w14:paraId="4C89C47B">
                  <w:pPr>
                    <w:pStyle w:val="20"/>
                    <w:widowControl w:val="0"/>
                    <w:adjustRightInd w:val="0"/>
                    <w:snapToGrid w:val="0"/>
                    <w:spacing w:before="0" w:beforeAutospacing="0" w:after="0" w:afterAutospacing="0" w:line="240" w:lineRule="auto"/>
                    <w:jc w:val="center"/>
                    <w:rPr>
                      <w:rFonts w:hint="eastAsia"/>
                      <w:color w:val="auto"/>
                      <w:kern w:val="0"/>
                      <w:szCs w:val="21"/>
                      <w:lang w:eastAsia="zh-CN"/>
                    </w:rPr>
                  </w:pPr>
                  <w:r>
                    <w:rPr>
                      <w:rFonts w:hint="default" w:ascii="Times New Roman" w:hAnsi="Times New Roman" w:eastAsia="宋体" w:cs="Times New Roman"/>
                      <w:color w:val="auto"/>
                      <w:sz w:val="21"/>
                      <w:szCs w:val="21"/>
                      <w:lang w:eastAsia="zh-CN"/>
                    </w:rPr>
                    <w:t>设备维护</w:t>
                  </w:r>
                </w:p>
              </w:tc>
              <w:tc>
                <w:tcPr>
                  <w:tcW w:w="879" w:type="pct"/>
                  <w:vMerge w:val="restart"/>
                  <w:noWrap w:val="0"/>
                  <w:vAlign w:val="center"/>
                </w:tcPr>
                <w:p w14:paraId="2F4D1084">
                  <w:pPr>
                    <w:pStyle w:val="20"/>
                    <w:widowControl w:val="0"/>
                    <w:adjustRightInd w:val="0"/>
                    <w:snapToGrid w:val="0"/>
                    <w:spacing w:before="0" w:beforeAutospacing="0" w:after="0" w:afterAutospacing="0" w:line="240" w:lineRule="auto"/>
                    <w:jc w:val="center"/>
                    <w:rPr>
                      <w:rFonts w:hint="eastAsia"/>
                      <w:color w:val="auto"/>
                      <w:kern w:val="0"/>
                      <w:szCs w:val="21"/>
                    </w:rPr>
                  </w:pPr>
                  <w:r>
                    <w:rPr>
                      <w:rFonts w:hint="default" w:ascii="Times New Roman" w:hAnsi="Times New Roman" w:eastAsia="宋体" w:cs="Times New Roman"/>
                      <w:color w:val="auto"/>
                      <w:sz w:val="21"/>
                      <w:szCs w:val="21"/>
                      <w:lang w:eastAsia="zh-CN"/>
                    </w:rPr>
                    <w:t>设备维护</w:t>
                  </w:r>
                </w:p>
              </w:tc>
              <w:tc>
                <w:tcPr>
                  <w:tcW w:w="1424" w:type="pct"/>
                  <w:gridSpan w:val="2"/>
                  <w:noWrap w:val="0"/>
                  <w:vAlign w:val="center"/>
                </w:tcPr>
                <w:p w14:paraId="13837D0F">
                  <w:pPr>
                    <w:widowControl/>
                    <w:adjustRightInd w:val="0"/>
                    <w:snapToGrid w:val="0"/>
                    <w:spacing w:before="0" w:beforeAutospacing="0" w:after="0" w:afterAutospacing="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 w:val="21"/>
                      <w:szCs w:val="21"/>
                      <w:lang w:eastAsia="zh-CN"/>
                    </w:rPr>
                    <w:t>废液压油</w:t>
                  </w:r>
                  <w:r>
                    <w:rPr>
                      <w:rFonts w:hint="eastAsia" w:cs="Times New Roman"/>
                      <w:color w:val="auto"/>
                      <w:kern w:val="0"/>
                      <w:szCs w:val="21"/>
                      <w:lang w:eastAsia="zh-CN"/>
                    </w:rPr>
                    <w:t>、</w:t>
                  </w:r>
                  <w:r>
                    <w:rPr>
                      <w:rFonts w:hint="default" w:ascii="Times New Roman" w:hAnsi="Times New Roman" w:eastAsia="宋体" w:cs="Times New Roman"/>
                      <w:color w:val="auto"/>
                      <w:kern w:val="0"/>
                      <w:sz w:val="21"/>
                      <w:szCs w:val="21"/>
                      <w:lang w:eastAsia="zh-CN"/>
                    </w:rPr>
                    <w:t>废润滑油、废液压油桶、废润滑油桶</w:t>
                  </w:r>
                </w:p>
              </w:tc>
              <w:tc>
                <w:tcPr>
                  <w:tcW w:w="391" w:type="pct"/>
                  <w:noWrap w:val="0"/>
                  <w:vAlign w:val="center"/>
                </w:tcPr>
                <w:p w14:paraId="0340F1C6">
                  <w:pPr>
                    <w:widowControl/>
                    <w:jc w:val="center"/>
                    <w:rPr>
                      <w:color w:val="auto"/>
                      <w:kern w:val="0"/>
                      <w:szCs w:val="21"/>
                    </w:rPr>
                  </w:pPr>
                  <w:r>
                    <w:rPr>
                      <w:color w:val="auto"/>
                      <w:kern w:val="0"/>
                      <w:szCs w:val="21"/>
                    </w:rPr>
                    <w:t>间断</w:t>
                  </w:r>
                </w:p>
              </w:tc>
              <w:tc>
                <w:tcPr>
                  <w:tcW w:w="1327" w:type="pct"/>
                  <w:vMerge w:val="continue"/>
                  <w:noWrap w:val="0"/>
                  <w:vAlign w:val="center"/>
                </w:tcPr>
                <w:p w14:paraId="0ADC5D52">
                  <w:pPr>
                    <w:widowControl/>
                    <w:jc w:val="center"/>
                    <w:rPr>
                      <w:color w:val="auto"/>
                      <w:kern w:val="0"/>
                      <w:szCs w:val="21"/>
                    </w:rPr>
                  </w:pPr>
                </w:p>
              </w:tc>
            </w:tr>
            <w:tr w14:paraId="0A5856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continue"/>
                  <w:noWrap w:val="0"/>
                  <w:vAlign w:val="center"/>
                </w:tcPr>
                <w:p w14:paraId="0F9E1274">
                  <w:pPr>
                    <w:widowControl/>
                    <w:jc w:val="center"/>
                    <w:rPr>
                      <w:color w:val="auto"/>
                      <w:kern w:val="0"/>
                      <w:szCs w:val="21"/>
                    </w:rPr>
                  </w:pPr>
                </w:p>
              </w:tc>
              <w:tc>
                <w:tcPr>
                  <w:tcW w:w="602" w:type="pct"/>
                  <w:vMerge w:val="continue"/>
                  <w:noWrap w:val="0"/>
                  <w:vAlign w:val="center"/>
                </w:tcPr>
                <w:p w14:paraId="77609D6D">
                  <w:pPr>
                    <w:pStyle w:val="20"/>
                    <w:widowControl w:val="0"/>
                    <w:adjustRightInd w:val="0"/>
                    <w:snapToGrid w:val="0"/>
                    <w:spacing w:before="0" w:beforeAutospacing="0" w:after="0" w:afterAutospacing="0" w:line="240" w:lineRule="auto"/>
                    <w:jc w:val="center"/>
                    <w:rPr>
                      <w:rFonts w:hint="default" w:ascii="Times New Roman" w:hAnsi="Times New Roman" w:eastAsia="宋体" w:cs="Times New Roman"/>
                      <w:color w:val="auto"/>
                      <w:sz w:val="21"/>
                      <w:szCs w:val="21"/>
                      <w:lang w:eastAsia="zh-CN"/>
                    </w:rPr>
                  </w:pPr>
                </w:p>
              </w:tc>
              <w:tc>
                <w:tcPr>
                  <w:tcW w:w="879" w:type="pct"/>
                  <w:vMerge w:val="continue"/>
                  <w:noWrap w:val="0"/>
                  <w:vAlign w:val="center"/>
                </w:tcPr>
                <w:p w14:paraId="45FE0E58">
                  <w:pPr>
                    <w:pStyle w:val="20"/>
                    <w:widowControl w:val="0"/>
                    <w:adjustRightInd w:val="0"/>
                    <w:snapToGrid w:val="0"/>
                    <w:spacing w:before="0" w:beforeAutospacing="0" w:after="0" w:afterAutospacing="0" w:line="240" w:lineRule="auto"/>
                    <w:jc w:val="center"/>
                    <w:rPr>
                      <w:rFonts w:hint="default" w:ascii="Times New Roman" w:hAnsi="Times New Roman" w:eastAsia="宋体" w:cs="Times New Roman"/>
                      <w:color w:val="auto"/>
                      <w:sz w:val="21"/>
                      <w:szCs w:val="21"/>
                      <w:lang w:eastAsia="zh-CN"/>
                    </w:rPr>
                  </w:pPr>
                </w:p>
              </w:tc>
              <w:tc>
                <w:tcPr>
                  <w:tcW w:w="1424" w:type="pct"/>
                  <w:gridSpan w:val="2"/>
                  <w:noWrap w:val="0"/>
                  <w:vAlign w:val="center"/>
                </w:tcPr>
                <w:p w14:paraId="1CFFBA43">
                  <w:pPr>
                    <w:widowControl/>
                    <w:adjustRightInd w:val="0"/>
                    <w:snapToGrid w:val="0"/>
                    <w:spacing w:before="0" w:beforeAutospacing="0" w:after="0" w:afterAutospacing="0"/>
                    <w:jc w:val="center"/>
                    <w:rPr>
                      <w:rFonts w:hint="default" w:ascii="Times New Roman" w:hAnsi="Times New Roman" w:eastAsia="宋体" w:cs="Times New Roman"/>
                      <w:color w:val="auto"/>
                      <w:kern w:val="0"/>
                      <w:sz w:val="21"/>
                      <w:szCs w:val="21"/>
                      <w:lang w:eastAsia="zh-CN"/>
                    </w:rPr>
                  </w:pPr>
                  <w:r>
                    <w:rPr>
                      <w:rFonts w:hint="default" w:ascii="Times New Roman" w:hAnsi="Times New Roman" w:eastAsia="宋体" w:cs="Times New Roman"/>
                      <w:color w:val="auto"/>
                      <w:kern w:val="0"/>
                      <w:szCs w:val="21"/>
                      <w:highlight w:val="none"/>
                      <w:lang w:val="en-US" w:eastAsia="zh-CN"/>
                    </w:rPr>
                    <w:t>废抹布、废劳保手套</w:t>
                  </w:r>
                </w:p>
              </w:tc>
              <w:tc>
                <w:tcPr>
                  <w:tcW w:w="391" w:type="pct"/>
                  <w:noWrap w:val="0"/>
                  <w:vAlign w:val="center"/>
                </w:tcPr>
                <w:p w14:paraId="49152C7C">
                  <w:pPr>
                    <w:widowControl/>
                    <w:jc w:val="center"/>
                    <w:rPr>
                      <w:color w:val="auto"/>
                      <w:kern w:val="0"/>
                      <w:szCs w:val="21"/>
                    </w:rPr>
                  </w:pPr>
                  <w:r>
                    <w:rPr>
                      <w:color w:val="auto"/>
                      <w:kern w:val="0"/>
                      <w:szCs w:val="21"/>
                    </w:rPr>
                    <w:t>间断</w:t>
                  </w:r>
                </w:p>
              </w:tc>
              <w:tc>
                <w:tcPr>
                  <w:tcW w:w="1327" w:type="pct"/>
                  <w:vMerge w:val="restart"/>
                  <w:noWrap w:val="0"/>
                  <w:vAlign w:val="center"/>
                </w:tcPr>
                <w:p w14:paraId="74CDFB8E">
                  <w:pPr>
                    <w:widowControl/>
                    <w:jc w:val="center"/>
                    <w:rPr>
                      <w:color w:val="auto"/>
                      <w:kern w:val="0"/>
                      <w:szCs w:val="21"/>
                    </w:rPr>
                  </w:pPr>
                  <w:r>
                    <w:rPr>
                      <w:color w:val="auto"/>
                      <w:kern w:val="0"/>
                      <w:szCs w:val="21"/>
                    </w:rPr>
                    <w:t>交由环卫部门统一清运</w:t>
                  </w:r>
                </w:p>
              </w:tc>
            </w:tr>
            <w:tr w14:paraId="6FA1F5A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74" w:type="pct"/>
                  <w:vMerge w:val="continue"/>
                  <w:noWrap w:val="0"/>
                  <w:vAlign w:val="center"/>
                </w:tcPr>
                <w:p w14:paraId="4CDC2788">
                  <w:pPr>
                    <w:widowControl/>
                    <w:jc w:val="center"/>
                    <w:rPr>
                      <w:color w:val="auto"/>
                      <w:kern w:val="0"/>
                      <w:szCs w:val="21"/>
                    </w:rPr>
                  </w:pPr>
                </w:p>
              </w:tc>
              <w:tc>
                <w:tcPr>
                  <w:tcW w:w="1481" w:type="pct"/>
                  <w:gridSpan w:val="2"/>
                  <w:noWrap w:val="0"/>
                  <w:vAlign w:val="center"/>
                </w:tcPr>
                <w:p w14:paraId="13A6F0BD">
                  <w:pPr>
                    <w:widowControl/>
                    <w:jc w:val="center"/>
                    <w:rPr>
                      <w:color w:val="auto"/>
                      <w:kern w:val="0"/>
                      <w:szCs w:val="21"/>
                    </w:rPr>
                  </w:pPr>
                  <w:r>
                    <w:rPr>
                      <w:color w:val="auto"/>
                      <w:kern w:val="0"/>
                      <w:szCs w:val="21"/>
                    </w:rPr>
                    <w:t>员工生活</w:t>
                  </w:r>
                </w:p>
              </w:tc>
              <w:tc>
                <w:tcPr>
                  <w:tcW w:w="1424" w:type="pct"/>
                  <w:gridSpan w:val="2"/>
                  <w:noWrap w:val="0"/>
                  <w:vAlign w:val="center"/>
                </w:tcPr>
                <w:p w14:paraId="1D666981">
                  <w:pPr>
                    <w:widowControl/>
                    <w:jc w:val="center"/>
                    <w:rPr>
                      <w:color w:val="auto"/>
                      <w:kern w:val="0"/>
                      <w:szCs w:val="21"/>
                    </w:rPr>
                  </w:pPr>
                  <w:r>
                    <w:rPr>
                      <w:color w:val="auto"/>
                      <w:kern w:val="0"/>
                      <w:szCs w:val="21"/>
                    </w:rPr>
                    <w:t>生活垃圾</w:t>
                  </w:r>
                </w:p>
              </w:tc>
              <w:tc>
                <w:tcPr>
                  <w:tcW w:w="391" w:type="pct"/>
                  <w:noWrap w:val="0"/>
                  <w:vAlign w:val="center"/>
                </w:tcPr>
                <w:p w14:paraId="41D432D5">
                  <w:pPr>
                    <w:widowControl/>
                    <w:jc w:val="center"/>
                    <w:rPr>
                      <w:color w:val="auto"/>
                      <w:kern w:val="0"/>
                      <w:szCs w:val="21"/>
                    </w:rPr>
                  </w:pPr>
                  <w:r>
                    <w:rPr>
                      <w:color w:val="auto"/>
                      <w:kern w:val="0"/>
                      <w:szCs w:val="21"/>
                    </w:rPr>
                    <w:t>间断</w:t>
                  </w:r>
                </w:p>
              </w:tc>
              <w:tc>
                <w:tcPr>
                  <w:tcW w:w="1327" w:type="pct"/>
                  <w:vMerge w:val="continue"/>
                  <w:noWrap w:val="0"/>
                  <w:vAlign w:val="center"/>
                </w:tcPr>
                <w:p w14:paraId="1E4CD7E0">
                  <w:pPr>
                    <w:widowControl/>
                    <w:jc w:val="center"/>
                    <w:rPr>
                      <w:color w:val="auto"/>
                      <w:kern w:val="0"/>
                      <w:szCs w:val="21"/>
                    </w:rPr>
                  </w:pPr>
                </w:p>
              </w:tc>
            </w:tr>
          </w:tbl>
          <w:p w14:paraId="4A39DB21">
            <w:pPr>
              <w:pStyle w:val="55"/>
              <w:ind w:left="0" w:leftChars="0" w:firstLine="0" w:firstLineChars="0"/>
              <w:rPr>
                <w:color w:val="auto"/>
              </w:rPr>
            </w:pPr>
          </w:p>
        </w:tc>
      </w:tr>
      <w:tr w14:paraId="0A258C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476" w:type="dxa"/>
            <w:noWrap w:val="0"/>
            <w:vAlign w:val="center"/>
          </w:tcPr>
          <w:p w14:paraId="33D38433">
            <w:pPr>
              <w:pStyle w:val="20"/>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bCs/>
                <w:color w:val="auto"/>
                <w:kern w:val="2"/>
                <w:sz w:val="21"/>
                <w:szCs w:val="21"/>
                <w:highlight w:val="none"/>
              </w:rPr>
              <w:t>与</w:t>
            </w:r>
            <w:r>
              <w:rPr>
                <w:rFonts w:ascii="Times New Roman" w:hAnsi="Times New Roman"/>
                <w:bCs/>
                <w:color w:val="auto"/>
                <w:kern w:val="2"/>
                <w:sz w:val="21"/>
                <w:szCs w:val="21"/>
              </w:rPr>
              <w:t>项目有关的原有环境污染问题</w:t>
            </w:r>
          </w:p>
        </w:tc>
        <w:tc>
          <w:tcPr>
            <w:tcW w:w="9160" w:type="dxa"/>
            <w:noWrap w:val="0"/>
            <w:vAlign w:val="center"/>
          </w:tcPr>
          <w:p w14:paraId="7D75CA14">
            <w:pPr>
              <w:pStyle w:val="7"/>
              <w:widowControl/>
              <w:wordWrap/>
              <w:overflowPunct/>
              <w:topLinePunct w:val="0"/>
              <w:adjustRightInd/>
              <w:spacing w:line="500" w:lineRule="exact"/>
              <w:ind w:firstLine="0" w:firstLineChars="0"/>
              <w:rPr>
                <w:rFonts w:hint="default" w:ascii="Times New Roman" w:hAnsi="Times New Roman" w:eastAsia="宋体" w:cs="Times New Roman"/>
                <w:b/>
                <w:bCs/>
                <w:color w:val="auto"/>
                <w:kern w:val="2"/>
                <w:sz w:val="24"/>
                <w:szCs w:val="24"/>
                <w:lang w:val="en-US" w:eastAsia="zh-CN" w:bidi="ar-SA"/>
              </w:rPr>
            </w:pPr>
            <w:r>
              <w:rPr>
                <w:rFonts w:hint="default" w:ascii="Times New Roman" w:eastAsia="宋体" w:cs="Times New Roman"/>
                <w:b/>
                <w:bCs/>
                <w:color w:val="auto"/>
                <w:kern w:val="2"/>
                <w:sz w:val="24"/>
                <w:szCs w:val="24"/>
                <w:lang w:val="en-US" w:eastAsia="zh-CN" w:bidi="ar-SA"/>
              </w:rPr>
              <w:t>2.10原有项目情况</w:t>
            </w:r>
          </w:p>
          <w:p w14:paraId="35EC1773">
            <w:pPr>
              <w:pStyle w:val="7"/>
              <w:widowControl/>
              <w:wordWrap/>
              <w:overflowPunct/>
              <w:topLinePunct w:val="0"/>
              <w:adjustRightInd/>
              <w:spacing w:line="500" w:lineRule="exact"/>
              <w:ind w:firstLine="48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原有项目现</w:t>
            </w:r>
            <w:r>
              <w:rPr>
                <w:rFonts w:hint="eastAsia" w:ascii="Times New Roman" w:eastAsia="宋体" w:cs="Times New Roman"/>
                <w:color w:val="auto"/>
                <w:kern w:val="2"/>
                <w:sz w:val="24"/>
                <w:szCs w:val="24"/>
                <w:lang w:val="en-US" w:eastAsia="zh-CN" w:bidi="ar-SA"/>
              </w:rPr>
              <w:t>未停止</w:t>
            </w:r>
            <w:r>
              <w:rPr>
                <w:rFonts w:hint="eastAsia" w:ascii="Times New Roman" w:hAnsi="Times New Roman" w:eastAsia="宋体" w:cs="Times New Roman"/>
                <w:color w:val="auto"/>
                <w:kern w:val="2"/>
                <w:sz w:val="24"/>
                <w:szCs w:val="24"/>
                <w:lang w:val="en-US" w:eastAsia="zh-CN" w:bidi="ar-SA"/>
              </w:rPr>
              <w:t>运营，原有项目设备及配套设施均</w:t>
            </w:r>
            <w:r>
              <w:rPr>
                <w:rFonts w:hint="eastAsia" w:ascii="Times New Roman" w:eastAsia="宋体" w:cs="Times New Roman"/>
                <w:color w:val="auto"/>
                <w:kern w:val="2"/>
                <w:sz w:val="24"/>
                <w:szCs w:val="24"/>
                <w:lang w:val="en-US" w:eastAsia="zh-CN" w:bidi="ar-SA"/>
              </w:rPr>
              <w:t>正常生产及运行</w:t>
            </w:r>
            <w:r>
              <w:rPr>
                <w:rFonts w:hint="eastAsia" w:ascii="Times New Roman" w:hAnsi="Times New Roman" w:eastAsia="宋体" w:cs="Times New Roman"/>
                <w:color w:val="auto"/>
                <w:kern w:val="2"/>
                <w:sz w:val="24"/>
                <w:szCs w:val="24"/>
                <w:lang w:val="en-US" w:eastAsia="zh-CN" w:bidi="ar-SA"/>
              </w:rPr>
              <w:t>，</w:t>
            </w:r>
            <w:r>
              <w:rPr>
                <w:rFonts w:hint="eastAsia" w:ascii="Times New Roman" w:eastAsia="宋体" w:cs="Times New Roman"/>
                <w:color w:val="auto"/>
                <w:kern w:val="2"/>
                <w:sz w:val="24"/>
                <w:szCs w:val="24"/>
                <w:lang w:val="en-US" w:eastAsia="zh-CN" w:bidi="ar-SA"/>
              </w:rPr>
              <w:t>经验收检测可知（详见附件11），废水、废气、噪声污染物均可达标排放，固废均得到妥善处置（危废合同详见附件9），</w:t>
            </w:r>
            <w:r>
              <w:rPr>
                <w:rFonts w:hint="eastAsia" w:ascii="Times New Roman" w:hAnsi="Times New Roman" w:eastAsia="宋体" w:cs="Times New Roman"/>
                <w:color w:val="auto"/>
                <w:kern w:val="2"/>
                <w:sz w:val="24"/>
                <w:szCs w:val="24"/>
                <w:lang w:val="en-US" w:eastAsia="zh-CN" w:bidi="ar-SA"/>
              </w:rPr>
              <w:t>原有项目并未对当地的环境造成明显的影响。</w:t>
            </w:r>
          </w:p>
          <w:p w14:paraId="5BD3409B">
            <w:pPr>
              <w:pStyle w:val="7"/>
              <w:widowControl/>
              <w:wordWrap/>
              <w:overflowPunct/>
              <w:topLinePunct w:val="0"/>
              <w:adjustRightInd/>
              <w:spacing w:line="500" w:lineRule="exact"/>
              <w:ind w:firstLine="48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本项目为整体迁建，并扩建产量，迁建后老厂关闭，设备搬迁至本项目建设厂房，本项目用地现状为空置厂房，无环保遗留问题。</w:t>
            </w:r>
          </w:p>
          <w:p w14:paraId="2BDE6CB2">
            <w:pPr>
              <w:wordWrap/>
              <w:overflowPunct/>
              <w:spacing w:line="500" w:lineRule="exact"/>
              <w:ind w:firstLine="0" w:firstLineChars="0"/>
              <w:rPr>
                <w:rFonts w:ascii="Times New Roman" w:hAnsi="Times New Roman" w:cs="Times New Roman"/>
                <w:b/>
                <w:bCs/>
                <w:color w:val="auto"/>
                <w:kern w:val="0"/>
                <w:sz w:val="24"/>
                <w:szCs w:val="24"/>
              </w:rPr>
            </w:pPr>
            <w:r>
              <w:rPr>
                <w:rFonts w:hint="default" w:hAnsi="Times New Roman" w:cs="Times New Roman"/>
                <w:b/>
                <w:bCs/>
                <w:color w:val="auto"/>
                <w:kern w:val="0"/>
                <w:sz w:val="24"/>
                <w:szCs w:val="24"/>
                <w:lang w:val="en-US" w:eastAsia="zh-CN"/>
              </w:rPr>
              <w:t>2.10.1</w:t>
            </w:r>
            <w:r>
              <w:rPr>
                <w:rFonts w:ascii="Times New Roman" w:hAnsi="Times New Roman" w:cs="Times New Roman"/>
                <w:b/>
                <w:bCs/>
                <w:color w:val="auto"/>
                <w:kern w:val="0"/>
                <w:sz w:val="24"/>
                <w:szCs w:val="24"/>
              </w:rPr>
              <w:t>原项目环评、验收概况</w:t>
            </w:r>
          </w:p>
          <w:p w14:paraId="0D0B5A49">
            <w:pPr>
              <w:pStyle w:val="7"/>
              <w:widowControl/>
              <w:wordWrap/>
              <w:overflowPunct/>
              <w:topLinePunct w:val="0"/>
              <w:adjustRightInd/>
              <w:spacing w:line="500" w:lineRule="exact"/>
              <w:ind w:firstLine="480"/>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福建艾迪恩环保科技有限公司</w:t>
            </w:r>
            <w:r>
              <w:rPr>
                <w:rFonts w:hint="eastAsia" w:ascii="Times New Roman" w:hAnsi="Times New Roman" w:eastAsia="宋体" w:cs="Times New Roman"/>
                <w:color w:val="auto"/>
                <w:kern w:val="2"/>
                <w:sz w:val="24"/>
                <w:szCs w:val="24"/>
                <w:lang w:val="en-US" w:eastAsia="zh-CN" w:bidi="ar-SA"/>
              </w:rPr>
              <w:t>原项目位于</w:t>
            </w:r>
            <w:r>
              <w:rPr>
                <w:rFonts w:hint="default" w:ascii="Times New Roman" w:hAnsi="Times New Roman" w:eastAsia="宋体" w:cs="Times New Roman"/>
                <w:color w:val="auto"/>
                <w:kern w:val="2"/>
                <w:sz w:val="24"/>
                <w:szCs w:val="24"/>
                <w:lang w:val="en-US" w:eastAsia="zh-CN" w:bidi="ar-SA"/>
              </w:rPr>
              <w:t>福州市闽侯县祥谦镇</w:t>
            </w:r>
            <w:r>
              <w:rPr>
                <w:rFonts w:hint="eastAsia" w:ascii="Times New Roman" w:eastAsia="宋体" w:cs="Times New Roman"/>
                <w:color w:val="auto"/>
                <w:kern w:val="2"/>
                <w:sz w:val="24"/>
                <w:szCs w:val="24"/>
                <w:lang w:val="en-US" w:eastAsia="zh-CN" w:bidi="ar-SA"/>
              </w:rPr>
              <w:t>祥</w:t>
            </w:r>
            <w:r>
              <w:rPr>
                <w:rFonts w:hint="default" w:ascii="Times New Roman" w:hAnsi="Times New Roman" w:eastAsia="宋体" w:cs="Times New Roman"/>
                <w:color w:val="auto"/>
                <w:kern w:val="2"/>
                <w:sz w:val="24"/>
                <w:szCs w:val="24"/>
                <w:lang w:val="en-US" w:eastAsia="zh-CN" w:bidi="ar-SA"/>
              </w:rPr>
              <w:t>宏南路33号B地块</w:t>
            </w:r>
            <w:r>
              <w:rPr>
                <w:rFonts w:hint="eastAsia" w:ascii="Times New Roman" w:hAnsi="Times New Roman" w:eastAsia="宋体" w:cs="Times New Roman"/>
                <w:color w:val="auto"/>
                <w:kern w:val="2"/>
                <w:sz w:val="24"/>
                <w:szCs w:val="24"/>
                <w:lang w:val="en-US" w:eastAsia="zh-CN" w:bidi="ar-SA"/>
              </w:rPr>
              <w:t>，生产规模为</w:t>
            </w:r>
            <w:r>
              <w:rPr>
                <w:rFonts w:hint="default" w:ascii="Times New Roman" w:hAnsi="Times New Roman" w:eastAsia="宋体" w:cs="Times New Roman"/>
                <w:color w:val="auto"/>
                <w:kern w:val="2"/>
                <w:sz w:val="24"/>
                <w:szCs w:val="24"/>
                <w:lang w:val="en-US" w:eastAsia="zh-CN" w:bidi="ar-SA"/>
              </w:rPr>
              <w:t>年产500万方塑料板材，200万套塑料户外家具。项目租赁工业厂房及配套设施，于2021年12月委托福建海涵环保咨询有限公司编制完成了《福建艾迪恩环保科技有限公司年产500万方塑料板材，200万套塑料户外家具项目环境影响报告表》，于2022年1月28日通过了福州市闽侯生态环境局的审批，批复文号为榕侯环评〔2022〕17号</w:t>
            </w:r>
            <w:r>
              <w:rPr>
                <w:rFonts w:hint="eastAsia" w:ascii="Times New Roman" w:eastAsia="宋体" w:cs="Times New Roman"/>
                <w:color w:val="auto"/>
                <w:kern w:val="2"/>
                <w:sz w:val="24"/>
                <w:szCs w:val="24"/>
                <w:lang w:val="en-US" w:eastAsia="zh-CN" w:bidi="ar-SA"/>
              </w:rPr>
              <w:t>（详见附件7）</w:t>
            </w:r>
            <w:r>
              <w:rPr>
                <w:rFonts w:hint="default" w:ascii="Times New Roman" w:hAnsi="Times New Roman" w:eastAsia="宋体" w:cs="Times New Roman"/>
                <w:color w:val="auto"/>
                <w:kern w:val="2"/>
                <w:sz w:val="24"/>
                <w:szCs w:val="24"/>
                <w:lang w:val="en-US" w:eastAsia="zh-CN" w:bidi="ar-SA"/>
              </w:rPr>
              <w:t>。购入生产设备于2022年3月投入试生产。2024年1月14日福建艾迪恩环保科技有限公司根据“福建艾迪恩环保科技有限公司年产500万方塑料板材，200万套塑料户外家具项目”竣工环境保护验收监测报告表，并对照《建设项目竣工环境保护验收暂行办法》，严格依照国家有关法律法规、建设项目竣工环境保护验收技术规范/指南、项目环境影响报告表和审批部门审批意见等要求对项目进行验收</w:t>
            </w:r>
            <w:r>
              <w:rPr>
                <w:rFonts w:hint="eastAsia" w:ascii="Times New Roman" w:eastAsia="宋体" w:cs="Times New Roman"/>
                <w:color w:val="auto"/>
                <w:kern w:val="2"/>
                <w:sz w:val="24"/>
                <w:szCs w:val="24"/>
                <w:lang w:val="en-US" w:eastAsia="zh-CN" w:bidi="ar-SA"/>
              </w:rPr>
              <w:t>（验收意见详见附件8）。项目已于2024年1月27日取得了固定污染源排污登记回执（登记编号：91350121MA8U6MQ74B001W，详见附件10）。</w:t>
            </w:r>
          </w:p>
          <w:p w14:paraId="313BDD54">
            <w:pPr>
              <w:wordWrap/>
              <w:overflowPunct/>
              <w:spacing w:line="500" w:lineRule="exact"/>
              <w:ind w:firstLine="0" w:firstLineChars="0"/>
              <w:rPr>
                <w:rFonts w:hint="default" w:ascii="Times New Roman" w:hAnsi="Times New Roman" w:eastAsia="宋体" w:cs="Times New Roman"/>
                <w:b/>
                <w:bCs/>
                <w:color w:val="auto"/>
                <w:kern w:val="0"/>
                <w:sz w:val="24"/>
                <w:szCs w:val="24"/>
                <w:lang w:val="en-US" w:eastAsia="zh-CN"/>
              </w:rPr>
            </w:pPr>
            <w:r>
              <w:rPr>
                <w:rFonts w:hint="default" w:hAnsi="Times New Roman" w:cs="Times New Roman"/>
                <w:b/>
                <w:bCs/>
                <w:color w:val="auto"/>
                <w:kern w:val="0"/>
                <w:sz w:val="24"/>
                <w:szCs w:val="24"/>
                <w:lang w:val="en-US" w:eastAsia="zh-CN"/>
              </w:rPr>
              <w:t>2.10.</w:t>
            </w:r>
            <w:r>
              <w:rPr>
                <w:rFonts w:hint="default" w:cs="Times New Roman"/>
                <w:b/>
                <w:bCs/>
                <w:color w:val="auto"/>
                <w:kern w:val="0"/>
                <w:sz w:val="24"/>
                <w:szCs w:val="24"/>
                <w:lang w:val="en-US" w:eastAsia="zh-CN"/>
              </w:rPr>
              <w:t>2</w:t>
            </w:r>
            <w:r>
              <w:rPr>
                <w:rFonts w:ascii="Times New Roman" w:hAnsi="Times New Roman" w:cs="Times New Roman"/>
                <w:b/>
                <w:bCs/>
                <w:color w:val="auto"/>
                <w:kern w:val="0"/>
                <w:sz w:val="24"/>
                <w:szCs w:val="24"/>
              </w:rPr>
              <w:t>原项目工程概况</w:t>
            </w:r>
            <w:r>
              <w:rPr>
                <w:rFonts w:hint="default" w:hAnsi="Times New Roman" w:cs="Times New Roman"/>
                <w:b/>
                <w:bCs/>
                <w:color w:val="auto"/>
                <w:kern w:val="0"/>
                <w:sz w:val="24"/>
                <w:szCs w:val="24"/>
                <w:lang w:val="en-US" w:eastAsia="zh-CN"/>
              </w:rPr>
              <w:t>及工艺流程</w:t>
            </w:r>
          </w:p>
          <w:p w14:paraId="44F07073">
            <w:pPr>
              <w:pStyle w:val="7"/>
              <w:widowControl/>
              <w:wordWrap/>
              <w:overflowPunct/>
              <w:topLinePunct w:val="0"/>
              <w:adjustRightInd/>
              <w:spacing w:line="500" w:lineRule="exact"/>
              <w:ind w:firstLine="480"/>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福建艾迪恩环保科技有限公司主要从事高密度聚乙烯（HDPE）板材及家具生产，该公司租赁宏德盛(福建)实业发展有限公司的厂房（位于福州市闽侯县祥谦镇详宏南路33号B地块已建5#厂房3层、1层局部），建设福建艾迪恩环保科技有限公司年产500万方塑料板材，200万套塑料户外家具项目，总投资5000万元，总建筑面积3888</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2</w:t>
            </w:r>
            <w:r>
              <w:rPr>
                <w:rFonts w:hint="default" w:ascii="Times New Roman" w:hAnsi="Times New Roman" w:cs="Times New Roman"/>
                <w:color w:val="auto"/>
                <w:sz w:val="24"/>
              </w:rPr>
              <w:t>，</w:t>
            </w:r>
            <w:r>
              <w:rPr>
                <w:rFonts w:hint="default" w:ascii="Times New Roman" w:hAnsi="Times New Roman" w:eastAsia="宋体" w:cs="Times New Roman"/>
                <w:color w:val="auto"/>
                <w:kern w:val="2"/>
                <w:sz w:val="24"/>
                <w:szCs w:val="24"/>
                <w:lang w:val="en-US" w:eastAsia="zh-CN" w:bidi="ar-SA"/>
              </w:rPr>
              <w:t>年产500万方塑料板材，200万套塑料户外家具。员工人数20人，年生产330天，每天8小时</w:t>
            </w:r>
            <w:r>
              <w:rPr>
                <w:rFonts w:hint="eastAsia" w:ascii="Times New Roman" w:eastAsia="宋体" w:cs="Times New Roman"/>
                <w:color w:val="auto"/>
                <w:kern w:val="2"/>
                <w:sz w:val="24"/>
                <w:szCs w:val="24"/>
                <w:lang w:val="en-US" w:eastAsia="zh-CN" w:bidi="ar-SA"/>
              </w:rPr>
              <w:t>。</w:t>
            </w:r>
          </w:p>
          <w:p w14:paraId="00E4D71B">
            <w:pPr>
              <w:spacing w:line="360" w:lineRule="auto"/>
              <w:ind w:firstLine="480" w:firstLineChars="200"/>
              <w:rPr>
                <w:rFonts w:hint="default" w:eastAsia="宋体"/>
                <w:bCs w:val="0"/>
                <w:color w:val="auto"/>
                <w:sz w:val="24"/>
                <w:szCs w:val="24"/>
                <w:lang w:val="en-US" w:eastAsia="zh-CN"/>
              </w:rPr>
            </w:pPr>
            <w:r>
              <w:rPr>
                <w:rFonts w:hint="default"/>
                <w:bCs w:val="0"/>
                <w:color w:val="auto"/>
                <w:sz w:val="24"/>
                <w:szCs w:val="24"/>
                <w:lang w:eastAsia="zh-CN"/>
              </w:rPr>
              <w:t>生产工艺流程详见</w:t>
            </w:r>
            <w:r>
              <w:rPr>
                <w:rFonts w:hint="default"/>
                <w:bCs w:val="0"/>
                <w:color w:val="auto"/>
                <w:sz w:val="24"/>
                <w:szCs w:val="24"/>
                <w:lang w:val="en-US" w:eastAsia="zh-CN"/>
              </w:rPr>
              <w:t>2.9.1。</w:t>
            </w:r>
          </w:p>
          <w:p w14:paraId="2F426D6B">
            <w:pPr>
              <w:tabs>
                <w:tab w:val="left" w:pos="1845"/>
              </w:tabs>
              <w:wordWrap/>
              <w:spacing w:line="500" w:lineRule="exact"/>
              <w:ind w:firstLine="0" w:firstLineChars="0"/>
              <w:jc w:val="left"/>
              <w:rPr>
                <w:rFonts w:hint="default" w:ascii="Times New Roman" w:hAnsi="Times New Roman" w:eastAsia="宋体" w:cs="Times New Roman"/>
                <w:b/>
                <w:bCs/>
                <w:color w:val="auto"/>
                <w:sz w:val="24"/>
                <w:szCs w:val="24"/>
                <w:lang w:val="en-US" w:eastAsia="zh-CN"/>
              </w:rPr>
            </w:pPr>
            <w:r>
              <w:rPr>
                <w:rFonts w:hint="default" w:hAnsi="Times New Roman" w:cs="Times New Roman"/>
                <w:b/>
                <w:bCs/>
                <w:color w:val="auto"/>
                <w:kern w:val="0"/>
                <w:sz w:val="24"/>
                <w:szCs w:val="24"/>
                <w:lang w:val="en-US" w:eastAsia="zh-CN"/>
              </w:rPr>
              <w:t>2.10.</w:t>
            </w:r>
            <w:r>
              <w:rPr>
                <w:rFonts w:hint="eastAsia" w:cs="Times New Roman"/>
                <w:b/>
                <w:bCs/>
                <w:color w:val="auto"/>
                <w:kern w:val="0"/>
                <w:sz w:val="24"/>
                <w:szCs w:val="24"/>
                <w:lang w:val="en-US" w:eastAsia="zh-CN"/>
              </w:rPr>
              <w:t>3</w:t>
            </w:r>
            <w:r>
              <w:rPr>
                <w:rFonts w:ascii="Times New Roman" w:cs="Times New Roman" w:hAnsiTheme="minorEastAsia"/>
                <w:b/>
                <w:bCs/>
                <w:color w:val="auto"/>
                <w:sz w:val="24"/>
                <w:szCs w:val="24"/>
              </w:rPr>
              <w:t>原项目</w:t>
            </w:r>
            <w:r>
              <w:rPr>
                <w:rFonts w:hint="eastAsia" w:ascii="Times New Roman" w:cs="Times New Roman" w:hAnsiTheme="minorEastAsia"/>
                <w:b/>
                <w:bCs/>
                <w:color w:val="auto"/>
                <w:sz w:val="24"/>
                <w:szCs w:val="24"/>
              </w:rPr>
              <w:t>环境保护设施</w:t>
            </w:r>
            <w:r>
              <w:rPr>
                <w:rFonts w:hint="eastAsia" w:cs="Times New Roman" w:hAnsiTheme="minorEastAsia"/>
                <w:b/>
                <w:bCs/>
                <w:color w:val="auto"/>
                <w:sz w:val="24"/>
                <w:szCs w:val="24"/>
                <w:lang w:val="en-US" w:eastAsia="zh-CN"/>
              </w:rPr>
              <w:t>及污染物排放情况</w:t>
            </w:r>
          </w:p>
          <w:p w14:paraId="6F36A0C1">
            <w:pPr>
              <w:tabs>
                <w:tab w:val="left" w:pos="829"/>
              </w:tabs>
              <w:spacing w:before="48" w:beforeLines="20" w:line="360" w:lineRule="auto"/>
              <w:ind w:firstLine="480" w:firstLineChars="200"/>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（1）废气</w:t>
            </w:r>
          </w:p>
          <w:p w14:paraId="3CF01CC1">
            <w:pPr>
              <w:tabs>
                <w:tab w:val="left" w:pos="829"/>
              </w:tabs>
              <w:spacing w:before="48" w:beforeLines="20"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项目废气主要为边角料、次品破碎粉尘</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热熔、挤压</w:t>
            </w:r>
            <w:r>
              <w:rPr>
                <w:rFonts w:hint="default" w:ascii="Times New Roman" w:hAnsi="Times New Roman" w:eastAsia="宋体" w:cs="Times New Roman"/>
                <w:color w:val="auto"/>
                <w:sz w:val="24"/>
                <w:szCs w:val="24"/>
                <w:lang w:val="en-US" w:eastAsia="zh-CN"/>
              </w:rPr>
              <w:t>产生的有机废气：</w:t>
            </w:r>
          </w:p>
          <w:p w14:paraId="5A5ADC95">
            <w:pPr>
              <w:tabs>
                <w:tab w:val="left" w:pos="829"/>
              </w:tabs>
              <w:spacing w:before="48" w:beforeLines="20" w:line="360" w:lineRule="auto"/>
              <w:ind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①边角料、次品破碎粉尘经袋式除尘器处理达标后</w:t>
            </w:r>
            <w:r>
              <w:rPr>
                <w:rFonts w:hint="default" w:ascii="Times New Roman" w:hAnsi="Times New Roman" w:eastAsia="宋体" w:cs="Times New Roman"/>
                <w:color w:val="auto"/>
                <w:sz w:val="24"/>
                <w:szCs w:val="24"/>
                <w:highlight w:val="none"/>
              </w:rPr>
              <w:t>车</w:t>
            </w:r>
            <w:r>
              <w:rPr>
                <w:rFonts w:hint="default" w:cs="Times New Roman"/>
                <w:color w:val="auto"/>
                <w:sz w:val="24"/>
                <w:szCs w:val="24"/>
                <w:highlight w:val="none"/>
                <w:lang w:eastAsia="zh-CN"/>
              </w:rPr>
              <w:t>间无组织排放。</w:t>
            </w:r>
          </w:p>
          <w:p w14:paraId="32DDC10A">
            <w:pPr>
              <w:spacing w:line="360" w:lineRule="auto"/>
              <w:ind w:firstLine="48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②热熔、挤压产生的</w:t>
            </w:r>
            <w:r>
              <w:rPr>
                <w:rFonts w:hint="default" w:ascii="Times New Roman" w:hAnsi="Times New Roman" w:eastAsia="宋体" w:cs="Times New Roman"/>
                <w:color w:val="auto"/>
                <w:sz w:val="24"/>
                <w:szCs w:val="24"/>
                <w:lang w:val="en-US" w:eastAsia="zh-CN"/>
              </w:rPr>
              <w:t>有机</w:t>
            </w:r>
            <w:r>
              <w:rPr>
                <w:rFonts w:hint="default" w:ascii="Times New Roman" w:hAnsi="Times New Roman" w:eastAsia="宋体" w:cs="Times New Roman"/>
                <w:color w:val="auto"/>
                <w:sz w:val="24"/>
                <w:szCs w:val="24"/>
              </w:rPr>
              <w:t>废气经收集后经二级活性炭吸附装置处理后，引至20m高DA001排气筒排放。废气处理设施照片见下</w:t>
            </w:r>
            <w:r>
              <w:rPr>
                <w:rFonts w:hint="eastAsia" w:cs="Times New Roman"/>
                <w:color w:val="auto"/>
                <w:sz w:val="24"/>
                <w:szCs w:val="24"/>
                <w:lang w:eastAsia="zh-CN"/>
              </w:rPr>
              <w:t>表</w:t>
            </w:r>
            <w:r>
              <w:rPr>
                <w:rFonts w:hint="default" w:ascii="Times New Roman" w:hAnsi="Times New Roman" w:eastAsia="宋体" w:cs="Times New Roman"/>
                <w:color w:val="auto"/>
                <w:sz w:val="24"/>
                <w:szCs w:val="24"/>
              </w:rPr>
              <w:t>。</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6"/>
              <w:gridCol w:w="4506"/>
            </w:tblGrid>
            <w:tr w14:paraId="0AEE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14:paraId="15BCB2F4">
                  <w:pPr>
                    <w:pStyle w:val="11"/>
                    <w:keepNext w:val="0"/>
                    <w:keepLines w:val="0"/>
                    <w:pageBreakBefore w:val="0"/>
                    <w:widowControl w:val="0"/>
                    <w:kinsoku/>
                    <w:wordWrap/>
                    <w:overflowPunct/>
                    <w:topLinePunct w:val="0"/>
                    <w:autoSpaceDE/>
                    <w:autoSpaceDN/>
                    <w:bidi w:val="0"/>
                    <w:adjustRightInd/>
                    <w:snapToGrid/>
                    <w:spacing w:before="0" w:after="0" w:line="240" w:lineRule="auto"/>
                    <w:ind w:right="0"/>
                    <w:jc w:val="both"/>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drawing>
                      <wp:inline distT="0" distB="0" distL="114300" distR="114300">
                        <wp:extent cx="2720975" cy="2463800"/>
                        <wp:effectExtent l="0" t="0" r="3175" b="12700"/>
                        <wp:docPr id="99" name="图片 99" descr="破碎布袋除尘器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破碎布袋除尘器照片"/>
                                <pic:cNvPicPr>
                                  <a:picLocks noChangeAspect="1"/>
                                </pic:cNvPicPr>
                              </pic:nvPicPr>
                              <pic:blipFill>
                                <a:blip r:embed="rId23"/>
                                <a:stretch>
                                  <a:fillRect/>
                                </a:stretch>
                              </pic:blipFill>
                              <pic:spPr>
                                <a:xfrm>
                                  <a:off x="0" y="0"/>
                                  <a:ext cx="2720975" cy="2463800"/>
                                </a:xfrm>
                                <a:prstGeom prst="rect">
                                  <a:avLst/>
                                </a:prstGeom>
                              </pic:spPr>
                            </pic:pic>
                          </a:graphicData>
                        </a:graphic>
                      </wp:inline>
                    </w:drawing>
                  </w:r>
                </w:p>
                <w:p w14:paraId="1EB9C2D6">
                  <w:pPr>
                    <w:pStyle w:val="11"/>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b/>
                      <w:bCs/>
                      <w:color w:val="auto"/>
                      <w:sz w:val="24"/>
                      <w:szCs w:val="24"/>
                      <w:lang w:val="en-US" w:eastAsia="zh-CN"/>
                    </w:rPr>
                    <w:t>布袋除尘</w:t>
                  </w:r>
                </w:p>
              </w:tc>
              <w:tc>
                <w:tcPr>
                  <w:tcW w:w="2500" w:type="pct"/>
                </w:tcPr>
                <w:p w14:paraId="175EBA88">
                  <w:pPr>
                    <w:pStyle w:val="11"/>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drawing>
                      <wp:inline distT="0" distB="0" distL="114300" distR="114300">
                        <wp:extent cx="2720975" cy="2470150"/>
                        <wp:effectExtent l="0" t="0" r="3175" b="6350"/>
                        <wp:docPr id="100" name="图片 100" descr="熔融挤出有机废气处理设施照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熔融挤出有机废气处理设施照片1"/>
                                <pic:cNvPicPr>
                                  <a:picLocks noChangeAspect="1"/>
                                </pic:cNvPicPr>
                              </pic:nvPicPr>
                              <pic:blipFill>
                                <a:blip r:embed="rId24"/>
                                <a:stretch>
                                  <a:fillRect/>
                                </a:stretch>
                              </pic:blipFill>
                              <pic:spPr>
                                <a:xfrm>
                                  <a:off x="0" y="0"/>
                                  <a:ext cx="2720975" cy="2470150"/>
                                </a:xfrm>
                                <a:prstGeom prst="rect">
                                  <a:avLst/>
                                </a:prstGeom>
                              </pic:spPr>
                            </pic:pic>
                          </a:graphicData>
                        </a:graphic>
                      </wp:inline>
                    </w:drawing>
                  </w:r>
                  <w:r>
                    <w:rPr>
                      <w:rFonts w:hint="default" w:ascii="Times New Roman" w:hAnsi="Times New Roman" w:cs="Times New Roman"/>
                      <w:b/>
                      <w:bCs/>
                      <w:color w:val="auto"/>
                      <w:sz w:val="24"/>
                      <w:szCs w:val="24"/>
                      <w:lang w:val="en-US" w:eastAsia="zh-CN"/>
                    </w:rPr>
                    <w:t>活性炭吸附</w:t>
                  </w:r>
                </w:p>
              </w:tc>
            </w:tr>
            <w:tr w14:paraId="1B45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Pr>
                <w:p w14:paraId="47332C83">
                  <w:pPr>
                    <w:pStyle w:val="11"/>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drawing>
                      <wp:inline distT="0" distB="0" distL="114300" distR="114300">
                        <wp:extent cx="2720975" cy="2422525"/>
                        <wp:effectExtent l="0" t="0" r="3175" b="15875"/>
                        <wp:docPr id="101" name="图片 101" descr="熔融挤出有机废气处理设施照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熔融挤出有机废气处理设施照片2"/>
                                <pic:cNvPicPr>
                                  <a:picLocks noChangeAspect="1"/>
                                </pic:cNvPicPr>
                              </pic:nvPicPr>
                              <pic:blipFill>
                                <a:blip r:embed="rId25"/>
                                <a:stretch>
                                  <a:fillRect/>
                                </a:stretch>
                              </pic:blipFill>
                              <pic:spPr>
                                <a:xfrm>
                                  <a:off x="0" y="0"/>
                                  <a:ext cx="2720975" cy="2422525"/>
                                </a:xfrm>
                                <a:prstGeom prst="rect">
                                  <a:avLst/>
                                </a:prstGeom>
                              </pic:spPr>
                            </pic:pic>
                          </a:graphicData>
                        </a:graphic>
                      </wp:inline>
                    </w:drawing>
                  </w:r>
                </w:p>
                <w:p w14:paraId="6FBD427F">
                  <w:pPr>
                    <w:pStyle w:val="11"/>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b/>
                      <w:bCs/>
                      <w:color w:val="auto"/>
                      <w:sz w:val="24"/>
                      <w:szCs w:val="24"/>
                      <w:lang w:val="en-US" w:eastAsia="zh-CN"/>
                    </w:rPr>
                    <w:t>集气管道</w:t>
                  </w:r>
                </w:p>
              </w:tc>
              <w:tc>
                <w:tcPr>
                  <w:tcW w:w="2500" w:type="pct"/>
                  <w:vAlign w:val="center"/>
                </w:tcPr>
                <w:p w14:paraId="400154B6">
                  <w:pPr>
                    <w:pStyle w:val="11"/>
                    <w:keepNext w:val="0"/>
                    <w:keepLines w:val="0"/>
                    <w:pageBreakBefore w:val="0"/>
                    <w:widowControl w:val="0"/>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cs="Times New Roman"/>
                      <w:color w:val="auto"/>
                      <w:lang w:val="en-US" w:eastAsia="zh-CN"/>
                    </w:rPr>
                  </w:pPr>
                  <w:r>
                    <w:rPr>
                      <w:rFonts w:hint="eastAsia" w:cs="Times New Roman"/>
                      <w:color w:val="auto"/>
                      <w:sz w:val="24"/>
                      <w:szCs w:val="24"/>
                      <w:lang w:val="en-US" w:eastAsia="zh-CN"/>
                    </w:rPr>
                    <w:t>/</w:t>
                  </w:r>
                </w:p>
              </w:tc>
            </w:tr>
          </w:tbl>
          <w:p w14:paraId="19D915FF">
            <w:pPr>
              <w:pStyle w:val="88"/>
              <w:numPr>
                <w:ilvl w:val="4"/>
                <w:numId w:val="0"/>
              </w:numPr>
              <w:ind w:firstLineChars="0"/>
              <w:jc w:val="center"/>
              <w:rPr>
                <w:rFonts w:hint="default" w:ascii="Times New Roman" w:hAnsi="Times New Roman" w:eastAsia="宋体" w:cs="Times New Roman"/>
                <w:color w:val="auto"/>
                <w:sz w:val="24"/>
                <w:szCs w:val="24"/>
              </w:rPr>
            </w:pPr>
            <w:r>
              <w:rPr>
                <w:rFonts w:hint="default" w:eastAsia="宋体"/>
                <w:color w:val="auto"/>
                <w:sz w:val="24"/>
                <w:szCs w:val="24"/>
                <w:lang w:val="en-US" w:eastAsia="zh-CN"/>
              </w:rPr>
              <w:t>表</w:t>
            </w:r>
            <w:r>
              <w:rPr>
                <w:rFonts w:hint="eastAsia" w:eastAsia="宋体"/>
                <w:color w:val="auto"/>
                <w:sz w:val="24"/>
                <w:szCs w:val="24"/>
                <w:lang w:val="en-US" w:eastAsia="zh-CN"/>
              </w:rPr>
              <w:t>2.10</w:t>
            </w:r>
            <w:r>
              <w:rPr>
                <w:rFonts w:hint="default" w:eastAsia="宋体"/>
                <w:color w:val="auto"/>
                <w:sz w:val="24"/>
                <w:szCs w:val="24"/>
                <w:lang w:val="en-US" w:eastAsia="zh-CN"/>
              </w:rPr>
              <w:t>-</w:t>
            </w:r>
            <w:r>
              <w:rPr>
                <w:rFonts w:hint="eastAsia"/>
                <w:color w:val="auto"/>
                <w:sz w:val="24"/>
                <w:szCs w:val="24"/>
                <w:lang w:val="en-US" w:eastAsia="zh-CN"/>
              </w:rPr>
              <w:t>1</w:t>
            </w:r>
            <w:r>
              <w:rPr>
                <w:rFonts w:hint="eastAsia" w:eastAsia="宋体"/>
                <w:color w:val="auto"/>
                <w:sz w:val="24"/>
                <w:szCs w:val="24"/>
                <w:lang w:val="en-US" w:eastAsia="zh-CN"/>
              </w:rPr>
              <w:t xml:space="preserve">  废气环保设施</w:t>
            </w:r>
          </w:p>
          <w:p w14:paraId="083C770E">
            <w:pPr>
              <w:tabs>
                <w:tab w:val="left" w:pos="829"/>
              </w:tabs>
              <w:spacing w:before="0" w:beforeLines="0" w:line="360" w:lineRule="auto"/>
              <w:ind w:firstLine="480" w:firstLineChars="200"/>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cs="Times New Roman"/>
                <w:color w:val="auto"/>
                <w:sz w:val="24"/>
                <w:szCs w:val="24"/>
              </w:rPr>
              <w:t>验收监测期间，在满足工况的条件下，</w:t>
            </w:r>
            <w:r>
              <w:rPr>
                <w:rFonts w:hint="eastAsia" w:cs="Times New Roman"/>
                <w:color w:val="auto"/>
                <w:sz w:val="24"/>
                <w:szCs w:val="24"/>
                <w:lang w:eastAsia="zh-CN"/>
              </w:rPr>
              <w:t>根据检测报告，</w:t>
            </w:r>
            <w:r>
              <w:rPr>
                <w:rFonts w:hint="default" w:ascii="Times New Roman" w:hAnsi="Times New Roman" w:cs="Times New Roman"/>
                <w:color w:val="auto"/>
                <w:sz w:val="24"/>
                <w:szCs w:val="24"/>
              </w:rPr>
              <w:t>项目有机废气非甲烷总烃浓度范围为</w:t>
            </w:r>
            <w:r>
              <w:rPr>
                <w:rFonts w:hint="default" w:ascii="Times New Roman" w:hAnsi="Times New Roman" w:cs="Times New Roman"/>
                <w:color w:val="auto"/>
                <w:sz w:val="24"/>
                <w:szCs w:val="24"/>
                <w:lang w:val="en-US" w:eastAsia="zh-CN"/>
              </w:rPr>
              <w:t>1.81</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2.25</w:t>
            </w:r>
            <w:r>
              <w:rPr>
                <w:rFonts w:hint="default" w:ascii="Times New Roman" w:hAnsi="Times New Roman" w:cs="Times New Roman"/>
                <w:color w:val="auto"/>
                <w:sz w:val="24"/>
                <w:szCs w:val="24"/>
              </w:rPr>
              <w:t>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，非甲烷总烃可达到</w:t>
            </w:r>
            <w:r>
              <w:rPr>
                <w:rFonts w:hint="eastAsia" w:cs="Times New Roman"/>
                <w:color w:val="auto"/>
                <w:sz w:val="24"/>
                <w:szCs w:val="24"/>
                <w:lang w:eastAsia="zh-CN"/>
              </w:rPr>
              <w:t>《合成树脂工业污染物排放标准》（GB 31572-2015，含2024年修改单）</w:t>
            </w:r>
            <w:r>
              <w:rPr>
                <w:rFonts w:hint="default"/>
                <w:sz w:val="24"/>
                <w:lang w:eastAsia="zh-CN"/>
              </w:rPr>
              <w:t>（标准限值：</w:t>
            </w:r>
            <w:r>
              <w:rPr>
                <w:rFonts w:hint="default"/>
                <w:sz w:val="24"/>
                <w:lang w:val="en-US" w:eastAsia="zh-CN"/>
              </w:rPr>
              <w:t>100</w:t>
            </w:r>
            <w:r>
              <w:rPr>
                <w:rFonts w:hint="default" w:ascii="Times New Roman" w:hAnsi="Times New Roman" w:cs="Times New Roman"/>
                <w:color w:val="auto"/>
                <w:sz w:val="24"/>
                <w:szCs w:val="24"/>
              </w:rPr>
              <w:t>mg/m</w:t>
            </w:r>
            <w:r>
              <w:rPr>
                <w:rFonts w:hint="default" w:ascii="Times New Roman" w:hAnsi="Times New Roman" w:cs="Times New Roman"/>
                <w:color w:val="auto"/>
                <w:sz w:val="24"/>
                <w:szCs w:val="24"/>
                <w:vertAlign w:val="superscript"/>
              </w:rPr>
              <w:t>3</w:t>
            </w:r>
            <w:r>
              <w:rPr>
                <w:rFonts w:hint="default"/>
                <w:sz w:val="24"/>
                <w:lang w:eastAsia="zh-CN"/>
              </w:rPr>
              <w:t>）</w:t>
            </w:r>
            <w:r>
              <w:rPr>
                <w:rFonts w:hint="default" w:ascii="Times New Roman" w:hAnsi="Times New Roman" w:cs="Times New Roman"/>
                <w:color w:val="auto"/>
                <w:sz w:val="24"/>
                <w:szCs w:val="24"/>
                <w:lang w:val="en-US" w:eastAsia="zh-CN"/>
              </w:rPr>
              <w:t>。</w:t>
            </w:r>
          </w:p>
          <w:p w14:paraId="2CC0EC18">
            <w:pPr>
              <w:tabs>
                <w:tab w:val="left" w:pos="829"/>
              </w:tabs>
              <w:spacing w:before="0" w:beforeLines="0"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验收监测期间，在满足工况的条件下，</w:t>
            </w:r>
            <w:r>
              <w:rPr>
                <w:rFonts w:hint="eastAsia" w:cs="Times New Roman"/>
                <w:color w:val="auto"/>
                <w:sz w:val="24"/>
                <w:szCs w:val="24"/>
                <w:lang w:eastAsia="zh-CN"/>
              </w:rPr>
              <w:t>根据检测报告，</w:t>
            </w:r>
            <w:r>
              <w:rPr>
                <w:rFonts w:hint="default" w:ascii="Times New Roman" w:hAnsi="Times New Roman" w:cs="Times New Roman"/>
                <w:color w:val="auto"/>
                <w:sz w:val="24"/>
                <w:szCs w:val="24"/>
              </w:rPr>
              <w:t>项目无组织排放的颗粒物厂界监控点最大浓度为0.</w:t>
            </w:r>
            <w:r>
              <w:rPr>
                <w:rFonts w:hint="default" w:ascii="Times New Roman" w:hAnsi="Times New Roman" w:cs="Times New Roman"/>
                <w:color w:val="auto"/>
                <w:sz w:val="24"/>
                <w:szCs w:val="24"/>
                <w:lang w:val="en-US" w:eastAsia="zh-CN"/>
              </w:rPr>
              <w:t>29</w:t>
            </w:r>
            <w:r>
              <w:rPr>
                <w:rFonts w:hint="default" w:ascii="Times New Roman" w:hAnsi="Times New Roman" w:cs="Times New Roman"/>
                <w:color w:val="auto"/>
                <w:sz w:val="24"/>
                <w:szCs w:val="24"/>
              </w:rPr>
              <w:t>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；非甲烷总烃厂界监控点最大浓度为</w:t>
            </w:r>
            <w:r>
              <w:rPr>
                <w:rFonts w:hint="default" w:ascii="Times New Roman" w:hAnsi="Times New Roman" w:cs="Times New Roman"/>
                <w:color w:val="auto"/>
                <w:sz w:val="24"/>
                <w:szCs w:val="24"/>
                <w:lang w:val="en-US" w:eastAsia="zh-CN"/>
              </w:rPr>
              <w:t>1.43</w:t>
            </w:r>
            <w:r>
              <w:rPr>
                <w:rFonts w:hint="default" w:ascii="Times New Roman" w:hAnsi="Times New Roman" w:cs="Times New Roman"/>
                <w:color w:val="auto"/>
                <w:sz w:val="24"/>
                <w:szCs w:val="24"/>
              </w:rPr>
              <w:t>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非甲烷总烃厂区内监控点最大浓度为</w:t>
            </w:r>
            <w:r>
              <w:rPr>
                <w:rFonts w:hint="default" w:ascii="Times New Roman" w:hAnsi="Times New Roman" w:cs="Times New Roman"/>
                <w:color w:val="auto"/>
                <w:sz w:val="24"/>
                <w:szCs w:val="24"/>
                <w:lang w:val="en-US" w:eastAsia="zh-CN"/>
              </w:rPr>
              <w:t>1.76</w:t>
            </w:r>
            <w:r>
              <w:rPr>
                <w:rFonts w:hint="default" w:ascii="Times New Roman" w:hAnsi="Times New Roman" w:cs="Times New Roman"/>
                <w:color w:val="auto"/>
                <w:sz w:val="24"/>
                <w:szCs w:val="24"/>
              </w:rPr>
              <w:t>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，颗粒物可达到《大气污染物综合排放标准》(GB16297-1996)表2无组织排放监控浓度限值</w:t>
            </w:r>
            <w:r>
              <w:rPr>
                <w:rFonts w:hint="default" w:ascii="Times New Roman" w:hAnsi="Times New Roman" w:eastAsia="宋体" w:cs="Times New Roman"/>
                <w:color w:val="auto"/>
                <w:sz w:val="24"/>
                <w:lang w:eastAsia="zh-CN"/>
              </w:rPr>
              <w:t>（</w:t>
            </w:r>
            <w:r>
              <w:rPr>
                <w:rFonts w:hint="eastAsia" w:cs="Times New Roman"/>
                <w:color w:val="auto"/>
                <w:sz w:val="24"/>
                <w:lang w:eastAsia="zh-CN"/>
              </w:rPr>
              <w:t>标准限值：</w:t>
            </w:r>
            <w:r>
              <w:rPr>
                <w:rFonts w:hint="default"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szCs w:val="24"/>
              </w:rPr>
              <w:t>mg/m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lang w:eastAsia="zh-CN"/>
              </w:rPr>
              <w:t>）</w:t>
            </w:r>
            <w:r>
              <w:rPr>
                <w:rFonts w:hint="default" w:ascii="Times New Roman" w:hAnsi="Times New Roman" w:cs="Times New Roman"/>
                <w:color w:val="auto"/>
                <w:sz w:val="24"/>
                <w:szCs w:val="24"/>
              </w:rPr>
              <w:t>，非甲烷总烃可达到</w:t>
            </w:r>
            <w:ins w:id="3" w:author="微微一笑" w:date="2026-08-06T09:51:34Z">
              <w:r>
                <w:rPr>
                  <w:rFonts w:hint="eastAsia" w:cs="Times New Roman"/>
                  <w:color w:val="auto"/>
                  <w:sz w:val="24"/>
                  <w:szCs w:val="24"/>
                  <w:lang w:eastAsia="zh-CN"/>
                </w:rPr>
                <w:t>《</w:t>
              </w:r>
            </w:ins>
            <w:r>
              <w:rPr>
                <w:rFonts w:hint="default" w:cs="Times New Roman"/>
                <w:color w:val="auto"/>
                <w:sz w:val="24"/>
                <w:szCs w:val="24"/>
                <w:lang w:eastAsia="zh-CN"/>
              </w:rPr>
              <w:t>合成树脂工业污染物排放标准》（GB 31572-2015，含2024年修改单）</w:t>
            </w:r>
            <w:r>
              <w:rPr>
                <w:rFonts w:hint="default" w:ascii="Times New Roman" w:hAnsi="Times New Roman" w:eastAsia="宋体" w:cs="Times New Roman"/>
                <w:sz w:val="24"/>
                <w:lang w:eastAsia="zh-CN"/>
              </w:rPr>
              <w:t>（标准限值：</w:t>
            </w:r>
            <w:r>
              <w:rPr>
                <w:rFonts w:hint="default" w:cs="Times New Roman"/>
                <w:sz w:val="24"/>
                <w:lang w:val="en-US" w:eastAsia="zh-CN"/>
              </w:rPr>
              <w:t>4</w:t>
            </w:r>
            <w:r>
              <w:rPr>
                <w:rFonts w:hint="default" w:ascii="Times New Roman" w:hAnsi="Times New Roman" w:eastAsia="宋体" w:cs="Times New Roman"/>
                <w:color w:val="auto"/>
                <w:sz w:val="24"/>
                <w:szCs w:val="24"/>
              </w:rPr>
              <w:t>mg/m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sz w:val="24"/>
                <w:lang w:eastAsia="zh-CN"/>
              </w:rPr>
              <w:t>）</w:t>
            </w:r>
            <w:r>
              <w:rPr>
                <w:rFonts w:hint="default" w:ascii="Times New Roman" w:hAnsi="Times New Roman" w:cs="Times New Roman"/>
                <w:color w:val="auto"/>
                <w:sz w:val="24"/>
                <w:szCs w:val="24"/>
              </w:rPr>
              <w:t>，非甲烷总烃厂内监控浓度可满足《挥发性有机物无组织排放控制标准》（GB37822-2019）</w:t>
            </w:r>
            <w:r>
              <w:rPr>
                <w:rFonts w:hint="default" w:ascii="Times New Roman" w:hAnsi="Times New Roman" w:eastAsia="宋体" w:cs="Times New Roman"/>
                <w:sz w:val="24"/>
                <w:lang w:eastAsia="zh-CN"/>
              </w:rPr>
              <w:t>（</w:t>
            </w:r>
            <w:r>
              <w:rPr>
                <w:rFonts w:hint="default"/>
                <w:color w:val="auto"/>
                <w:sz w:val="24"/>
              </w:rPr>
              <w:t>任意一次浓度值</w:t>
            </w:r>
            <w:r>
              <w:rPr>
                <w:rFonts w:hint="default" w:ascii="Times New Roman" w:hAnsi="Times New Roman" w:eastAsia="宋体" w:cs="Times New Roman"/>
                <w:sz w:val="24"/>
                <w:lang w:eastAsia="zh-CN"/>
              </w:rPr>
              <w:t>：</w:t>
            </w:r>
            <w:r>
              <w:rPr>
                <w:rFonts w:hint="default" w:cs="Times New Roman"/>
                <w:sz w:val="24"/>
                <w:lang w:val="en-US" w:eastAsia="zh-CN"/>
              </w:rPr>
              <w:t>30</w:t>
            </w:r>
            <w:r>
              <w:rPr>
                <w:rFonts w:hint="default" w:ascii="Times New Roman" w:hAnsi="Times New Roman" w:eastAsia="宋体" w:cs="Times New Roman"/>
                <w:color w:val="auto"/>
                <w:sz w:val="24"/>
                <w:szCs w:val="24"/>
              </w:rPr>
              <w:t>mg/m</w:t>
            </w:r>
            <w:r>
              <w:rPr>
                <w:rFonts w:hint="default" w:ascii="Times New Roman" w:hAnsi="Times New Roman" w:eastAsia="宋体" w:cs="Times New Roman"/>
                <w:color w:val="auto"/>
                <w:sz w:val="24"/>
                <w:szCs w:val="24"/>
                <w:vertAlign w:val="superscript"/>
              </w:rPr>
              <w:t>3</w:t>
            </w:r>
            <w:r>
              <w:rPr>
                <w:rFonts w:hint="default" w:cs="Times New Roman"/>
                <w:color w:val="auto"/>
                <w:sz w:val="24"/>
                <w:szCs w:val="24"/>
                <w:vertAlign w:val="baseline"/>
                <w:lang w:eastAsia="zh-CN"/>
              </w:rPr>
              <w:t>，</w:t>
            </w:r>
            <w:r>
              <w:rPr>
                <w:rFonts w:hint="default"/>
                <w:color w:val="auto"/>
                <w:sz w:val="24"/>
              </w:rPr>
              <w:t>任意1h平均浓度值</w:t>
            </w:r>
            <w:r>
              <w:rPr>
                <w:rFonts w:hint="default"/>
                <w:color w:val="auto"/>
                <w:sz w:val="24"/>
                <w:lang w:eastAsia="zh-CN"/>
              </w:rPr>
              <w:t>：</w:t>
            </w:r>
            <w:r>
              <w:rPr>
                <w:rFonts w:hint="default" w:cs="Times New Roman"/>
                <w:sz w:val="24"/>
                <w:lang w:val="en-US" w:eastAsia="zh-CN"/>
              </w:rPr>
              <w:t>10</w:t>
            </w:r>
            <w:r>
              <w:rPr>
                <w:rFonts w:hint="default" w:ascii="Times New Roman" w:hAnsi="Times New Roman" w:eastAsia="宋体" w:cs="Times New Roman"/>
                <w:color w:val="auto"/>
                <w:sz w:val="24"/>
                <w:szCs w:val="24"/>
              </w:rPr>
              <w:t>mg/m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sz w:val="24"/>
                <w:lang w:eastAsia="zh-CN"/>
              </w:rPr>
              <w:t>）</w:t>
            </w:r>
            <w:r>
              <w:rPr>
                <w:rFonts w:hint="default" w:ascii="Times New Roman" w:hAnsi="Times New Roman" w:cs="Times New Roman"/>
                <w:color w:val="auto"/>
                <w:sz w:val="24"/>
                <w:szCs w:val="24"/>
              </w:rPr>
              <w:t>。</w:t>
            </w:r>
          </w:p>
          <w:p w14:paraId="44757064">
            <w:pPr>
              <w:tabs>
                <w:tab w:val="left" w:pos="829"/>
              </w:tabs>
              <w:spacing w:before="0" w:beforeLines="0" w:line="360" w:lineRule="auto"/>
              <w:ind w:firstLine="480" w:firstLineChars="200"/>
              <w:rPr>
                <w:rFonts w:hint="default" w:eastAsia="宋体" w:cs="Times New Roman"/>
                <w:color w:val="auto"/>
                <w:sz w:val="24"/>
                <w:szCs w:val="24"/>
                <w:lang w:val="en-US" w:eastAsia="zh-CN"/>
              </w:rPr>
            </w:pPr>
            <w:r>
              <w:rPr>
                <w:rFonts w:hint="default" w:eastAsia="宋体" w:cs="Times New Roman"/>
                <w:color w:val="auto"/>
                <w:sz w:val="24"/>
                <w:szCs w:val="24"/>
                <w:lang w:val="en-US" w:eastAsia="zh-CN"/>
              </w:rPr>
              <w:t>（</w:t>
            </w:r>
            <w:r>
              <w:rPr>
                <w:rFonts w:hint="eastAsia" w:eastAsia="宋体" w:cs="Times New Roman"/>
                <w:color w:val="auto"/>
                <w:sz w:val="24"/>
                <w:szCs w:val="24"/>
                <w:lang w:val="en-US" w:eastAsia="zh-CN"/>
              </w:rPr>
              <w:t>2</w:t>
            </w:r>
            <w:r>
              <w:rPr>
                <w:rFonts w:hint="default" w:eastAsia="宋体" w:cs="Times New Roman"/>
                <w:color w:val="auto"/>
                <w:sz w:val="24"/>
                <w:szCs w:val="24"/>
                <w:lang w:val="en-US" w:eastAsia="zh-CN"/>
              </w:rPr>
              <w:t>）厂界噪声</w:t>
            </w:r>
          </w:p>
          <w:p w14:paraId="1953538F">
            <w:pPr>
              <w:tabs>
                <w:tab w:val="left" w:pos="829"/>
              </w:tabs>
              <w:spacing w:before="0" w:beforeLines="0"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项目生产过程噪声主要来源于生产设备运行的噪声，</w:t>
            </w:r>
            <w:r>
              <w:rPr>
                <w:rFonts w:hint="eastAsia" w:cs="Times New Roman"/>
                <w:color w:val="auto"/>
                <w:sz w:val="24"/>
                <w:szCs w:val="24"/>
                <w:lang w:eastAsia="zh-CN"/>
              </w:rPr>
              <w:t>根据监测结果</w:t>
            </w:r>
            <w:r>
              <w:rPr>
                <w:rFonts w:hint="eastAsia" w:ascii="Times New Roman" w:hAnsi="Times New Roman" w:eastAsia="宋体" w:cs="Times New Roman"/>
                <w:color w:val="auto"/>
                <w:sz w:val="24"/>
                <w:szCs w:val="24"/>
              </w:rPr>
              <w:t>，项目东侧、南侧和北侧厂界噪声均符合《工业企业厂界环境噪声排放标准》</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GB12348-2008</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中3类标准限值。</w:t>
            </w:r>
          </w:p>
          <w:p w14:paraId="7DC91906">
            <w:pPr>
              <w:tabs>
                <w:tab w:val="left" w:pos="829"/>
              </w:tabs>
              <w:spacing w:before="0" w:beforeLines="0" w:line="360" w:lineRule="auto"/>
              <w:ind w:firstLine="480" w:firstLineChars="200"/>
              <w:rPr>
                <w:rFonts w:hint="default" w:eastAsia="宋体" w:cs="Times New Roman"/>
                <w:color w:val="auto"/>
                <w:sz w:val="24"/>
                <w:szCs w:val="24"/>
                <w:lang w:val="en-GB" w:eastAsia="zh-CN"/>
              </w:rPr>
            </w:pPr>
            <w:r>
              <w:rPr>
                <w:rFonts w:hint="default" w:eastAsia="宋体" w:cs="Times New Roman"/>
                <w:color w:val="auto"/>
                <w:sz w:val="24"/>
                <w:szCs w:val="24"/>
                <w:lang w:val="en-US" w:eastAsia="zh-CN"/>
              </w:rPr>
              <w:t>（</w:t>
            </w:r>
            <w:r>
              <w:rPr>
                <w:rFonts w:hint="eastAsia" w:cs="Times New Roman"/>
                <w:color w:val="auto"/>
                <w:sz w:val="24"/>
                <w:szCs w:val="24"/>
                <w:lang w:val="en-US" w:eastAsia="zh-CN"/>
              </w:rPr>
              <w:t>3</w:t>
            </w:r>
            <w:r>
              <w:rPr>
                <w:rFonts w:hint="default" w:eastAsia="宋体" w:cs="Times New Roman"/>
                <w:color w:val="auto"/>
                <w:sz w:val="24"/>
                <w:szCs w:val="24"/>
                <w:lang w:val="en-GB" w:eastAsia="zh-CN"/>
              </w:rPr>
              <w:t>）废水处理方式</w:t>
            </w:r>
          </w:p>
          <w:p w14:paraId="37BBCAD4">
            <w:pPr>
              <w:tabs>
                <w:tab w:val="left" w:pos="829"/>
              </w:tabs>
              <w:spacing w:before="0" w:beforeLines="0"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①设备冷却水</w:t>
            </w:r>
          </w:p>
          <w:p w14:paraId="285A0C31">
            <w:pPr>
              <w:tabs>
                <w:tab w:val="left" w:pos="829"/>
              </w:tabs>
              <w:spacing w:before="0" w:beforeLines="0"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项目设备冷却水循环使用定期补充，不外排。</w:t>
            </w:r>
          </w:p>
          <w:p w14:paraId="5B0586A1">
            <w:pPr>
              <w:tabs>
                <w:tab w:val="left" w:pos="829"/>
              </w:tabs>
              <w:spacing w:before="0" w:beforeLines="0"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②</w:t>
            </w:r>
            <w:r>
              <w:rPr>
                <w:rFonts w:hint="default" w:ascii="Times New Roman" w:hAnsi="Times New Roman" w:eastAsia="宋体" w:cs="Times New Roman"/>
                <w:color w:val="auto"/>
                <w:sz w:val="24"/>
                <w:szCs w:val="24"/>
              </w:rPr>
              <w:t>生活污水</w:t>
            </w:r>
          </w:p>
          <w:p w14:paraId="71E6986F">
            <w:pPr>
              <w:tabs>
                <w:tab w:val="left" w:pos="829"/>
              </w:tabs>
              <w:spacing w:before="0" w:beforeLines="0"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根据建设单位查阅水费等资料，生活污水排放量约为</w:t>
            </w:r>
            <w:r>
              <w:rPr>
                <w:rFonts w:hint="default" w:ascii="Times New Roman" w:hAnsi="Times New Roman" w:eastAsia="宋体" w:cs="Times New Roman"/>
                <w:color w:val="auto"/>
                <w:sz w:val="24"/>
                <w:szCs w:val="24"/>
                <w:lang w:val="en-US" w:eastAsia="zh-CN"/>
              </w:rPr>
              <w:t>264</w:t>
            </w:r>
            <w:r>
              <w:rPr>
                <w:rFonts w:hint="default" w:ascii="Times New Roman" w:hAnsi="Times New Roman" w:eastAsia="宋体" w:cs="Times New Roman"/>
                <w:color w:val="auto"/>
                <w:sz w:val="24"/>
                <w:szCs w:val="24"/>
              </w:rPr>
              <w:t>t/a。项目生活污水经化粪池处理后通过市政管网纳入福建青口海峡环保有限公司（青口新区污水处理厂）处理。</w:t>
            </w:r>
          </w:p>
          <w:p w14:paraId="1422C1BE">
            <w:pPr>
              <w:tabs>
                <w:tab w:val="left" w:pos="829"/>
              </w:tabs>
              <w:spacing w:before="0" w:beforeLines="0" w:line="360" w:lineRule="auto"/>
              <w:ind w:firstLine="480" w:firstLineChars="200"/>
              <w:rPr>
                <w:rFonts w:hint="default" w:eastAsia="宋体" w:cs="Times New Roman"/>
                <w:color w:val="auto"/>
                <w:sz w:val="24"/>
                <w:szCs w:val="24"/>
                <w:lang w:val="en-US" w:eastAsia="zh-CN"/>
              </w:rPr>
            </w:pPr>
            <w:r>
              <w:rPr>
                <w:rFonts w:hint="default" w:eastAsia="宋体" w:cs="Times New Roman"/>
                <w:color w:val="auto"/>
                <w:sz w:val="24"/>
                <w:szCs w:val="24"/>
                <w:lang w:val="en-US" w:eastAsia="zh-CN"/>
              </w:rPr>
              <w:t>在验收监测期间，满足工况的条件下，</w:t>
            </w:r>
            <w:r>
              <w:rPr>
                <w:rFonts w:hint="eastAsia" w:cs="Times New Roman"/>
                <w:color w:val="auto"/>
                <w:sz w:val="24"/>
                <w:szCs w:val="24"/>
                <w:lang w:val="en-US" w:eastAsia="zh-CN"/>
              </w:rPr>
              <w:t>根据检测报告，</w:t>
            </w:r>
            <w:r>
              <w:rPr>
                <w:rFonts w:hint="default" w:eastAsia="宋体" w:cs="Times New Roman"/>
                <w:color w:val="auto"/>
                <w:sz w:val="24"/>
                <w:szCs w:val="24"/>
                <w:lang w:val="en-US" w:eastAsia="zh-CN"/>
              </w:rPr>
              <w:t>项目生活污水排放可达到《污水综合排放标准》</w:t>
            </w:r>
            <w:r>
              <w:rPr>
                <w:rFonts w:hint="eastAsia" w:cs="Times New Roman"/>
                <w:color w:val="auto"/>
                <w:sz w:val="24"/>
                <w:szCs w:val="24"/>
                <w:lang w:val="en-US" w:eastAsia="zh-CN"/>
              </w:rPr>
              <w:t>（</w:t>
            </w:r>
            <w:r>
              <w:rPr>
                <w:rFonts w:hint="default" w:eastAsia="宋体" w:cs="Times New Roman"/>
                <w:color w:val="auto"/>
                <w:sz w:val="24"/>
                <w:szCs w:val="24"/>
                <w:lang w:val="en-US" w:eastAsia="zh-CN"/>
              </w:rPr>
              <w:t>GB8978-1996</w:t>
            </w:r>
            <w:r>
              <w:rPr>
                <w:rFonts w:hint="eastAsia" w:cs="Times New Roman"/>
                <w:color w:val="auto"/>
                <w:sz w:val="24"/>
                <w:szCs w:val="24"/>
                <w:lang w:val="en-US" w:eastAsia="zh-CN"/>
              </w:rPr>
              <w:t>）</w:t>
            </w:r>
            <w:r>
              <w:rPr>
                <w:rFonts w:hint="default" w:eastAsia="宋体" w:cs="Times New Roman"/>
                <w:color w:val="auto"/>
                <w:sz w:val="24"/>
                <w:szCs w:val="24"/>
                <w:lang w:val="en-US" w:eastAsia="zh-CN"/>
              </w:rPr>
              <w:t>表4中的三级标准（其中氨氮</w:t>
            </w:r>
            <w:r>
              <w:rPr>
                <w:rFonts w:hint="eastAsia" w:cs="Times New Roman"/>
                <w:color w:val="auto"/>
                <w:sz w:val="24"/>
                <w:szCs w:val="24"/>
                <w:lang w:val="en-US" w:eastAsia="zh-CN"/>
              </w:rPr>
              <w:t>、总磷、总氮</w:t>
            </w:r>
            <w:r>
              <w:rPr>
                <w:rFonts w:hint="default" w:eastAsia="宋体" w:cs="Times New Roman"/>
                <w:color w:val="auto"/>
                <w:sz w:val="24"/>
                <w:szCs w:val="24"/>
                <w:lang w:val="en-US" w:eastAsia="zh-CN"/>
              </w:rPr>
              <w:t>参照执行《污水排入城镇下水道水质标准》(GB/T31962-2015)）</w:t>
            </w:r>
            <w:r>
              <w:rPr>
                <w:rFonts w:hint="default"/>
                <w:color w:val="auto"/>
                <w:sz w:val="24"/>
                <w:lang w:eastAsia="zh-CN"/>
              </w:rPr>
              <w:t>并满足</w:t>
            </w:r>
            <w:r>
              <w:rPr>
                <w:rFonts w:hint="default" w:ascii="Times New Roman" w:hAnsi="Times New Roman" w:eastAsia="宋体" w:cs="Times New Roman"/>
                <w:color w:val="auto"/>
                <w:sz w:val="24"/>
                <w:szCs w:val="24"/>
              </w:rPr>
              <w:t>青口新区污水处理厂</w:t>
            </w:r>
            <w:r>
              <w:rPr>
                <w:rFonts w:hint="default"/>
                <w:color w:val="auto"/>
                <w:sz w:val="24"/>
                <w:lang w:val="en-US" w:eastAsia="zh-CN"/>
              </w:rPr>
              <w:t>进水水质要求</w:t>
            </w:r>
            <w:r>
              <w:rPr>
                <w:rFonts w:hint="default" w:eastAsia="宋体" w:cs="Times New Roman"/>
                <w:color w:val="auto"/>
                <w:sz w:val="24"/>
                <w:szCs w:val="24"/>
                <w:lang w:val="en-US" w:eastAsia="zh-CN"/>
              </w:rPr>
              <w:t>。</w:t>
            </w:r>
          </w:p>
          <w:p w14:paraId="33DB4F75">
            <w:pPr>
              <w:tabs>
                <w:tab w:val="left" w:pos="829"/>
              </w:tabs>
              <w:spacing w:before="0" w:beforeLines="0" w:line="360" w:lineRule="auto"/>
              <w:ind w:firstLine="480" w:firstLineChars="200"/>
              <w:rPr>
                <w:rFonts w:hint="default" w:eastAsia="宋体" w:cs="Times New Roman"/>
                <w:color w:val="auto"/>
                <w:sz w:val="24"/>
                <w:szCs w:val="24"/>
                <w:lang w:val="en-GB" w:eastAsia="zh-CN"/>
              </w:rPr>
            </w:pPr>
            <w:r>
              <w:rPr>
                <w:rFonts w:hint="default" w:eastAsia="宋体" w:cs="Times New Roman"/>
                <w:color w:val="auto"/>
                <w:sz w:val="24"/>
                <w:szCs w:val="24"/>
                <w:lang w:val="en-GB" w:eastAsia="zh-CN"/>
              </w:rPr>
              <w:t>（</w:t>
            </w:r>
            <w:r>
              <w:rPr>
                <w:rFonts w:hint="eastAsia" w:cs="Times New Roman"/>
                <w:color w:val="auto"/>
                <w:sz w:val="24"/>
                <w:szCs w:val="24"/>
                <w:lang w:val="en-US" w:eastAsia="zh-CN"/>
              </w:rPr>
              <w:t>4</w:t>
            </w:r>
            <w:r>
              <w:rPr>
                <w:rFonts w:hint="default" w:eastAsia="宋体" w:cs="Times New Roman"/>
                <w:color w:val="auto"/>
                <w:sz w:val="24"/>
                <w:szCs w:val="24"/>
                <w:lang w:val="en-GB" w:eastAsia="zh-CN"/>
              </w:rPr>
              <w:t>）固体废物处置方式</w:t>
            </w:r>
          </w:p>
          <w:p w14:paraId="314240F4">
            <w:pPr>
              <w:tabs>
                <w:tab w:val="left" w:pos="829"/>
              </w:tabs>
              <w:spacing w:before="0" w:beforeLines="0" w:line="360" w:lineRule="auto"/>
              <w:ind w:firstLine="480" w:firstLineChars="200"/>
              <w:rPr>
                <w:rFonts w:hint="default" w:eastAsia="宋体" w:cs="Times New Roman"/>
                <w:color w:val="auto"/>
                <w:sz w:val="24"/>
                <w:szCs w:val="24"/>
                <w:lang w:val="en-US" w:eastAsia="zh-CN"/>
              </w:rPr>
            </w:pPr>
            <w:r>
              <w:rPr>
                <w:rFonts w:hint="default" w:eastAsia="宋体" w:cs="Times New Roman"/>
                <w:color w:val="auto"/>
                <w:sz w:val="24"/>
                <w:szCs w:val="24"/>
                <w:lang w:val="en-US" w:eastAsia="zh-CN"/>
              </w:rPr>
              <w:t>项目职工日常生活垃圾指定地点存放，委托环卫部门每日及时清运、处置；一般固废能利用的外售物资回收单位；废活性炭定期委托福州市福化环保科技有限公司处理，建设单位已经与福州市福化环保科技有限公司签订合同</w:t>
            </w:r>
            <w:r>
              <w:rPr>
                <w:rFonts w:hint="eastAsia" w:cs="Times New Roman"/>
                <w:color w:val="auto"/>
                <w:sz w:val="24"/>
                <w:szCs w:val="24"/>
                <w:lang w:val="en-US" w:eastAsia="zh-CN"/>
              </w:rPr>
              <w:t>（详见附件9）</w:t>
            </w:r>
            <w:r>
              <w:rPr>
                <w:rFonts w:hint="default" w:eastAsia="宋体" w:cs="Times New Roman"/>
                <w:color w:val="auto"/>
                <w:sz w:val="24"/>
                <w:szCs w:val="24"/>
                <w:lang w:val="en-US" w:eastAsia="zh-CN"/>
              </w:rPr>
              <w:t>。</w:t>
            </w:r>
          </w:p>
          <w:p w14:paraId="4E410517">
            <w:pPr>
              <w:keepNext w:val="0"/>
              <w:keepLines w:val="0"/>
              <w:pageBreakBefore w:val="0"/>
              <w:widowControl w:val="0"/>
              <w:numPr>
                <w:ilvl w:val="0"/>
                <w:numId w:val="0"/>
              </w:numPr>
              <w:tabs>
                <w:tab w:val="left" w:pos="482"/>
              </w:tabs>
              <w:kinsoku/>
              <w:wordWrap/>
              <w:overflowPunct/>
              <w:topLinePunct w:val="0"/>
              <w:autoSpaceDE/>
              <w:autoSpaceDN/>
              <w:bidi w:val="0"/>
              <w:adjustRightInd/>
              <w:snapToGrid/>
              <w:spacing w:before="157" w:beforeLines="50" w:line="240" w:lineRule="auto"/>
              <w:ind w:leftChars="0"/>
              <w:jc w:val="center"/>
              <w:textAlignment w:val="auto"/>
              <w:rPr>
                <w:rFonts w:hint="eastAsia" w:ascii="Times New Roman" w:hAnsi="Times New Roman" w:eastAsia="宋体" w:cs="Times New Roman"/>
                <w:color w:val="auto"/>
                <w:spacing w:val="-1"/>
                <w:kern w:val="2"/>
                <w:sz w:val="24"/>
                <w:szCs w:val="24"/>
                <w:lang w:val="en-US" w:eastAsia="zh-CN" w:bidi="ar-SA"/>
              </w:rPr>
            </w:pPr>
            <w:r>
              <w:rPr>
                <w:rFonts w:hint="eastAsia" w:ascii="Times New Roman" w:hAnsi="Times New Roman"/>
                <w:b/>
                <w:color w:val="auto"/>
                <w:lang w:eastAsia="zh-CN"/>
              </w:rPr>
              <w:t>表</w:t>
            </w:r>
            <w:r>
              <w:rPr>
                <w:rFonts w:hint="eastAsia" w:ascii="Times New Roman" w:hAnsi="Times New Roman" w:cs="Times New Roman"/>
                <w:b/>
                <w:bCs/>
                <w:color w:val="auto"/>
                <w:sz w:val="24"/>
                <w:szCs w:val="24"/>
                <w:lang w:val="en-US" w:eastAsia="zh-CN"/>
              </w:rPr>
              <w:t>4.4-1</w:t>
            </w:r>
            <w:r>
              <w:rPr>
                <w:rFonts w:hint="eastAsia" w:ascii="Times New Roman" w:hAnsi="Times New Roman" w:eastAsia="宋体" w:cs="Times New Roman"/>
                <w:b/>
                <w:color w:val="auto"/>
                <w:lang w:val="en-US" w:eastAsia="zh-CN"/>
              </w:rPr>
              <w:t>原有</w:t>
            </w:r>
            <w:r>
              <w:rPr>
                <w:rFonts w:ascii="Times New Roman" w:hAnsi="Times New Roman" w:eastAsia="宋体" w:cs="Times New Roman"/>
                <w:b/>
                <w:color w:val="auto"/>
              </w:rPr>
              <w:t>项目固废产生情况及处置一览表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06"/>
              <w:gridCol w:w="617"/>
              <w:gridCol w:w="1660"/>
              <w:gridCol w:w="433"/>
              <w:gridCol w:w="639"/>
              <w:gridCol w:w="772"/>
              <w:gridCol w:w="440"/>
              <w:gridCol w:w="791"/>
              <w:gridCol w:w="791"/>
              <w:gridCol w:w="693"/>
              <w:gridCol w:w="1380"/>
            </w:tblGrid>
            <w:tr w14:paraId="7E26EC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42" w:type="dxa"/>
                  <w:noWrap w:val="0"/>
                  <w:vAlign w:val="center"/>
                </w:tcPr>
                <w:p w14:paraId="10832998">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固废</w:t>
                  </w:r>
                </w:p>
                <w:p w14:paraId="11EE1A9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567" w:type="dxa"/>
                  <w:noWrap w:val="0"/>
                  <w:vAlign w:val="center"/>
                </w:tcPr>
                <w:p w14:paraId="2F5F2ED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废物性质</w:t>
                  </w:r>
                </w:p>
              </w:tc>
              <w:tc>
                <w:tcPr>
                  <w:tcW w:w="1495" w:type="dxa"/>
                  <w:noWrap w:val="0"/>
                  <w:vAlign w:val="center"/>
                </w:tcPr>
                <w:p w14:paraId="1D66538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类别编号</w:t>
                  </w:r>
                </w:p>
              </w:tc>
              <w:tc>
                <w:tcPr>
                  <w:tcW w:w="398" w:type="dxa"/>
                  <w:noWrap w:val="0"/>
                  <w:vAlign w:val="center"/>
                </w:tcPr>
                <w:p w14:paraId="482F4BC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危险特性</w:t>
                  </w:r>
                </w:p>
              </w:tc>
              <w:tc>
                <w:tcPr>
                  <w:tcW w:w="588" w:type="dxa"/>
                  <w:noWrap w:val="0"/>
                  <w:vAlign w:val="center"/>
                </w:tcPr>
                <w:p w14:paraId="3B77AD8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产生量(t/a)</w:t>
                  </w:r>
                </w:p>
              </w:tc>
              <w:tc>
                <w:tcPr>
                  <w:tcW w:w="710" w:type="dxa"/>
                  <w:noWrap w:val="0"/>
                  <w:vAlign w:val="center"/>
                </w:tcPr>
                <w:p w14:paraId="284F0CC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产生工序及装置</w:t>
                  </w:r>
                </w:p>
              </w:tc>
              <w:tc>
                <w:tcPr>
                  <w:tcW w:w="405" w:type="dxa"/>
                  <w:noWrap w:val="0"/>
                  <w:vAlign w:val="center"/>
                </w:tcPr>
                <w:p w14:paraId="776635D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形态</w:t>
                  </w:r>
                </w:p>
              </w:tc>
              <w:tc>
                <w:tcPr>
                  <w:tcW w:w="727" w:type="dxa"/>
                  <w:noWrap w:val="0"/>
                  <w:vAlign w:val="center"/>
                </w:tcPr>
                <w:p w14:paraId="575333F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w:t>
                  </w:r>
                </w:p>
                <w:p w14:paraId="403C3E9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成分</w:t>
                  </w:r>
                </w:p>
              </w:tc>
              <w:tc>
                <w:tcPr>
                  <w:tcW w:w="727" w:type="dxa"/>
                  <w:noWrap w:val="0"/>
                  <w:vAlign w:val="center"/>
                </w:tcPr>
                <w:p w14:paraId="7428A7C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有害</w:t>
                  </w:r>
                </w:p>
                <w:p w14:paraId="3C15DF0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成分</w:t>
                  </w:r>
                </w:p>
              </w:tc>
              <w:tc>
                <w:tcPr>
                  <w:tcW w:w="637" w:type="dxa"/>
                  <w:noWrap w:val="0"/>
                  <w:vAlign w:val="center"/>
                </w:tcPr>
                <w:p w14:paraId="1A71E68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产废</w:t>
                  </w:r>
                </w:p>
                <w:p w14:paraId="3493311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规律</w:t>
                  </w:r>
                </w:p>
              </w:tc>
              <w:tc>
                <w:tcPr>
                  <w:tcW w:w="1269" w:type="dxa"/>
                  <w:noWrap w:val="0"/>
                  <w:vAlign w:val="center"/>
                </w:tcPr>
                <w:p w14:paraId="5441323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污染防治措施</w:t>
                  </w:r>
                </w:p>
              </w:tc>
            </w:tr>
            <w:tr w14:paraId="1D35E2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42" w:type="dxa"/>
                  <w:noWrap w:val="0"/>
                  <w:vAlign w:val="center"/>
                </w:tcPr>
                <w:p w14:paraId="434C3F0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废包装材料</w:t>
                  </w:r>
                </w:p>
              </w:tc>
              <w:tc>
                <w:tcPr>
                  <w:tcW w:w="567" w:type="dxa"/>
                  <w:vMerge w:val="restart"/>
                  <w:noWrap w:val="0"/>
                  <w:vAlign w:val="center"/>
                </w:tcPr>
                <w:p w14:paraId="65FAB86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一般固废</w:t>
                  </w:r>
                </w:p>
              </w:tc>
              <w:tc>
                <w:tcPr>
                  <w:tcW w:w="1495" w:type="dxa"/>
                  <w:noWrap w:val="0"/>
                  <w:vAlign w:val="center"/>
                </w:tcPr>
                <w:p w14:paraId="1D4D9AE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SW17</w:t>
                  </w:r>
                </w:p>
                <w:p w14:paraId="4AD50588">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900-003-S17</w:t>
                  </w:r>
                  <w:r>
                    <w:rPr>
                      <w:rFonts w:hint="default" w:ascii="Times New Roman" w:hAnsi="Times New Roman" w:eastAsia="宋体" w:cs="Times New Roman"/>
                      <w:color w:val="auto"/>
                      <w:sz w:val="21"/>
                      <w:szCs w:val="21"/>
                      <w:lang w:eastAsia="zh-CN"/>
                    </w:rPr>
                    <w:t>）</w:t>
                  </w:r>
                </w:p>
              </w:tc>
              <w:tc>
                <w:tcPr>
                  <w:tcW w:w="398" w:type="dxa"/>
                  <w:noWrap w:val="0"/>
                  <w:vAlign w:val="center"/>
                </w:tcPr>
                <w:p w14:paraId="70FAB727">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88" w:type="dxa"/>
                  <w:noWrap w:val="0"/>
                  <w:vAlign w:val="center"/>
                </w:tcPr>
                <w:p w14:paraId="7FC01F8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rPr>
                  </w:pPr>
                  <w:r>
                    <w:rPr>
                      <w:rFonts w:hint="eastAsia" w:cs="Times New Roman"/>
                      <w:bCs w:val="0"/>
                      <w:snapToGrid w:val="0"/>
                      <w:color w:val="auto"/>
                      <w:spacing w:val="-6"/>
                      <w:kern w:val="21"/>
                      <w:sz w:val="21"/>
                      <w:szCs w:val="21"/>
                      <w:lang w:val="en-US" w:eastAsia="zh-CN" w:bidi="ar-SA"/>
                    </w:rPr>
                    <w:t>0.143</w:t>
                  </w:r>
                </w:p>
              </w:tc>
              <w:tc>
                <w:tcPr>
                  <w:tcW w:w="710" w:type="dxa"/>
                  <w:noWrap w:val="0"/>
                  <w:vAlign w:val="center"/>
                </w:tcPr>
                <w:p w14:paraId="38BA95B8">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ascii="Times New Roman" w:hAnsi="Times New Roman"/>
                      <w:color w:val="auto"/>
                      <w:sz w:val="21"/>
                      <w:szCs w:val="21"/>
                    </w:rPr>
                    <w:t>原</w:t>
                  </w:r>
                  <w:r>
                    <w:rPr>
                      <w:rFonts w:hint="default" w:ascii="Times New Roman" w:hAnsi="Times New Roman" w:eastAsia="宋体" w:cs="Times New Roman"/>
                      <w:color w:val="auto"/>
                      <w:sz w:val="21"/>
                      <w:szCs w:val="21"/>
                      <w:lang w:val="en-US" w:eastAsia="zh-CN"/>
                    </w:rPr>
                    <w:t>料</w:t>
                  </w:r>
                </w:p>
                <w:p w14:paraId="394C714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拆包</w:t>
                  </w:r>
                </w:p>
              </w:tc>
              <w:tc>
                <w:tcPr>
                  <w:tcW w:w="405" w:type="dxa"/>
                  <w:noWrap w:val="0"/>
                  <w:vAlign w:val="center"/>
                </w:tcPr>
                <w:p w14:paraId="544EFC27">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固态</w:t>
                  </w:r>
                </w:p>
              </w:tc>
              <w:tc>
                <w:tcPr>
                  <w:tcW w:w="727" w:type="dxa"/>
                  <w:noWrap w:val="0"/>
                  <w:vAlign w:val="center"/>
                </w:tcPr>
                <w:p w14:paraId="528C6E4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618F3DA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7" w:type="dxa"/>
                  <w:noWrap w:val="0"/>
                  <w:vAlign w:val="center"/>
                </w:tcPr>
                <w:p w14:paraId="27129C8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间断</w:t>
                  </w:r>
                </w:p>
              </w:tc>
              <w:tc>
                <w:tcPr>
                  <w:tcW w:w="1269" w:type="dxa"/>
                  <w:noWrap w:val="0"/>
                  <w:vAlign w:val="center"/>
                </w:tcPr>
                <w:p w14:paraId="5872F56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经</w:t>
                  </w:r>
                  <w:r>
                    <w:rPr>
                      <w:rFonts w:hint="eastAsia" w:ascii="Times New Roman" w:hAnsi="Times New Roman" w:eastAsia="宋体" w:cs="Times New Roman"/>
                      <w:color w:val="auto"/>
                      <w:sz w:val="21"/>
                      <w:szCs w:val="21"/>
                    </w:rPr>
                    <w:t>收集后出售给回收企业综合利用</w:t>
                  </w:r>
                </w:p>
              </w:tc>
            </w:tr>
            <w:tr w14:paraId="0CC82B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526" w:hRule="atLeast"/>
                <w:jc w:val="center"/>
              </w:trPr>
              <w:tc>
                <w:tcPr>
                  <w:tcW w:w="742" w:type="dxa"/>
                  <w:noWrap w:val="0"/>
                  <w:vAlign w:val="center"/>
                </w:tcPr>
                <w:p w14:paraId="4BB21E5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边角料、</w:t>
                  </w:r>
                  <w:r>
                    <w:rPr>
                      <w:rFonts w:hint="default" w:ascii="Times New Roman" w:hAnsi="Times New Roman" w:eastAsia="宋体" w:cs="Times New Roman"/>
                      <w:color w:val="auto"/>
                      <w:sz w:val="21"/>
                      <w:szCs w:val="21"/>
                      <w:lang w:val="en-US" w:eastAsia="zh-CN"/>
                    </w:rPr>
                    <w:t>不合格品</w:t>
                  </w:r>
                </w:p>
              </w:tc>
              <w:tc>
                <w:tcPr>
                  <w:tcW w:w="567" w:type="dxa"/>
                  <w:vMerge w:val="continue"/>
                  <w:noWrap w:val="0"/>
                  <w:vAlign w:val="center"/>
                </w:tcPr>
                <w:p w14:paraId="1FEFF07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366EDCA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SW17（900-099-S17）</w:t>
                  </w:r>
                </w:p>
              </w:tc>
              <w:tc>
                <w:tcPr>
                  <w:tcW w:w="398" w:type="dxa"/>
                  <w:noWrap w:val="0"/>
                  <w:vAlign w:val="center"/>
                </w:tcPr>
                <w:p w14:paraId="5AB5E11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88" w:type="dxa"/>
                  <w:noWrap w:val="0"/>
                  <w:vAlign w:val="center"/>
                </w:tcPr>
                <w:p w14:paraId="65F2283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bCs w:val="0"/>
                      <w:snapToGrid w:val="0"/>
                      <w:color w:val="auto"/>
                      <w:spacing w:val="-6"/>
                      <w:kern w:val="21"/>
                      <w:sz w:val="21"/>
                      <w:szCs w:val="21"/>
                      <w:lang w:val="en-US" w:eastAsia="zh-CN" w:bidi="ar-SA"/>
                    </w:rPr>
                    <w:t>150</w:t>
                  </w:r>
                </w:p>
              </w:tc>
              <w:tc>
                <w:tcPr>
                  <w:tcW w:w="710" w:type="dxa"/>
                  <w:noWrap w:val="0"/>
                  <w:vAlign w:val="center"/>
                </w:tcPr>
                <w:p w14:paraId="2316C3C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生产</w:t>
                  </w:r>
                </w:p>
              </w:tc>
              <w:tc>
                <w:tcPr>
                  <w:tcW w:w="405" w:type="dxa"/>
                  <w:noWrap w:val="0"/>
                  <w:vAlign w:val="center"/>
                </w:tcPr>
                <w:p w14:paraId="6D94FB7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727" w:type="dxa"/>
                  <w:noWrap w:val="0"/>
                  <w:vAlign w:val="center"/>
                </w:tcPr>
                <w:p w14:paraId="6B18C44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4643E25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7" w:type="dxa"/>
                  <w:noWrap w:val="0"/>
                  <w:vAlign w:val="center"/>
                </w:tcPr>
                <w:p w14:paraId="07C9A0B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noWrap w:val="0"/>
                  <w:vAlign w:val="center"/>
                </w:tcPr>
                <w:p w14:paraId="580A1EC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rPr>
                    <w:t>破碎后回用至熔融工序</w:t>
                  </w:r>
                </w:p>
              </w:tc>
            </w:tr>
            <w:tr w14:paraId="17DD0B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526" w:hRule="atLeast"/>
                <w:jc w:val="center"/>
              </w:trPr>
              <w:tc>
                <w:tcPr>
                  <w:tcW w:w="742" w:type="dxa"/>
                  <w:noWrap w:val="0"/>
                  <w:vAlign w:val="center"/>
                </w:tcPr>
                <w:p w14:paraId="5F451F3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收集的粉尘</w:t>
                  </w:r>
                </w:p>
              </w:tc>
              <w:tc>
                <w:tcPr>
                  <w:tcW w:w="567" w:type="dxa"/>
                  <w:vMerge w:val="continue"/>
                  <w:noWrap w:val="0"/>
                  <w:vAlign w:val="center"/>
                </w:tcPr>
                <w:p w14:paraId="3F6865D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7B92DD1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SW17（900-</w:t>
                  </w:r>
                  <w:r>
                    <w:rPr>
                      <w:rFonts w:hint="eastAsia" w:ascii="Times New Roman" w:hAnsi="Times New Roman" w:eastAsia="宋体" w:cs="Times New Roman"/>
                      <w:color w:val="auto"/>
                      <w:sz w:val="21"/>
                      <w:szCs w:val="21"/>
                      <w:lang w:val="en-US" w:eastAsia="zh-CN"/>
                    </w:rPr>
                    <w:t>9</w:t>
                  </w:r>
                  <w:r>
                    <w:rPr>
                      <w:rFonts w:hint="default" w:ascii="Times New Roman" w:hAnsi="Times New Roman" w:eastAsia="宋体" w:cs="Times New Roman"/>
                      <w:color w:val="auto"/>
                      <w:sz w:val="21"/>
                      <w:szCs w:val="21"/>
                      <w:lang w:val="en-US" w:eastAsia="zh-CN"/>
                    </w:rPr>
                    <w:t>99-S</w:t>
                  </w:r>
                  <w:r>
                    <w:rPr>
                      <w:rFonts w:hint="eastAsia" w:ascii="Times New Roman" w:hAnsi="Times New Roman" w:eastAsia="宋体" w:cs="Times New Roman"/>
                      <w:color w:val="auto"/>
                      <w:sz w:val="21"/>
                      <w:szCs w:val="21"/>
                      <w:lang w:val="en-US" w:eastAsia="zh-CN"/>
                    </w:rPr>
                    <w:t>66</w:t>
                  </w:r>
                  <w:r>
                    <w:rPr>
                      <w:rFonts w:hint="default" w:ascii="Times New Roman" w:hAnsi="Times New Roman" w:eastAsia="宋体" w:cs="Times New Roman"/>
                      <w:color w:val="auto"/>
                      <w:sz w:val="21"/>
                      <w:szCs w:val="21"/>
                      <w:lang w:val="en-US" w:eastAsia="zh-CN"/>
                    </w:rPr>
                    <w:t>）</w:t>
                  </w:r>
                </w:p>
              </w:tc>
              <w:tc>
                <w:tcPr>
                  <w:tcW w:w="398" w:type="dxa"/>
                  <w:noWrap w:val="0"/>
                  <w:vAlign w:val="center"/>
                </w:tcPr>
                <w:p w14:paraId="787A37F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88" w:type="dxa"/>
                  <w:noWrap w:val="0"/>
                  <w:vAlign w:val="center"/>
                </w:tcPr>
                <w:p w14:paraId="32B12B1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bCs w:val="0"/>
                      <w:snapToGrid w:val="0"/>
                      <w:color w:val="auto"/>
                      <w:spacing w:val="-6"/>
                      <w:kern w:val="21"/>
                      <w:sz w:val="21"/>
                      <w:szCs w:val="21"/>
                      <w:lang w:val="en-US" w:eastAsia="zh-CN" w:bidi="ar-SA"/>
                    </w:rPr>
                    <w:t>1.45</w:t>
                  </w:r>
                </w:p>
              </w:tc>
              <w:tc>
                <w:tcPr>
                  <w:tcW w:w="710" w:type="dxa"/>
                  <w:vMerge w:val="restart"/>
                  <w:noWrap w:val="0"/>
                  <w:vAlign w:val="center"/>
                </w:tcPr>
                <w:p w14:paraId="26D4186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废气</w:t>
                  </w:r>
                </w:p>
                <w:p w14:paraId="23C1C9D7">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治理</w:t>
                  </w:r>
                </w:p>
              </w:tc>
              <w:tc>
                <w:tcPr>
                  <w:tcW w:w="405" w:type="dxa"/>
                  <w:noWrap w:val="0"/>
                  <w:vAlign w:val="center"/>
                </w:tcPr>
                <w:p w14:paraId="23F1221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固态</w:t>
                  </w:r>
                </w:p>
              </w:tc>
              <w:tc>
                <w:tcPr>
                  <w:tcW w:w="727" w:type="dxa"/>
                  <w:noWrap w:val="0"/>
                  <w:vAlign w:val="center"/>
                </w:tcPr>
                <w:p w14:paraId="6311CD4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1DFA1E1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7" w:type="dxa"/>
                  <w:noWrap w:val="0"/>
                  <w:vAlign w:val="center"/>
                </w:tcPr>
                <w:p w14:paraId="2BA343A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noWrap w:val="0"/>
                  <w:vAlign w:val="center"/>
                </w:tcPr>
                <w:p w14:paraId="097A71B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经收集后出售给回收企业综合利用</w:t>
                  </w:r>
                </w:p>
              </w:tc>
            </w:tr>
            <w:tr w14:paraId="0AA7B9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526" w:hRule="atLeast"/>
                <w:jc w:val="center"/>
              </w:trPr>
              <w:tc>
                <w:tcPr>
                  <w:tcW w:w="742" w:type="dxa"/>
                  <w:noWrap w:val="0"/>
                  <w:vAlign w:val="center"/>
                </w:tcPr>
                <w:p w14:paraId="17D52EE9">
                  <w:pPr>
                    <w:pStyle w:val="20"/>
                    <w:widowControl/>
                    <w:tabs>
                      <w:tab w:val="left" w:pos="0"/>
                    </w:tabs>
                    <w:spacing w:before="0" w:beforeAutospacing="0" w:after="0" w:afterAutospacing="0"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olor w:val="auto"/>
                      <w:sz w:val="21"/>
                      <w:szCs w:val="21"/>
                      <w:lang w:val="en-US" w:eastAsia="zh-CN"/>
                    </w:rPr>
                    <w:t>废滤袋</w:t>
                  </w:r>
                </w:p>
              </w:tc>
              <w:tc>
                <w:tcPr>
                  <w:tcW w:w="567" w:type="dxa"/>
                  <w:vMerge w:val="continue"/>
                  <w:noWrap w:val="0"/>
                  <w:vAlign w:val="center"/>
                </w:tcPr>
                <w:p w14:paraId="6E7AD94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475A143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SW17（900-099-S17）</w:t>
                  </w:r>
                </w:p>
              </w:tc>
              <w:tc>
                <w:tcPr>
                  <w:tcW w:w="398" w:type="dxa"/>
                  <w:noWrap w:val="0"/>
                  <w:vAlign w:val="center"/>
                </w:tcPr>
                <w:p w14:paraId="58B729F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88" w:type="dxa"/>
                  <w:noWrap w:val="0"/>
                  <w:vAlign w:val="center"/>
                </w:tcPr>
                <w:p w14:paraId="40D2E7BE">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color w:val="auto"/>
                      <w:sz w:val="21"/>
                      <w:szCs w:val="21"/>
                      <w:lang w:val="en-US" w:eastAsia="zh-CN"/>
                    </w:rPr>
                  </w:pPr>
                  <w:r>
                    <w:rPr>
                      <w:rFonts w:hint="default"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.0045</w:t>
                  </w:r>
                </w:p>
              </w:tc>
              <w:tc>
                <w:tcPr>
                  <w:tcW w:w="710" w:type="dxa"/>
                  <w:vMerge w:val="continue"/>
                  <w:noWrap w:val="0"/>
                  <w:vAlign w:val="center"/>
                </w:tcPr>
                <w:p w14:paraId="3365EEA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405" w:type="dxa"/>
                  <w:noWrap w:val="0"/>
                  <w:vAlign w:val="center"/>
                </w:tcPr>
                <w:p w14:paraId="4830B7D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727" w:type="dxa"/>
                  <w:noWrap w:val="0"/>
                  <w:vAlign w:val="center"/>
                </w:tcPr>
                <w:p w14:paraId="7179AA4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727" w:type="dxa"/>
                  <w:noWrap w:val="0"/>
                  <w:vAlign w:val="center"/>
                </w:tcPr>
                <w:p w14:paraId="1857285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637" w:type="dxa"/>
                  <w:noWrap w:val="0"/>
                  <w:vAlign w:val="center"/>
                </w:tcPr>
                <w:p w14:paraId="44F412F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noWrap w:val="0"/>
                  <w:vAlign w:val="center"/>
                </w:tcPr>
                <w:p w14:paraId="6037A4F1">
                  <w:pPr>
                    <w:pStyle w:val="20"/>
                    <w:widowControl w:val="0"/>
                    <w:tabs>
                      <w:tab w:val="left" w:pos="0"/>
                    </w:tabs>
                    <w:spacing w:before="0" w:beforeAutospacing="0" w:after="0" w:afterAutospacing="0" w:line="240" w:lineRule="auto"/>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经收集后出售给回收企业综合利用</w:t>
                  </w:r>
                </w:p>
              </w:tc>
            </w:tr>
            <w:tr w14:paraId="6A5B1C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71" w:hRule="atLeast"/>
                <w:jc w:val="center"/>
              </w:trPr>
              <w:tc>
                <w:tcPr>
                  <w:tcW w:w="742" w:type="dxa"/>
                  <w:noWrap w:val="0"/>
                  <w:vAlign w:val="center"/>
                </w:tcPr>
                <w:p w14:paraId="0BA29B2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废活性炭</w:t>
                  </w:r>
                </w:p>
              </w:tc>
              <w:tc>
                <w:tcPr>
                  <w:tcW w:w="567" w:type="dxa"/>
                  <w:vMerge w:val="restart"/>
                  <w:noWrap w:val="0"/>
                  <w:vAlign w:val="center"/>
                </w:tcPr>
                <w:p w14:paraId="14E72A2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危险废物</w:t>
                  </w:r>
                </w:p>
              </w:tc>
              <w:tc>
                <w:tcPr>
                  <w:tcW w:w="1495" w:type="dxa"/>
                  <w:noWrap w:val="0"/>
                  <w:vAlign w:val="center"/>
                </w:tcPr>
                <w:p w14:paraId="1CB2C7E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HW49</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900-039-49</w:t>
                  </w:r>
                  <w:r>
                    <w:rPr>
                      <w:rFonts w:hint="default" w:ascii="Times New Roman" w:hAnsi="Times New Roman" w:eastAsia="宋体" w:cs="Times New Roman"/>
                      <w:color w:val="auto"/>
                      <w:sz w:val="21"/>
                      <w:szCs w:val="21"/>
                      <w:lang w:val="en-US" w:eastAsia="zh-CN"/>
                    </w:rPr>
                    <w:t>）</w:t>
                  </w:r>
                </w:p>
              </w:tc>
              <w:tc>
                <w:tcPr>
                  <w:tcW w:w="398" w:type="dxa"/>
                  <w:noWrap w:val="0"/>
                  <w:vAlign w:val="center"/>
                </w:tcPr>
                <w:p w14:paraId="043899C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w:t>
                  </w:r>
                </w:p>
              </w:tc>
              <w:tc>
                <w:tcPr>
                  <w:tcW w:w="588" w:type="dxa"/>
                  <w:noWrap w:val="0"/>
                  <w:vAlign w:val="center"/>
                </w:tcPr>
                <w:p w14:paraId="0614B66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bCs w:val="0"/>
                      <w:snapToGrid w:val="0"/>
                      <w:color w:val="auto"/>
                      <w:spacing w:val="-6"/>
                      <w:kern w:val="21"/>
                      <w:sz w:val="21"/>
                      <w:szCs w:val="21"/>
                      <w:lang w:val="en-US" w:eastAsia="zh-CN" w:bidi="ar-SA"/>
                    </w:rPr>
                    <w:t>4.03</w:t>
                  </w:r>
                </w:p>
              </w:tc>
              <w:tc>
                <w:tcPr>
                  <w:tcW w:w="710" w:type="dxa"/>
                  <w:noWrap w:val="0"/>
                  <w:vAlign w:val="center"/>
                </w:tcPr>
                <w:p w14:paraId="2B5E50E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废气</w:t>
                  </w:r>
                </w:p>
                <w:p w14:paraId="47FA2A6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治理</w:t>
                  </w:r>
                </w:p>
              </w:tc>
              <w:tc>
                <w:tcPr>
                  <w:tcW w:w="405" w:type="dxa"/>
                  <w:noWrap w:val="0"/>
                  <w:vAlign w:val="center"/>
                </w:tcPr>
                <w:p w14:paraId="070F62A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727" w:type="dxa"/>
                  <w:noWrap w:val="0"/>
                  <w:vAlign w:val="center"/>
                </w:tcPr>
                <w:p w14:paraId="187A2D6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2BE5C3B8">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7" w:type="dxa"/>
                  <w:noWrap w:val="0"/>
                  <w:vAlign w:val="center"/>
                </w:tcPr>
                <w:p w14:paraId="3291B34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vMerge w:val="restart"/>
                  <w:noWrap w:val="0"/>
                  <w:vAlign w:val="center"/>
                </w:tcPr>
                <w:p w14:paraId="0EE0F03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收集暂存于</w:t>
                  </w:r>
                  <w:r>
                    <w:rPr>
                      <w:rFonts w:hint="eastAsia" w:ascii="Times New Roman" w:hAnsi="Times New Roman" w:cs="Times New Roman"/>
                      <w:color w:val="auto"/>
                      <w:sz w:val="21"/>
                      <w:szCs w:val="21"/>
                      <w:lang w:eastAsia="zh-CN"/>
                    </w:rPr>
                    <w:t>危废暂存间</w:t>
                  </w:r>
                  <w:r>
                    <w:rPr>
                      <w:rFonts w:hint="default" w:ascii="Times New Roman" w:hAnsi="Times New Roman" w:eastAsia="宋体" w:cs="Times New Roman"/>
                      <w:color w:val="auto"/>
                      <w:sz w:val="21"/>
                      <w:szCs w:val="21"/>
                    </w:rPr>
                    <w:t>，定期委托有危废资质单位进行处置</w:t>
                  </w:r>
                </w:p>
              </w:tc>
            </w:tr>
            <w:tr w14:paraId="18C747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742" w:type="dxa"/>
                  <w:noWrap w:val="0"/>
                  <w:vAlign w:val="center"/>
                </w:tcPr>
                <w:p w14:paraId="686FB28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废润滑油</w:t>
                  </w:r>
                </w:p>
              </w:tc>
              <w:tc>
                <w:tcPr>
                  <w:tcW w:w="567" w:type="dxa"/>
                  <w:vMerge w:val="continue"/>
                  <w:noWrap w:val="0"/>
                  <w:vAlign w:val="center"/>
                </w:tcPr>
                <w:p w14:paraId="0EDAC75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34FB747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 xml:space="preserve"> HW08</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900-21</w:t>
                  </w:r>
                  <w:r>
                    <w:rPr>
                      <w:rFonts w:hint="eastAsia" w:ascii="Times New Roman" w:hAnsi="Times New Roman" w:cs="Times New Roman"/>
                      <w:color w:val="auto"/>
                      <w:sz w:val="21"/>
                      <w:szCs w:val="21"/>
                      <w:lang w:val="en-US" w:eastAsia="zh-CN"/>
                    </w:rPr>
                    <w:t>4</w:t>
                  </w:r>
                  <w:r>
                    <w:rPr>
                      <w:rFonts w:hint="default" w:ascii="Times New Roman" w:hAnsi="Times New Roman" w:eastAsia="宋体" w:cs="Times New Roman"/>
                      <w:color w:val="auto"/>
                      <w:sz w:val="21"/>
                      <w:szCs w:val="21"/>
                    </w:rPr>
                    <w:t>-08</w:t>
                  </w:r>
                  <w:r>
                    <w:rPr>
                      <w:rFonts w:hint="default" w:ascii="Times New Roman" w:hAnsi="Times New Roman" w:eastAsia="宋体" w:cs="Times New Roman"/>
                      <w:color w:val="auto"/>
                      <w:sz w:val="21"/>
                      <w:szCs w:val="21"/>
                      <w:lang w:val="en-US" w:eastAsia="zh-CN"/>
                    </w:rPr>
                    <w:t>）</w:t>
                  </w:r>
                </w:p>
              </w:tc>
              <w:tc>
                <w:tcPr>
                  <w:tcW w:w="398" w:type="dxa"/>
                  <w:noWrap w:val="0"/>
                  <w:vAlign w:val="center"/>
                </w:tcPr>
                <w:p w14:paraId="2091D61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T，I</w:t>
                  </w:r>
                </w:p>
              </w:tc>
              <w:tc>
                <w:tcPr>
                  <w:tcW w:w="588" w:type="dxa"/>
                  <w:noWrap w:val="0"/>
                  <w:vAlign w:val="center"/>
                </w:tcPr>
                <w:p w14:paraId="52E7986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bCs w:val="0"/>
                      <w:snapToGrid w:val="0"/>
                      <w:color w:val="auto"/>
                      <w:spacing w:val="-6"/>
                      <w:kern w:val="21"/>
                      <w:sz w:val="21"/>
                      <w:szCs w:val="21"/>
                      <w:lang w:val="en-US" w:eastAsia="zh-CN" w:bidi="ar-SA"/>
                    </w:rPr>
                    <w:t>0.07</w:t>
                  </w:r>
                </w:p>
              </w:tc>
              <w:tc>
                <w:tcPr>
                  <w:tcW w:w="710" w:type="dxa"/>
                  <w:noWrap w:val="0"/>
                  <w:vAlign w:val="center"/>
                </w:tcPr>
                <w:p w14:paraId="5BA9804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设备</w:t>
                  </w:r>
                </w:p>
                <w:p w14:paraId="0361DCC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维护</w:t>
                  </w:r>
                </w:p>
              </w:tc>
              <w:tc>
                <w:tcPr>
                  <w:tcW w:w="405" w:type="dxa"/>
                  <w:noWrap w:val="0"/>
                  <w:vAlign w:val="center"/>
                </w:tcPr>
                <w:p w14:paraId="02C7798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液态</w:t>
                  </w:r>
                </w:p>
              </w:tc>
              <w:tc>
                <w:tcPr>
                  <w:tcW w:w="727" w:type="dxa"/>
                  <w:noWrap w:val="0"/>
                  <w:vAlign w:val="center"/>
                </w:tcPr>
                <w:p w14:paraId="5B876CF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含矿物油</w:t>
                  </w:r>
                </w:p>
              </w:tc>
              <w:tc>
                <w:tcPr>
                  <w:tcW w:w="727" w:type="dxa"/>
                  <w:noWrap w:val="0"/>
                  <w:vAlign w:val="center"/>
                </w:tcPr>
                <w:p w14:paraId="1764033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含矿物油</w:t>
                  </w:r>
                </w:p>
              </w:tc>
              <w:tc>
                <w:tcPr>
                  <w:tcW w:w="637" w:type="dxa"/>
                  <w:noWrap w:val="0"/>
                  <w:vAlign w:val="center"/>
                </w:tcPr>
                <w:p w14:paraId="7433FF2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vMerge w:val="continue"/>
                  <w:noWrap w:val="0"/>
                  <w:vAlign w:val="center"/>
                </w:tcPr>
                <w:p w14:paraId="5CE18C4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r>
            <w:tr w14:paraId="7365CF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742" w:type="dxa"/>
                  <w:noWrap w:val="0"/>
                  <w:vAlign w:val="center"/>
                </w:tcPr>
                <w:p w14:paraId="212A131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废液压油</w:t>
                  </w:r>
                </w:p>
              </w:tc>
              <w:tc>
                <w:tcPr>
                  <w:tcW w:w="567" w:type="dxa"/>
                  <w:vMerge w:val="continue"/>
                  <w:noWrap w:val="0"/>
                  <w:vAlign w:val="center"/>
                </w:tcPr>
                <w:p w14:paraId="01ADA8C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4E37D538">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xml:space="preserve"> HW08</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900-21</w:t>
                  </w:r>
                  <w:r>
                    <w:rPr>
                      <w:rFonts w:hint="default" w:ascii="Times New Roman" w:hAnsi="Times New Roman" w:eastAsia="宋体" w:cs="Times New Roman"/>
                      <w:color w:val="auto"/>
                      <w:sz w:val="21"/>
                      <w:szCs w:val="21"/>
                      <w:lang w:val="en-US" w:eastAsia="zh-CN"/>
                    </w:rPr>
                    <w:t>8</w:t>
                  </w:r>
                  <w:r>
                    <w:rPr>
                      <w:rFonts w:hint="default" w:ascii="Times New Roman" w:hAnsi="Times New Roman" w:eastAsia="宋体" w:cs="Times New Roman"/>
                      <w:color w:val="auto"/>
                      <w:sz w:val="21"/>
                      <w:szCs w:val="21"/>
                    </w:rPr>
                    <w:t>-08</w:t>
                  </w:r>
                  <w:r>
                    <w:rPr>
                      <w:rFonts w:hint="default" w:ascii="Times New Roman" w:hAnsi="Times New Roman" w:eastAsia="宋体" w:cs="Times New Roman"/>
                      <w:color w:val="auto"/>
                      <w:sz w:val="21"/>
                      <w:szCs w:val="21"/>
                      <w:lang w:val="en-US" w:eastAsia="zh-CN"/>
                    </w:rPr>
                    <w:t>）</w:t>
                  </w:r>
                </w:p>
              </w:tc>
              <w:tc>
                <w:tcPr>
                  <w:tcW w:w="398" w:type="dxa"/>
                  <w:noWrap w:val="0"/>
                  <w:vAlign w:val="center"/>
                </w:tcPr>
                <w:p w14:paraId="751793C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T，I</w:t>
                  </w:r>
                </w:p>
              </w:tc>
              <w:tc>
                <w:tcPr>
                  <w:tcW w:w="588" w:type="dxa"/>
                  <w:noWrap w:val="0"/>
                  <w:vAlign w:val="center"/>
                </w:tcPr>
                <w:p w14:paraId="10F02300">
                  <w:pPr>
                    <w:keepNext w:val="0"/>
                    <w:keepLines w:val="0"/>
                    <w:pageBreakBefore w:val="0"/>
                    <w:widowControl w:val="0"/>
                    <w:kinsoku/>
                    <w:wordWrap/>
                    <w:overflowPunct/>
                    <w:topLinePunct w:val="0"/>
                    <w:autoSpaceDE/>
                    <w:autoSpaceDN/>
                    <w:bidi w:val="0"/>
                    <w:spacing w:line="240" w:lineRule="auto"/>
                    <w:jc w:val="center"/>
                    <w:textAlignment w:val="auto"/>
                    <w:rPr>
                      <w:rFonts w:hint="eastAsia"/>
                      <w:color w:val="auto"/>
                      <w:lang w:val="en-US" w:eastAsia="zh-CN"/>
                    </w:rPr>
                  </w:pPr>
                  <w:r>
                    <w:rPr>
                      <w:rFonts w:hint="eastAsia" w:cs="Times New Roman"/>
                      <w:bCs w:val="0"/>
                      <w:snapToGrid w:val="0"/>
                      <w:color w:val="auto"/>
                      <w:spacing w:val="-6"/>
                      <w:kern w:val="21"/>
                      <w:sz w:val="21"/>
                      <w:szCs w:val="21"/>
                      <w:lang w:val="en-US" w:eastAsia="zh-CN" w:bidi="ar-SA"/>
                    </w:rPr>
                    <w:t>0.07</w:t>
                  </w:r>
                </w:p>
              </w:tc>
              <w:tc>
                <w:tcPr>
                  <w:tcW w:w="710" w:type="dxa"/>
                  <w:noWrap w:val="0"/>
                  <w:vAlign w:val="center"/>
                </w:tcPr>
                <w:p w14:paraId="6EE01398">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设备</w:t>
                  </w:r>
                </w:p>
                <w:p w14:paraId="7AE5644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维护</w:t>
                  </w:r>
                </w:p>
              </w:tc>
              <w:tc>
                <w:tcPr>
                  <w:tcW w:w="405" w:type="dxa"/>
                  <w:noWrap w:val="0"/>
                  <w:vAlign w:val="center"/>
                </w:tcPr>
                <w:p w14:paraId="6B00A10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液态</w:t>
                  </w:r>
                </w:p>
              </w:tc>
              <w:tc>
                <w:tcPr>
                  <w:tcW w:w="727" w:type="dxa"/>
                  <w:noWrap w:val="0"/>
                  <w:vAlign w:val="center"/>
                </w:tcPr>
                <w:p w14:paraId="71AD4B3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含矿物油</w:t>
                  </w:r>
                </w:p>
              </w:tc>
              <w:tc>
                <w:tcPr>
                  <w:tcW w:w="727" w:type="dxa"/>
                  <w:noWrap w:val="0"/>
                  <w:vAlign w:val="center"/>
                </w:tcPr>
                <w:p w14:paraId="1ECC00F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含矿物油</w:t>
                  </w:r>
                </w:p>
              </w:tc>
              <w:tc>
                <w:tcPr>
                  <w:tcW w:w="637" w:type="dxa"/>
                  <w:noWrap w:val="0"/>
                  <w:vAlign w:val="center"/>
                </w:tcPr>
                <w:p w14:paraId="7A70792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vMerge w:val="continue"/>
                  <w:noWrap w:val="0"/>
                  <w:vAlign w:val="center"/>
                </w:tcPr>
                <w:p w14:paraId="2D31DCE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r>
            <w:tr w14:paraId="4AD64E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742" w:type="dxa"/>
                  <w:noWrap w:val="0"/>
                  <w:vAlign w:val="center"/>
                </w:tcPr>
                <w:p w14:paraId="7A55723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pacing w:val="0"/>
                      <w:sz w:val="21"/>
                      <w:szCs w:val="21"/>
                      <w:lang w:eastAsia="zh-CN"/>
                    </w:rPr>
                    <w:t>废润滑油桶及</w:t>
                  </w:r>
                  <w:r>
                    <w:rPr>
                      <w:rFonts w:hint="default" w:ascii="Times New Roman" w:hAnsi="Times New Roman" w:eastAsia="宋体" w:cs="Times New Roman"/>
                      <w:color w:val="auto"/>
                      <w:spacing w:val="0"/>
                      <w:sz w:val="21"/>
                      <w:szCs w:val="21"/>
                      <w:lang w:eastAsia="zh-CN"/>
                    </w:rPr>
                    <w:t>废液压油桶</w:t>
                  </w:r>
                </w:p>
              </w:tc>
              <w:tc>
                <w:tcPr>
                  <w:tcW w:w="567" w:type="dxa"/>
                  <w:vMerge w:val="continue"/>
                  <w:noWrap w:val="0"/>
                  <w:vAlign w:val="center"/>
                </w:tcPr>
                <w:p w14:paraId="21CF365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10252C8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HW</w:t>
                  </w:r>
                  <w:r>
                    <w:rPr>
                      <w:rFonts w:hint="default" w:ascii="Times New Roman" w:hAnsi="Times New Roman" w:eastAsia="宋体" w:cs="Times New Roman"/>
                      <w:color w:val="auto"/>
                      <w:spacing w:val="0"/>
                      <w:sz w:val="21"/>
                      <w:szCs w:val="21"/>
                      <w:lang w:val="en-US" w:eastAsia="zh-CN"/>
                    </w:rPr>
                    <w:t>49</w:t>
                  </w:r>
                </w:p>
                <w:p w14:paraId="2AB5F97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r>
                    <w:rPr>
                      <w:rFonts w:hint="eastAsia" w:ascii="Times New Roman" w:hAnsi="Times New Roman" w:eastAsia="宋体" w:cs="Times New Roman"/>
                      <w:color w:val="auto"/>
                      <w:spacing w:val="0"/>
                      <w:sz w:val="21"/>
                      <w:szCs w:val="21"/>
                      <w:lang w:val="en-US" w:eastAsia="zh-CN"/>
                    </w:rPr>
                    <w:t>900-249-08</w:t>
                  </w:r>
                  <w:r>
                    <w:rPr>
                      <w:rFonts w:hint="default" w:ascii="Times New Roman" w:hAnsi="Times New Roman" w:eastAsia="宋体" w:cs="Times New Roman"/>
                      <w:color w:val="auto"/>
                      <w:spacing w:val="0"/>
                      <w:sz w:val="21"/>
                      <w:szCs w:val="21"/>
                      <w:lang w:val="en-US" w:eastAsia="zh-CN"/>
                    </w:rPr>
                    <w:t>）</w:t>
                  </w:r>
                </w:p>
              </w:tc>
              <w:tc>
                <w:tcPr>
                  <w:tcW w:w="398" w:type="dxa"/>
                  <w:noWrap w:val="0"/>
                  <w:vAlign w:val="center"/>
                </w:tcPr>
                <w:p w14:paraId="1C7068E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T/In</w:t>
                  </w:r>
                </w:p>
              </w:tc>
              <w:tc>
                <w:tcPr>
                  <w:tcW w:w="588" w:type="dxa"/>
                  <w:noWrap w:val="0"/>
                  <w:vAlign w:val="center"/>
                </w:tcPr>
                <w:p w14:paraId="19A77EF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bCs w:val="0"/>
                      <w:snapToGrid w:val="0"/>
                      <w:color w:val="auto"/>
                      <w:spacing w:val="-6"/>
                      <w:kern w:val="21"/>
                      <w:sz w:val="21"/>
                      <w:szCs w:val="21"/>
                      <w:lang w:val="en-US" w:eastAsia="zh-CN" w:bidi="ar-SA"/>
                    </w:rPr>
                    <w:t>0.036</w:t>
                  </w:r>
                </w:p>
              </w:tc>
              <w:tc>
                <w:tcPr>
                  <w:tcW w:w="710" w:type="dxa"/>
                  <w:noWrap w:val="0"/>
                  <w:vAlign w:val="center"/>
                </w:tcPr>
                <w:p w14:paraId="1F295BD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设备</w:t>
                  </w:r>
                </w:p>
                <w:p w14:paraId="5A525FA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维护</w:t>
                  </w:r>
                </w:p>
              </w:tc>
              <w:tc>
                <w:tcPr>
                  <w:tcW w:w="405" w:type="dxa"/>
                  <w:noWrap w:val="0"/>
                  <w:vAlign w:val="center"/>
                </w:tcPr>
                <w:p w14:paraId="434754C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727" w:type="dxa"/>
                  <w:noWrap w:val="0"/>
                  <w:vAlign w:val="center"/>
                </w:tcPr>
                <w:p w14:paraId="4455F20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含矿物油</w:t>
                  </w:r>
                </w:p>
              </w:tc>
              <w:tc>
                <w:tcPr>
                  <w:tcW w:w="727" w:type="dxa"/>
                  <w:noWrap w:val="0"/>
                  <w:vAlign w:val="center"/>
                </w:tcPr>
                <w:p w14:paraId="1689AB3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含矿物油</w:t>
                  </w:r>
                </w:p>
              </w:tc>
              <w:tc>
                <w:tcPr>
                  <w:tcW w:w="637" w:type="dxa"/>
                  <w:shd w:val="clear" w:color="auto" w:fill="auto"/>
                  <w:noWrap w:val="0"/>
                  <w:vAlign w:val="center"/>
                </w:tcPr>
                <w:p w14:paraId="6BA96A4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间断</w:t>
                  </w:r>
                </w:p>
              </w:tc>
              <w:tc>
                <w:tcPr>
                  <w:tcW w:w="1269" w:type="dxa"/>
                  <w:vMerge w:val="continue"/>
                  <w:noWrap w:val="0"/>
                  <w:vAlign w:val="center"/>
                </w:tcPr>
                <w:p w14:paraId="6AB2CA3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r>
            <w:tr w14:paraId="252FA3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742" w:type="dxa"/>
                  <w:noWrap w:val="0"/>
                  <w:vAlign w:val="center"/>
                </w:tcPr>
                <w:p w14:paraId="15DED2C4">
                  <w:pPr>
                    <w:pStyle w:val="20"/>
                    <w:widowControl/>
                    <w:tabs>
                      <w:tab w:val="left" w:pos="0"/>
                    </w:tabs>
                    <w:spacing w:before="0" w:beforeAutospacing="0" w:after="0" w:afterAutospacing="0" w:line="240" w:lineRule="auto"/>
                    <w:jc w:val="center"/>
                    <w:rPr>
                      <w:rFonts w:hint="default" w:ascii="Times New Roman" w:hAnsi="Times New Roman" w:cs="Times New Roman"/>
                      <w:color w:val="auto"/>
                      <w:spacing w:val="0"/>
                      <w:sz w:val="21"/>
                      <w:szCs w:val="21"/>
                      <w:lang w:eastAsia="zh-CN"/>
                    </w:rPr>
                  </w:pPr>
                  <w:r>
                    <w:rPr>
                      <w:rFonts w:hint="default" w:ascii="Times New Roman" w:hAnsi="Times New Roman" w:eastAsia="宋体" w:cs="Times New Roman"/>
                      <w:color w:val="auto"/>
                      <w:spacing w:val="0"/>
                      <w:kern w:val="0"/>
                      <w:sz w:val="21"/>
                      <w:szCs w:val="21"/>
                      <w:lang w:val="en-US" w:eastAsia="zh-CN"/>
                    </w:rPr>
                    <w:t>废抹布、废劳保手套</w:t>
                  </w:r>
                </w:p>
              </w:tc>
              <w:tc>
                <w:tcPr>
                  <w:tcW w:w="567" w:type="dxa"/>
                  <w:noWrap w:val="0"/>
                  <w:vAlign w:val="center"/>
                </w:tcPr>
                <w:p w14:paraId="4C94226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495" w:type="dxa"/>
                  <w:noWrap w:val="0"/>
                  <w:vAlign w:val="center"/>
                </w:tcPr>
                <w:p w14:paraId="4975A7D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HW</w:t>
                  </w:r>
                  <w:r>
                    <w:rPr>
                      <w:rFonts w:hint="default" w:ascii="Times New Roman" w:hAnsi="Times New Roman" w:eastAsia="宋体" w:cs="Times New Roman"/>
                      <w:color w:val="auto"/>
                      <w:spacing w:val="0"/>
                      <w:sz w:val="21"/>
                      <w:szCs w:val="21"/>
                      <w:lang w:val="en-US" w:eastAsia="zh-CN"/>
                    </w:rPr>
                    <w:t>49</w:t>
                  </w:r>
                </w:p>
                <w:p w14:paraId="562A6AF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rPr>
                    <w:t>900-</w:t>
                  </w:r>
                  <w:r>
                    <w:rPr>
                      <w:rFonts w:hint="default" w:ascii="Times New Roman" w:hAnsi="Times New Roman" w:eastAsia="宋体" w:cs="Times New Roman"/>
                      <w:color w:val="auto"/>
                      <w:spacing w:val="0"/>
                      <w:sz w:val="21"/>
                      <w:szCs w:val="21"/>
                      <w:lang w:val="en-US" w:eastAsia="zh-CN"/>
                    </w:rPr>
                    <w:t>041</w:t>
                  </w:r>
                  <w:r>
                    <w:rPr>
                      <w:rFonts w:hint="default" w:ascii="Times New Roman" w:hAnsi="Times New Roman" w:eastAsia="宋体" w:cs="Times New Roman"/>
                      <w:color w:val="auto"/>
                      <w:spacing w:val="0"/>
                      <w:sz w:val="21"/>
                      <w:szCs w:val="21"/>
                    </w:rPr>
                    <w:t>-</w:t>
                  </w:r>
                  <w:r>
                    <w:rPr>
                      <w:rFonts w:hint="default" w:ascii="Times New Roman" w:hAnsi="Times New Roman" w:eastAsia="宋体" w:cs="Times New Roman"/>
                      <w:color w:val="auto"/>
                      <w:spacing w:val="0"/>
                      <w:sz w:val="21"/>
                      <w:szCs w:val="21"/>
                      <w:lang w:val="en-US" w:eastAsia="zh-CN"/>
                    </w:rPr>
                    <w:t>49）</w:t>
                  </w:r>
                </w:p>
              </w:tc>
              <w:tc>
                <w:tcPr>
                  <w:tcW w:w="398" w:type="dxa"/>
                  <w:noWrap w:val="0"/>
                  <w:vAlign w:val="center"/>
                </w:tcPr>
                <w:p w14:paraId="08F5D7E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T/In</w:t>
                  </w:r>
                </w:p>
              </w:tc>
              <w:tc>
                <w:tcPr>
                  <w:tcW w:w="588" w:type="dxa"/>
                  <w:noWrap w:val="0"/>
                  <w:vAlign w:val="center"/>
                </w:tcPr>
                <w:p w14:paraId="154B04E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bCs w:val="0"/>
                      <w:snapToGrid w:val="0"/>
                      <w:color w:val="auto"/>
                      <w:spacing w:val="-6"/>
                      <w:kern w:val="21"/>
                      <w:sz w:val="21"/>
                      <w:szCs w:val="21"/>
                      <w:lang w:val="en-US" w:eastAsia="zh-CN" w:bidi="ar-SA"/>
                    </w:rPr>
                    <w:t>0.07</w:t>
                  </w:r>
                </w:p>
              </w:tc>
              <w:tc>
                <w:tcPr>
                  <w:tcW w:w="710" w:type="dxa"/>
                  <w:noWrap w:val="0"/>
                  <w:vAlign w:val="center"/>
                </w:tcPr>
                <w:p w14:paraId="000ED33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设备</w:t>
                  </w:r>
                </w:p>
                <w:p w14:paraId="557D6F6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维护</w:t>
                  </w:r>
                </w:p>
              </w:tc>
              <w:tc>
                <w:tcPr>
                  <w:tcW w:w="405" w:type="dxa"/>
                  <w:noWrap w:val="0"/>
                  <w:vAlign w:val="center"/>
                </w:tcPr>
                <w:p w14:paraId="31AD082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727" w:type="dxa"/>
                  <w:noWrap w:val="0"/>
                  <w:vAlign w:val="center"/>
                </w:tcPr>
                <w:p w14:paraId="61FC26C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含矿物油</w:t>
                  </w:r>
                </w:p>
              </w:tc>
              <w:tc>
                <w:tcPr>
                  <w:tcW w:w="727" w:type="dxa"/>
                  <w:noWrap w:val="0"/>
                  <w:vAlign w:val="center"/>
                </w:tcPr>
                <w:p w14:paraId="4F77AD2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含矿物油</w:t>
                  </w:r>
                </w:p>
              </w:tc>
              <w:tc>
                <w:tcPr>
                  <w:tcW w:w="637" w:type="dxa"/>
                  <w:shd w:val="clear" w:color="auto" w:fill="auto"/>
                  <w:noWrap w:val="0"/>
                  <w:vAlign w:val="center"/>
                </w:tcPr>
                <w:p w14:paraId="010DF53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间断</w:t>
                  </w:r>
                </w:p>
              </w:tc>
              <w:tc>
                <w:tcPr>
                  <w:tcW w:w="1269" w:type="dxa"/>
                  <w:vMerge w:val="restart"/>
                  <w:noWrap w:val="0"/>
                  <w:vAlign w:val="center"/>
                </w:tcPr>
                <w:p w14:paraId="24ABB08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收集后交由环卫部门处理</w:t>
                  </w:r>
                </w:p>
              </w:tc>
            </w:tr>
            <w:tr w14:paraId="3DC0CD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42" w:type="dxa"/>
                  <w:noWrap w:val="0"/>
                  <w:vAlign w:val="center"/>
                </w:tcPr>
                <w:p w14:paraId="4433CBD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w:t>
                  </w:r>
                </w:p>
                <w:p w14:paraId="75F65C2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垃圾</w:t>
                  </w:r>
                </w:p>
              </w:tc>
              <w:tc>
                <w:tcPr>
                  <w:tcW w:w="567" w:type="dxa"/>
                  <w:noWrap w:val="0"/>
                  <w:vAlign w:val="center"/>
                </w:tcPr>
                <w:p w14:paraId="799B079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生活垃圾</w:t>
                  </w:r>
                </w:p>
              </w:tc>
              <w:tc>
                <w:tcPr>
                  <w:tcW w:w="1495" w:type="dxa"/>
                  <w:noWrap w:val="0"/>
                  <w:vAlign w:val="center"/>
                </w:tcPr>
                <w:p w14:paraId="2035C86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SW61（900-002-S61）</w:t>
                  </w:r>
                </w:p>
              </w:tc>
              <w:tc>
                <w:tcPr>
                  <w:tcW w:w="398" w:type="dxa"/>
                  <w:noWrap w:val="0"/>
                  <w:vAlign w:val="center"/>
                </w:tcPr>
                <w:p w14:paraId="2DC0DC3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w:t>
                  </w:r>
                </w:p>
              </w:tc>
              <w:tc>
                <w:tcPr>
                  <w:tcW w:w="588" w:type="dxa"/>
                  <w:noWrap w:val="0"/>
                  <w:vAlign w:val="center"/>
                </w:tcPr>
                <w:p w14:paraId="1548A9C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bCs w:val="0"/>
                      <w:snapToGrid w:val="0"/>
                      <w:color w:val="auto"/>
                      <w:spacing w:val="-6"/>
                      <w:kern w:val="21"/>
                      <w:sz w:val="21"/>
                      <w:szCs w:val="21"/>
                      <w:lang w:val="en-US" w:eastAsia="zh-CN" w:bidi="ar-SA"/>
                    </w:rPr>
                    <w:t>3.3</w:t>
                  </w:r>
                </w:p>
              </w:tc>
              <w:tc>
                <w:tcPr>
                  <w:tcW w:w="710" w:type="dxa"/>
                  <w:noWrap w:val="0"/>
                  <w:vAlign w:val="center"/>
                </w:tcPr>
                <w:p w14:paraId="662113FB">
                  <w:pPr>
                    <w:pStyle w:val="20"/>
                    <w:widowControl w:val="0"/>
                    <w:tabs>
                      <w:tab w:val="left" w:pos="0"/>
                    </w:tabs>
                    <w:spacing w:before="0" w:beforeAutospacing="0" w:after="0" w:afterAutospacing="0" w:line="240" w:lineRule="auto"/>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日常</w:t>
                  </w:r>
                </w:p>
                <w:p w14:paraId="520848E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eastAsia" w:ascii="Times New Roman" w:hAnsi="Times New Roman" w:cs="Times New Roman"/>
                      <w:color w:val="auto"/>
                      <w:sz w:val="21"/>
                      <w:szCs w:val="21"/>
                      <w:lang w:val="en-US" w:eastAsia="zh-CN"/>
                    </w:rPr>
                    <w:t>生活</w:t>
                  </w:r>
                </w:p>
              </w:tc>
              <w:tc>
                <w:tcPr>
                  <w:tcW w:w="405" w:type="dxa"/>
                  <w:noWrap w:val="0"/>
                  <w:vAlign w:val="center"/>
                </w:tcPr>
                <w:p w14:paraId="67A5FA7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2C4DF018">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2FB95E6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7" w:type="dxa"/>
                  <w:noWrap w:val="0"/>
                  <w:vAlign w:val="center"/>
                </w:tcPr>
                <w:p w14:paraId="54738AC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w:t>
                  </w:r>
                </w:p>
              </w:tc>
              <w:tc>
                <w:tcPr>
                  <w:tcW w:w="1269" w:type="dxa"/>
                  <w:vMerge w:val="continue"/>
                  <w:noWrap w:val="0"/>
                  <w:vAlign w:val="center"/>
                </w:tcPr>
                <w:p w14:paraId="12966A6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r>
          </w:tbl>
          <w:p w14:paraId="70172C81">
            <w:pPr>
              <w:pStyle w:val="109"/>
              <w:rPr>
                <w:rFonts w:hint="default" w:ascii="Times New Roman" w:hAnsi="Times New Roman" w:cs="Times New Roman"/>
                <w:color w:val="auto"/>
                <w:sz w:val="24"/>
                <w:szCs w:val="24"/>
                <w:lang w:eastAsia="zh-CN"/>
              </w:rPr>
            </w:pPr>
            <w:r>
              <w:rPr>
                <w:rFonts w:hint="default" w:ascii="Times New Roman" w:hAnsi="Times New Roman" w:eastAsia="宋体" w:cs="Times New Roman"/>
                <w:b/>
                <w:bCs/>
                <w:color w:val="auto"/>
                <w:kern w:val="0"/>
                <w:sz w:val="24"/>
                <w:szCs w:val="24"/>
                <w:lang w:val="en-US" w:eastAsia="zh-CN"/>
              </w:rPr>
              <w:t>2.10.4</w:t>
            </w:r>
            <w:r>
              <w:rPr>
                <w:rFonts w:hint="eastAsia" w:ascii="Times New Roman" w:hAnsi="Times New Roman" w:eastAsia="宋体" w:cs="Times New Roman"/>
                <w:b/>
                <w:bCs/>
                <w:color w:val="auto"/>
                <w:kern w:val="0"/>
                <w:sz w:val="24"/>
                <w:szCs w:val="24"/>
                <w:lang w:val="en-US" w:eastAsia="zh-CN"/>
              </w:rPr>
              <w:t xml:space="preserve"> 原项目</w:t>
            </w:r>
            <w:r>
              <w:rPr>
                <w:rFonts w:hint="default" w:ascii="Times New Roman" w:hAnsi="Times New Roman" w:eastAsia="宋体" w:cs="Times New Roman"/>
                <w:b/>
                <w:bCs w:val="0"/>
                <w:color w:val="000000"/>
                <w:sz w:val="24"/>
                <w:szCs w:val="24"/>
              </w:rPr>
              <w:t xml:space="preserve">污染物排放统计 </w:t>
            </w:r>
          </w:p>
          <w:p w14:paraId="5CB3349B">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sz w:val="24"/>
                <w:szCs w:val="24"/>
                <w:lang w:val="en-US" w:eastAsia="zh-CN"/>
              </w:rPr>
            </w:pPr>
            <w:r>
              <w:rPr>
                <w:rFonts w:hint="default" w:ascii="Times New Roman" w:hAnsi="Times New Roman" w:eastAsia="宋体" w:cs="Times New Roman"/>
                <w:b/>
                <w:bCs w:val="0"/>
                <w:color w:val="000000"/>
                <w:sz w:val="24"/>
                <w:szCs w:val="24"/>
              </w:rPr>
              <w:t>表</w:t>
            </w:r>
            <w:r>
              <w:rPr>
                <w:rFonts w:hint="default" w:ascii="Times New Roman" w:hAnsi="Times New Roman" w:eastAsia="宋体" w:cs="Times New Roman"/>
                <w:b/>
                <w:bCs w:val="0"/>
                <w:color w:val="000000"/>
                <w:sz w:val="24"/>
                <w:szCs w:val="24"/>
                <w:lang w:val="en-US" w:eastAsia="zh-CN"/>
              </w:rPr>
              <w:t>2</w:t>
            </w:r>
            <w:r>
              <w:rPr>
                <w:rFonts w:hint="eastAsia" w:ascii="Times New Roman" w:hAnsi="Times New Roman" w:eastAsia="宋体" w:cs="Times New Roman"/>
                <w:b/>
                <w:bCs w:val="0"/>
                <w:color w:val="000000"/>
                <w:sz w:val="24"/>
                <w:szCs w:val="24"/>
                <w:lang w:val="en-US" w:eastAsia="zh-CN"/>
              </w:rPr>
              <w:t>.</w:t>
            </w:r>
            <w:r>
              <w:rPr>
                <w:rFonts w:hint="default" w:ascii="Times New Roman" w:hAnsi="Times New Roman" w:eastAsia="宋体" w:cs="Times New Roman"/>
                <w:b/>
                <w:bCs w:val="0"/>
                <w:color w:val="000000"/>
                <w:sz w:val="24"/>
                <w:szCs w:val="24"/>
                <w:lang w:val="en-US" w:eastAsia="zh-CN"/>
              </w:rPr>
              <w:t>10</w:t>
            </w:r>
            <w:r>
              <w:rPr>
                <w:rFonts w:hint="eastAsia" w:ascii="Times New Roman" w:hAnsi="Times New Roman" w:eastAsia="宋体" w:cs="Times New Roman"/>
                <w:b/>
                <w:bCs w:val="0"/>
                <w:color w:val="000000"/>
                <w:sz w:val="24"/>
                <w:szCs w:val="24"/>
                <w:lang w:val="en-US" w:eastAsia="zh-CN"/>
              </w:rPr>
              <w:t>-1</w:t>
            </w:r>
            <w:r>
              <w:rPr>
                <w:rFonts w:hint="default" w:ascii="Times New Roman" w:hAnsi="Times New Roman" w:eastAsia="宋体" w:cs="Times New Roman"/>
                <w:b/>
                <w:bCs w:val="0"/>
                <w:color w:val="000000"/>
                <w:sz w:val="24"/>
                <w:szCs w:val="24"/>
              </w:rPr>
              <w:t xml:space="preserve"> </w:t>
            </w:r>
            <w:r>
              <w:rPr>
                <w:rFonts w:hint="eastAsia" w:ascii="Times New Roman" w:hAnsi="Times New Roman" w:eastAsia="宋体" w:cs="Times New Roman"/>
                <w:b/>
                <w:bCs w:val="0"/>
                <w:color w:val="000000"/>
                <w:sz w:val="24"/>
                <w:szCs w:val="24"/>
                <w:lang w:eastAsia="zh-CN"/>
              </w:rPr>
              <w:t>原项目</w:t>
            </w:r>
            <w:r>
              <w:rPr>
                <w:rFonts w:hint="default" w:ascii="Times New Roman" w:hAnsi="Times New Roman" w:eastAsia="宋体" w:cs="Times New Roman"/>
                <w:b/>
                <w:bCs w:val="0"/>
                <w:color w:val="000000"/>
                <w:sz w:val="24"/>
                <w:szCs w:val="24"/>
              </w:rPr>
              <w:t>污染物统计一览</w:t>
            </w:r>
            <w:r>
              <w:rPr>
                <w:rFonts w:hint="default" w:ascii="Times New Roman" w:hAnsi="Times New Roman" w:eastAsia="宋体" w:cs="Times New Roman"/>
                <w:b/>
                <w:bCs w:val="0"/>
                <w:color w:val="000000"/>
                <w:sz w:val="24"/>
                <w:szCs w:val="24"/>
                <w:lang w:val="en-US" w:eastAsia="zh-CN"/>
              </w:rPr>
              <w:t>表</w:t>
            </w:r>
          </w:p>
          <w:tbl>
            <w:tblPr>
              <w:tblStyle w:val="24"/>
              <w:tblW w:w="90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1061"/>
              <w:gridCol w:w="2979"/>
              <w:gridCol w:w="2146"/>
              <w:gridCol w:w="2024"/>
            </w:tblGrid>
            <w:tr w14:paraId="23B833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73" w:type="dxa"/>
                  <w:gridSpan w:val="2"/>
                  <w:tcBorders>
                    <w:tl2br w:val="nil"/>
                    <w:tr2bl w:val="nil"/>
                  </w:tcBorders>
                  <w:noWrap w:val="0"/>
                  <w:vAlign w:val="center"/>
                </w:tcPr>
                <w:p w14:paraId="3E56BD37">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污染源</w:t>
                  </w:r>
                </w:p>
              </w:tc>
              <w:tc>
                <w:tcPr>
                  <w:tcW w:w="2979" w:type="dxa"/>
                  <w:tcBorders>
                    <w:tl2br w:val="nil"/>
                    <w:tr2bl w:val="nil"/>
                  </w:tcBorders>
                  <w:noWrap w:val="0"/>
                  <w:vAlign w:val="center"/>
                </w:tcPr>
                <w:p w14:paraId="404ECA0A">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污染物</w:t>
                  </w:r>
                </w:p>
              </w:tc>
              <w:tc>
                <w:tcPr>
                  <w:tcW w:w="2146" w:type="dxa"/>
                  <w:tcBorders>
                    <w:tl2br w:val="nil"/>
                    <w:tr2bl w:val="nil"/>
                  </w:tcBorders>
                  <w:noWrap w:val="0"/>
                  <w:vAlign w:val="center"/>
                </w:tcPr>
                <w:p w14:paraId="2C9E9BBF">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原项目</w:t>
                  </w:r>
                  <w:r>
                    <w:rPr>
                      <w:rFonts w:hint="default" w:ascii="Times New Roman" w:hAnsi="Times New Roman" w:eastAsia="宋体" w:cs="Times New Roman"/>
                      <w:color w:val="auto"/>
                      <w:sz w:val="21"/>
                      <w:szCs w:val="21"/>
                      <w:vertAlign w:val="baseline"/>
                      <w:lang w:val="en-US" w:eastAsia="zh-CN"/>
                    </w:rPr>
                    <w:t>排放量</w:t>
                  </w:r>
                </w:p>
              </w:tc>
              <w:tc>
                <w:tcPr>
                  <w:tcW w:w="2024" w:type="dxa"/>
                  <w:tcBorders>
                    <w:tl2br w:val="nil"/>
                    <w:tr2bl w:val="nil"/>
                  </w:tcBorders>
                  <w:noWrap w:val="0"/>
                  <w:vAlign w:val="center"/>
                </w:tcPr>
                <w:p w14:paraId="0BFDB11D">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备注</w:t>
                  </w:r>
                </w:p>
              </w:tc>
            </w:tr>
            <w:tr w14:paraId="100CB8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restart"/>
                  <w:tcBorders>
                    <w:tl2br w:val="nil"/>
                    <w:tr2bl w:val="nil"/>
                  </w:tcBorders>
                  <w:noWrap w:val="0"/>
                  <w:vAlign w:val="center"/>
                </w:tcPr>
                <w:p w14:paraId="7292F895">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p w14:paraId="508A1C97">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废水</w:t>
                  </w:r>
                </w:p>
              </w:tc>
              <w:tc>
                <w:tcPr>
                  <w:tcW w:w="1061" w:type="dxa"/>
                  <w:vMerge w:val="restart"/>
                  <w:tcBorders>
                    <w:tl2br w:val="nil"/>
                    <w:tr2bl w:val="nil"/>
                  </w:tcBorders>
                  <w:noWrap w:val="0"/>
                  <w:vAlign w:val="center"/>
                </w:tcPr>
                <w:p w14:paraId="33FA99C3">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p w14:paraId="05383ACB">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生活</w:t>
                  </w:r>
                </w:p>
                <w:p w14:paraId="1B1655DE">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污水</w:t>
                  </w:r>
                </w:p>
              </w:tc>
              <w:tc>
                <w:tcPr>
                  <w:tcW w:w="2979" w:type="dxa"/>
                  <w:tcBorders>
                    <w:tl2br w:val="nil"/>
                    <w:tr2bl w:val="nil"/>
                  </w:tcBorders>
                  <w:noWrap w:val="0"/>
                  <w:vAlign w:val="center"/>
                </w:tcPr>
                <w:p w14:paraId="1837B994">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废水量</w:t>
                  </w:r>
                </w:p>
              </w:tc>
              <w:tc>
                <w:tcPr>
                  <w:tcW w:w="2146" w:type="dxa"/>
                  <w:tcBorders>
                    <w:tl2br w:val="nil"/>
                    <w:tr2bl w:val="nil"/>
                  </w:tcBorders>
                  <w:noWrap w:val="0"/>
                  <w:vAlign w:val="center"/>
                </w:tcPr>
                <w:p w14:paraId="56E33858">
                  <w:pPr>
                    <w:pStyle w:val="139"/>
                    <w:keepNext/>
                    <w:keepLines/>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264</w:t>
                  </w:r>
                  <w:r>
                    <w:rPr>
                      <w:rFonts w:hint="default" w:ascii="Times New Roman" w:hAnsi="Times New Roman" w:eastAsia="宋体" w:cs="Times New Roman"/>
                      <w:bCs w:val="0"/>
                      <w:snapToGrid w:val="0"/>
                      <w:color w:val="auto"/>
                      <w:spacing w:val="-6"/>
                      <w:kern w:val="21"/>
                      <w:sz w:val="21"/>
                      <w:szCs w:val="21"/>
                      <w:lang w:val="en-US" w:eastAsia="zh-CN" w:bidi="ar-SA"/>
                    </w:rPr>
                    <w:t>/a</w:t>
                  </w:r>
                </w:p>
              </w:tc>
              <w:tc>
                <w:tcPr>
                  <w:tcW w:w="2024" w:type="dxa"/>
                  <w:vMerge w:val="restart"/>
                  <w:tcBorders>
                    <w:tl2br w:val="nil"/>
                    <w:tr2bl w:val="nil"/>
                  </w:tcBorders>
                  <w:noWrap w:val="0"/>
                  <w:vAlign w:val="center"/>
                </w:tcPr>
                <w:p w14:paraId="7DC51B65">
                  <w:pPr>
                    <w:pStyle w:val="139"/>
                    <w:keepNext/>
                    <w:keepLines/>
                    <w:pageBreakBefore w:val="0"/>
                    <w:widowControl w:val="0"/>
                    <w:kinsoku/>
                    <w:wordWrap/>
                    <w:overflowPunct/>
                    <w:topLinePunct w:val="0"/>
                    <w:autoSpaceDE/>
                    <w:autoSpaceDN/>
                    <w:bidi w:val="0"/>
                    <w:adjustRightInd w:val="0"/>
                    <w:snapToGrid w:val="0"/>
                    <w:spacing w:line="240" w:lineRule="auto"/>
                    <w:ind w:firstLine="198" w:firstLineChars="100"/>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Cs w:val="0"/>
                      <w:snapToGrid w:val="0"/>
                      <w:color w:val="auto"/>
                      <w:spacing w:val="-6"/>
                      <w:kern w:val="21"/>
                      <w:sz w:val="21"/>
                      <w:szCs w:val="21"/>
                      <w:lang w:val="en-US" w:eastAsia="zh-CN" w:bidi="ar-SA"/>
                    </w:rPr>
                    <w:t>根据检测报告核算</w:t>
                  </w:r>
                </w:p>
              </w:tc>
            </w:tr>
            <w:tr w14:paraId="52D518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continue"/>
                  <w:tcBorders>
                    <w:tl2br w:val="nil"/>
                    <w:tr2bl w:val="nil"/>
                  </w:tcBorders>
                  <w:noWrap w:val="0"/>
                  <w:vAlign w:val="center"/>
                </w:tcPr>
                <w:p w14:paraId="2C2AEDDE">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1061" w:type="dxa"/>
                  <w:vMerge w:val="continue"/>
                  <w:tcBorders>
                    <w:tl2br w:val="nil"/>
                    <w:tr2bl w:val="nil"/>
                  </w:tcBorders>
                  <w:noWrap w:val="0"/>
                  <w:vAlign w:val="center"/>
                </w:tcPr>
                <w:p w14:paraId="4C135ACF">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2979" w:type="dxa"/>
                  <w:tcBorders>
                    <w:tl2br w:val="nil"/>
                    <w:tr2bl w:val="nil"/>
                  </w:tcBorders>
                  <w:noWrap w:val="0"/>
                  <w:vAlign w:val="center"/>
                </w:tcPr>
                <w:p w14:paraId="369D6040">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rPr>
                    <w:t>COD</w:t>
                  </w:r>
                </w:p>
              </w:tc>
              <w:tc>
                <w:tcPr>
                  <w:tcW w:w="2146" w:type="dxa"/>
                  <w:tcBorders>
                    <w:tl2br w:val="nil"/>
                    <w:tr2bl w:val="nil"/>
                  </w:tcBorders>
                  <w:noWrap w:val="0"/>
                  <w:vAlign w:val="center"/>
                </w:tcPr>
                <w:p w14:paraId="2EFE331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Cs w:val="0"/>
                      <w:snapToGrid w:val="0"/>
                      <w:color w:val="auto"/>
                      <w:spacing w:val="-6"/>
                      <w:kern w:val="21"/>
                      <w:sz w:val="21"/>
                      <w:szCs w:val="21"/>
                      <w:lang w:val="en-US" w:eastAsia="zh-CN" w:bidi="ar-SA"/>
                    </w:rPr>
                    <w:t>0.</w:t>
                  </w:r>
                  <w:r>
                    <w:rPr>
                      <w:rFonts w:hint="eastAsia"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86</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2024" w:type="dxa"/>
                  <w:vMerge w:val="continue"/>
                  <w:tcBorders>
                    <w:tl2br w:val="nil"/>
                    <w:tr2bl w:val="nil"/>
                  </w:tcBorders>
                  <w:noWrap w:val="0"/>
                  <w:vAlign w:val="center"/>
                </w:tcPr>
                <w:p w14:paraId="683D92D3">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47B70E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continue"/>
                  <w:tcBorders>
                    <w:tl2br w:val="nil"/>
                    <w:tr2bl w:val="nil"/>
                  </w:tcBorders>
                  <w:noWrap w:val="0"/>
                  <w:vAlign w:val="center"/>
                </w:tcPr>
                <w:p w14:paraId="206D34F5">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1061" w:type="dxa"/>
                  <w:vMerge w:val="continue"/>
                  <w:tcBorders>
                    <w:tl2br w:val="nil"/>
                    <w:tr2bl w:val="nil"/>
                  </w:tcBorders>
                  <w:noWrap w:val="0"/>
                  <w:vAlign w:val="center"/>
                </w:tcPr>
                <w:p w14:paraId="46C1F4F1">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2979" w:type="dxa"/>
                  <w:tcBorders>
                    <w:tl2br w:val="nil"/>
                    <w:tr2bl w:val="nil"/>
                  </w:tcBorders>
                  <w:noWrap w:val="0"/>
                  <w:vAlign w:val="center"/>
                </w:tcPr>
                <w:p w14:paraId="16059486">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rPr>
                    <w:t>NH</w:t>
                  </w:r>
                  <w:r>
                    <w:rPr>
                      <w:rFonts w:hint="default" w:ascii="Times New Roman" w:hAnsi="Times New Roman" w:eastAsia="宋体" w:cs="Times New Roman"/>
                      <w:color w:val="auto"/>
                      <w:sz w:val="21"/>
                      <w:szCs w:val="21"/>
                      <w:vertAlign w:val="subscript"/>
                    </w:rPr>
                    <w:t>3</w:t>
                  </w:r>
                  <w:r>
                    <w:rPr>
                      <w:rFonts w:hint="default" w:ascii="Times New Roman" w:hAnsi="Times New Roman" w:eastAsia="宋体" w:cs="Times New Roman"/>
                      <w:color w:val="auto"/>
                      <w:sz w:val="21"/>
                      <w:szCs w:val="21"/>
                    </w:rPr>
                    <w:t>-N</w:t>
                  </w:r>
                </w:p>
              </w:tc>
              <w:tc>
                <w:tcPr>
                  <w:tcW w:w="2146" w:type="dxa"/>
                  <w:tcBorders>
                    <w:tl2br w:val="nil"/>
                    <w:tr2bl w:val="nil"/>
                  </w:tcBorders>
                  <w:noWrap w:val="0"/>
                  <w:vAlign w:val="center"/>
                </w:tcPr>
                <w:p w14:paraId="7726201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Cs w:val="0"/>
                      <w:snapToGrid w:val="0"/>
                      <w:color w:val="auto"/>
                      <w:spacing w:val="-6"/>
                      <w:kern w:val="21"/>
                      <w:sz w:val="21"/>
                      <w:szCs w:val="21"/>
                      <w:lang w:val="en-US" w:eastAsia="zh-CN" w:bidi="ar-SA"/>
                    </w:rPr>
                    <w:t>0.0</w:t>
                  </w:r>
                  <w:r>
                    <w:rPr>
                      <w:rFonts w:hint="eastAsia"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91</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2024" w:type="dxa"/>
                  <w:vMerge w:val="continue"/>
                  <w:tcBorders>
                    <w:tl2br w:val="nil"/>
                    <w:tr2bl w:val="nil"/>
                  </w:tcBorders>
                  <w:noWrap w:val="0"/>
                  <w:vAlign w:val="center"/>
                </w:tcPr>
                <w:p w14:paraId="7862FF23">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3577B2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73" w:type="dxa"/>
                  <w:gridSpan w:val="2"/>
                  <w:vMerge w:val="restart"/>
                  <w:tcBorders>
                    <w:tl2br w:val="nil"/>
                    <w:tr2bl w:val="nil"/>
                  </w:tcBorders>
                  <w:noWrap w:val="0"/>
                  <w:vAlign w:val="center"/>
                </w:tcPr>
                <w:p w14:paraId="5C7507F5">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p w14:paraId="3910EFB4">
                  <w:pPr>
                    <w:pStyle w:val="139"/>
                    <w:keepNext/>
                    <w:keepLines/>
                    <w:pageBreakBefore w:val="0"/>
                    <w:widowControl w:val="0"/>
                    <w:kinsoku/>
                    <w:wordWrap/>
                    <w:overflowPunct/>
                    <w:topLinePunct w:val="0"/>
                    <w:autoSpaceDE/>
                    <w:autoSpaceDN/>
                    <w:bidi w:val="0"/>
                    <w:adjustRightInd w:val="0"/>
                    <w:snapToGrid w:val="0"/>
                    <w:spacing w:line="240" w:lineRule="auto"/>
                    <w:ind w:firstLine="621" w:firstLineChars="296"/>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废气</w:t>
                  </w:r>
                </w:p>
              </w:tc>
              <w:tc>
                <w:tcPr>
                  <w:tcW w:w="2979" w:type="dxa"/>
                  <w:tcBorders>
                    <w:tl2br w:val="nil"/>
                    <w:tr2bl w:val="nil"/>
                  </w:tcBorders>
                  <w:noWrap w:val="0"/>
                  <w:vAlign w:val="center"/>
                </w:tcPr>
                <w:p w14:paraId="0C515F5F">
                  <w:pPr>
                    <w:pStyle w:val="139"/>
                    <w:keepNext/>
                    <w:keepLines/>
                    <w:pageBreakBefore w:val="0"/>
                    <w:widowControl w:val="0"/>
                    <w:kinsoku/>
                    <w:wordWrap/>
                    <w:overflowPunct/>
                    <w:topLinePunct w:val="0"/>
                    <w:autoSpaceDE/>
                    <w:autoSpaceDN/>
                    <w:bidi w:val="0"/>
                    <w:adjustRightInd w:val="0"/>
                    <w:snapToGrid w:val="0"/>
                    <w:spacing w:line="240" w:lineRule="auto"/>
                    <w:ind w:firstLine="411" w:firstLineChars="196"/>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非甲烷总烃</w:t>
                  </w:r>
                </w:p>
              </w:tc>
              <w:tc>
                <w:tcPr>
                  <w:tcW w:w="2146" w:type="dxa"/>
                  <w:tcBorders>
                    <w:tl2br w:val="nil"/>
                    <w:tr2bl w:val="nil"/>
                  </w:tcBorders>
                  <w:noWrap w:val="0"/>
                  <w:vAlign w:val="center"/>
                </w:tcPr>
                <w:p w14:paraId="3A40C7E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0235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2024" w:type="dxa"/>
                  <w:vMerge w:val="continue"/>
                  <w:tcBorders>
                    <w:tl2br w:val="nil"/>
                    <w:tr2bl w:val="nil"/>
                  </w:tcBorders>
                  <w:noWrap w:val="0"/>
                  <w:vAlign w:val="center"/>
                </w:tcPr>
                <w:p w14:paraId="78460C1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1765C8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73" w:type="dxa"/>
                  <w:gridSpan w:val="2"/>
                  <w:vMerge w:val="continue"/>
                  <w:tcBorders>
                    <w:tl2br w:val="nil"/>
                    <w:tr2bl w:val="nil"/>
                  </w:tcBorders>
                  <w:noWrap w:val="0"/>
                  <w:vAlign w:val="center"/>
                </w:tcPr>
                <w:p w14:paraId="104BD76D">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2979" w:type="dxa"/>
                  <w:tcBorders>
                    <w:tl2br w:val="nil"/>
                    <w:tr2bl w:val="nil"/>
                  </w:tcBorders>
                  <w:noWrap w:val="0"/>
                  <w:vAlign w:val="center"/>
                </w:tcPr>
                <w:p w14:paraId="2F7B9218">
                  <w:pPr>
                    <w:pStyle w:val="139"/>
                    <w:keepNext/>
                    <w:keepLines/>
                    <w:pageBreakBefore w:val="0"/>
                    <w:widowControl w:val="0"/>
                    <w:kinsoku/>
                    <w:wordWrap/>
                    <w:overflowPunct/>
                    <w:topLinePunct w:val="0"/>
                    <w:autoSpaceDE/>
                    <w:autoSpaceDN/>
                    <w:bidi w:val="0"/>
                    <w:adjustRightInd w:val="0"/>
                    <w:snapToGrid w:val="0"/>
                    <w:spacing w:line="240" w:lineRule="auto"/>
                    <w:ind w:firstLine="411" w:firstLineChars="196"/>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颗粒物</w:t>
                  </w:r>
                </w:p>
              </w:tc>
              <w:tc>
                <w:tcPr>
                  <w:tcW w:w="2146" w:type="dxa"/>
                  <w:tcBorders>
                    <w:tl2br w:val="nil"/>
                    <w:tr2bl w:val="nil"/>
                  </w:tcBorders>
                  <w:noWrap w:val="0"/>
                  <w:vAlign w:val="center"/>
                </w:tcPr>
                <w:p w14:paraId="14265F81">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bCs w:val="0"/>
                      <w:snapToGrid w:val="0"/>
                      <w:color w:val="auto"/>
                      <w:spacing w:val="-6"/>
                      <w:kern w:val="21"/>
                      <w:sz w:val="21"/>
                      <w:szCs w:val="21"/>
                      <w:lang w:val="en-US" w:eastAsia="zh-CN" w:bidi="ar-SA"/>
                    </w:rPr>
                    <w:t>0.6129</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2024" w:type="dxa"/>
                  <w:vMerge w:val="restart"/>
                  <w:tcBorders>
                    <w:tl2br w:val="nil"/>
                    <w:tr2bl w:val="nil"/>
                  </w:tcBorders>
                  <w:noWrap w:val="0"/>
                  <w:vAlign w:val="center"/>
                </w:tcPr>
                <w:p w14:paraId="0A85828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r>
                    <w:rPr>
                      <w:rFonts w:hint="eastAsia" w:cs="Times New Roman"/>
                      <w:color w:val="auto"/>
                      <w:sz w:val="21"/>
                      <w:szCs w:val="21"/>
                      <w:vertAlign w:val="baseline"/>
                      <w:lang w:val="en-US" w:eastAsia="zh-CN"/>
                    </w:rPr>
                    <w:t>本项目产能比原有项目扩大约1.4倍左右，则原有项目排放量按章节四的产污系数核算量除以1.4进行计算。</w:t>
                  </w:r>
                </w:p>
              </w:tc>
            </w:tr>
            <w:tr w14:paraId="7E0224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restart"/>
                  <w:tcBorders>
                    <w:tl2br w:val="nil"/>
                    <w:tr2bl w:val="nil"/>
                  </w:tcBorders>
                  <w:noWrap w:val="0"/>
                  <w:vAlign w:val="center"/>
                </w:tcPr>
                <w:p w14:paraId="1EC4A9C7">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p w14:paraId="7FED77A4">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p w14:paraId="5D2DA036">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p>
                <w:p w14:paraId="07912ECE">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固体</w:t>
                  </w:r>
                </w:p>
                <w:p w14:paraId="79385B0F">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废物</w:t>
                  </w:r>
                </w:p>
              </w:tc>
              <w:tc>
                <w:tcPr>
                  <w:tcW w:w="1061" w:type="dxa"/>
                  <w:vMerge w:val="restart"/>
                  <w:tcBorders>
                    <w:tl2br w:val="nil"/>
                    <w:tr2bl w:val="nil"/>
                  </w:tcBorders>
                  <w:noWrap w:val="0"/>
                  <w:vAlign w:val="center"/>
                </w:tcPr>
                <w:p w14:paraId="2BBD26F3">
                  <w:pPr>
                    <w:pStyle w:val="139"/>
                    <w:keepNext/>
                    <w:keepLines/>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一般固废</w:t>
                  </w:r>
                </w:p>
              </w:tc>
              <w:tc>
                <w:tcPr>
                  <w:tcW w:w="2979" w:type="dxa"/>
                  <w:tcBorders>
                    <w:tl2br w:val="nil"/>
                    <w:tr2bl w:val="nil"/>
                  </w:tcBorders>
                  <w:noWrap w:val="0"/>
                  <w:vAlign w:val="center"/>
                </w:tcPr>
                <w:p w14:paraId="215A382A">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废包装材料</w:t>
                  </w:r>
                </w:p>
              </w:tc>
              <w:tc>
                <w:tcPr>
                  <w:tcW w:w="2146" w:type="dxa"/>
                  <w:tcBorders>
                    <w:tl2br w:val="nil"/>
                    <w:tr2bl w:val="nil"/>
                  </w:tcBorders>
                  <w:noWrap w:val="0"/>
                  <w:vAlign w:val="center"/>
                </w:tcPr>
                <w:p w14:paraId="7AF55426">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0.143</w:t>
                  </w:r>
                  <w:r>
                    <w:rPr>
                      <w:rFonts w:hint="default" w:ascii="Times New Roman" w:hAnsi="Times New Roman" w:eastAsia="宋体" w:cs="Times New Roman"/>
                      <w:color w:val="auto"/>
                      <w:sz w:val="21"/>
                      <w:szCs w:val="21"/>
                      <w:lang w:val="en-US" w:eastAsia="zh-CN"/>
                    </w:rPr>
                    <w:t>t/a</w:t>
                  </w:r>
                </w:p>
              </w:tc>
              <w:tc>
                <w:tcPr>
                  <w:tcW w:w="2024" w:type="dxa"/>
                  <w:vMerge w:val="continue"/>
                  <w:tcBorders>
                    <w:tl2br w:val="nil"/>
                    <w:tr2bl w:val="nil"/>
                  </w:tcBorders>
                  <w:noWrap w:val="0"/>
                  <w:vAlign w:val="center"/>
                </w:tcPr>
                <w:p w14:paraId="4EBB7E5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3492E3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continue"/>
                  <w:tcBorders>
                    <w:tl2br w:val="nil"/>
                    <w:tr2bl w:val="nil"/>
                  </w:tcBorders>
                  <w:noWrap w:val="0"/>
                  <w:vAlign w:val="center"/>
                </w:tcPr>
                <w:p w14:paraId="32F3B690">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1061" w:type="dxa"/>
                  <w:vMerge w:val="continue"/>
                  <w:tcBorders>
                    <w:tl2br w:val="nil"/>
                    <w:tr2bl w:val="nil"/>
                  </w:tcBorders>
                  <w:noWrap w:val="0"/>
                  <w:vAlign w:val="center"/>
                </w:tcPr>
                <w:p w14:paraId="50C70992">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2979" w:type="dxa"/>
                  <w:tcBorders>
                    <w:tl2br w:val="nil"/>
                    <w:tr2bl w:val="nil"/>
                  </w:tcBorders>
                  <w:noWrap w:val="0"/>
                  <w:vAlign w:val="center"/>
                </w:tcPr>
                <w:p w14:paraId="46B7212B">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边角料、</w:t>
                  </w:r>
                  <w:r>
                    <w:rPr>
                      <w:rFonts w:hint="default" w:ascii="Times New Roman" w:hAnsi="Times New Roman" w:eastAsia="宋体" w:cs="Times New Roman"/>
                      <w:color w:val="auto"/>
                      <w:sz w:val="21"/>
                      <w:szCs w:val="21"/>
                      <w:lang w:val="en-US" w:eastAsia="zh-CN"/>
                    </w:rPr>
                    <w:t>不合格品</w:t>
                  </w:r>
                </w:p>
              </w:tc>
              <w:tc>
                <w:tcPr>
                  <w:tcW w:w="2146" w:type="dxa"/>
                  <w:tcBorders>
                    <w:tl2br w:val="nil"/>
                    <w:tr2bl w:val="nil"/>
                  </w:tcBorders>
                  <w:noWrap w:val="0"/>
                  <w:vAlign w:val="center"/>
                </w:tcPr>
                <w:p w14:paraId="3F3D162B">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150</w:t>
                  </w:r>
                  <w:r>
                    <w:rPr>
                      <w:rFonts w:hint="default" w:ascii="Times New Roman" w:hAnsi="Times New Roman" w:eastAsia="宋体" w:cs="Times New Roman"/>
                      <w:color w:val="auto"/>
                      <w:sz w:val="21"/>
                      <w:szCs w:val="21"/>
                      <w:lang w:val="en-US" w:eastAsia="zh-CN"/>
                    </w:rPr>
                    <w:t>t/a</w:t>
                  </w:r>
                </w:p>
              </w:tc>
              <w:tc>
                <w:tcPr>
                  <w:tcW w:w="2024" w:type="dxa"/>
                  <w:vMerge w:val="continue"/>
                  <w:tcBorders>
                    <w:tl2br w:val="nil"/>
                    <w:tr2bl w:val="nil"/>
                  </w:tcBorders>
                  <w:noWrap w:val="0"/>
                  <w:vAlign w:val="center"/>
                </w:tcPr>
                <w:p w14:paraId="5166BDA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513CDE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continue"/>
                  <w:tcBorders>
                    <w:tl2br w:val="nil"/>
                    <w:tr2bl w:val="nil"/>
                  </w:tcBorders>
                  <w:noWrap w:val="0"/>
                  <w:vAlign w:val="center"/>
                </w:tcPr>
                <w:p w14:paraId="06D7B797">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1061" w:type="dxa"/>
                  <w:vMerge w:val="continue"/>
                  <w:tcBorders>
                    <w:tl2br w:val="nil"/>
                    <w:tr2bl w:val="nil"/>
                  </w:tcBorders>
                  <w:noWrap w:val="0"/>
                  <w:vAlign w:val="center"/>
                </w:tcPr>
                <w:p w14:paraId="5030E454">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2979" w:type="dxa"/>
                  <w:tcBorders>
                    <w:tl2br w:val="nil"/>
                    <w:tr2bl w:val="nil"/>
                  </w:tcBorders>
                  <w:noWrap w:val="0"/>
                  <w:vAlign w:val="center"/>
                </w:tcPr>
                <w:p w14:paraId="5596BB9E">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收集的粉尘</w:t>
                  </w:r>
                </w:p>
              </w:tc>
              <w:tc>
                <w:tcPr>
                  <w:tcW w:w="2146" w:type="dxa"/>
                  <w:tcBorders>
                    <w:tl2br w:val="nil"/>
                    <w:tr2bl w:val="nil"/>
                  </w:tcBorders>
                  <w:noWrap w:val="0"/>
                  <w:vAlign w:val="center"/>
                </w:tcPr>
                <w:p w14:paraId="5649DCCD">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1.45</w:t>
                  </w:r>
                  <w:r>
                    <w:rPr>
                      <w:rFonts w:hint="default" w:ascii="Times New Roman" w:hAnsi="Times New Roman" w:eastAsia="宋体" w:cs="Times New Roman"/>
                      <w:color w:val="auto"/>
                      <w:sz w:val="21"/>
                      <w:szCs w:val="21"/>
                      <w:lang w:val="en-US" w:eastAsia="zh-CN"/>
                    </w:rPr>
                    <w:t>t/a</w:t>
                  </w:r>
                </w:p>
              </w:tc>
              <w:tc>
                <w:tcPr>
                  <w:tcW w:w="2024" w:type="dxa"/>
                  <w:vMerge w:val="continue"/>
                  <w:tcBorders>
                    <w:tl2br w:val="nil"/>
                    <w:tr2bl w:val="nil"/>
                  </w:tcBorders>
                  <w:noWrap w:val="0"/>
                  <w:vAlign w:val="center"/>
                </w:tcPr>
                <w:p w14:paraId="5C5D53E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03C014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continue"/>
                  <w:tcBorders>
                    <w:tl2br w:val="nil"/>
                    <w:tr2bl w:val="nil"/>
                  </w:tcBorders>
                  <w:noWrap w:val="0"/>
                  <w:vAlign w:val="center"/>
                </w:tcPr>
                <w:p w14:paraId="71BC4A83">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1061" w:type="dxa"/>
                  <w:vMerge w:val="continue"/>
                  <w:tcBorders>
                    <w:tl2br w:val="nil"/>
                    <w:tr2bl w:val="nil"/>
                  </w:tcBorders>
                  <w:noWrap w:val="0"/>
                  <w:vAlign w:val="center"/>
                </w:tcPr>
                <w:p w14:paraId="46DE5F93">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2979" w:type="dxa"/>
                  <w:tcBorders>
                    <w:tl2br w:val="nil"/>
                    <w:tr2bl w:val="nil"/>
                  </w:tcBorders>
                  <w:noWrap w:val="0"/>
                  <w:vAlign w:val="center"/>
                </w:tcPr>
                <w:p w14:paraId="5998F319">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废滤袋</w:t>
                  </w:r>
                </w:p>
              </w:tc>
              <w:tc>
                <w:tcPr>
                  <w:tcW w:w="2146" w:type="dxa"/>
                  <w:tcBorders>
                    <w:tl2br w:val="nil"/>
                    <w:tr2bl w:val="nil"/>
                  </w:tcBorders>
                  <w:noWrap w:val="0"/>
                  <w:vAlign w:val="center"/>
                </w:tcPr>
                <w:p w14:paraId="09BF7772">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.0045</w:t>
                  </w:r>
                  <w:r>
                    <w:rPr>
                      <w:rFonts w:hint="default" w:ascii="Times New Roman" w:hAnsi="Times New Roman" w:eastAsia="宋体" w:cs="Times New Roman"/>
                      <w:color w:val="auto"/>
                      <w:sz w:val="21"/>
                      <w:szCs w:val="21"/>
                      <w:lang w:val="en-US" w:eastAsia="zh-CN"/>
                    </w:rPr>
                    <w:t>t/a</w:t>
                  </w:r>
                </w:p>
              </w:tc>
              <w:tc>
                <w:tcPr>
                  <w:tcW w:w="2024" w:type="dxa"/>
                  <w:vMerge w:val="continue"/>
                  <w:tcBorders>
                    <w:tl2br w:val="nil"/>
                    <w:tr2bl w:val="nil"/>
                  </w:tcBorders>
                  <w:noWrap w:val="0"/>
                  <w:vAlign w:val="center"/>
                </w:tcPr>
                <w:p w14:paraId="20190FA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4B0389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continue"/>
                  <w:tcBorders>
                    <w:tl2br w:val="nil"/>
                    <w:tr2bl w:val="nil"/>
                  </w:tcBorders>
                  <w:noWrap w:val="0"/>
                  <w:vAlign w:val="center"/>
                </w:tcPr>
                <w:p w14:paraId="5E2BEE5A">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1061" w:type="dxa"/>
                  <w:vMerge w:val="restart"/>
                  <w:tcBorders>
                    <w:tl2br w:val="nil"/>
                    <w:tr2bl w:val="nil"/>
                  </w:tcBorders>
                  <w:noWrap w:val="0"/>
                  <w:vAlign w:val="center"/>
                </w:tcPr>
                <w:p w14:paraId="5C049A6B">
                  <w:pPr>
                    <w:pStyle w:val="139"/>
                    <w:keepNext/>
                    <w:keepLines/>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危险废物</w:t>
                  </w:r>
                </w:p>
              </w:tc>
              <w:tc>
                <w:tcPr>
                  <w:tcW w:w="2979" w:type="dxa"/>
                  <w:tcBorders>
                    <w:tl2br w:val="nil"/>
                    <w:tr2bl w:val="nil"/>
                  </w:tcBorders>
                  <w:noWrap w:val="0"/>
                  <w:vAlign w:val="center"/>
                </w:tcPr>
                <w:p w14:paraId="6BE351B1">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废活性炭</w:t>
                  </w:r>
                </w:p>
              </w:tc>
              <w:tc>
                <w:tcPr>
                  <w:tcW w:w="2146" w:type="dxa"/>
                  <w:tcBorders>
                    <w:tl2br w:val="nil"/>
                    <w:tr2bl w:val="nil"/>
                  </w:tcBorders>
                  <w:noWrap w:val="0"/>
                  <w:vAlign w:val="center"/>
                </w:tcPr>
                <w:p w14:paraId="053E307A">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4.03</w:t>
                  </w:r>
                  <w:r>
                    <w:rPr>
                      <w:rFonts w:hint="default" w:ascii="Times New Roman" w:hAnsi="Times New Roman" w:eastAsia="宋体" w:cs="Times New Roman"/>
                      <w:color w:val="auto"/>
                      <w:sz w:val="21"/>
                      <w:szCs w:val="21"/>
                      <w:lang w:val="en-US" w:eastAsia="zh-CN"/>
                    </w:rPr>
                    <w:t>t/a</w:t>
                  </w:r>
                </w:p>
              </w:tc>
              <w:tc>
                <w:tcPr>
                  <w:tcW w:w="2024" w:type="dxa"/>
                  <w:vMerge w:val="continue"/>
                  <w:tcBorders>
                    <w:tl2br w:val="nil"/>
                    <w:tr2bl w:val="nil"/>
                  </w:tcBorders>
                  <w:noWrap w:val="0"/>
                  <w:vAlign w:val="center"/>
                </w:tcPr>
                <w:p w14:paraId="641D2C8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5A0E72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continue"/>
                  <w:tcBorders>
                    <w:tl2br w:val="nil"/>
                    <w:tr2bl w:val="nil"/>
                  </w:tcBorders>
                  <w:noWrap w:val="0"/>
                  <w:vAlign w:val="center"/>
                </w:tcPr>
                <w:p w14:paraId="79F1B77E">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1061" w:type="dxa"/>
                  <w:vMerge w:val="continue"/>
                  <w:tcBorders>
                    <w:tl2br w:val="nil"/>
                    <w:tr2bl w:val="nil"/>
                  </w:tcBorders>
                  <w:noWrap w:val="0"/>
                  <w:vAlign w:val="center"/>
                </w:tcPr>
                <w:p w14:paraId="5C1C2F16">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2979" w:type="dxa"/>
                  <w:tcBorders>
                    <w:tl2br w:val="nil"/>
                    <w:tr2bl w:val="nil"/>
                  </w:tcBorders>
                  <w:noWrap w:val="0"/>
                  <w:vAlign w:val="center"/>
                </w:tcPr>
                <w:p w14:paraId="57F91C77">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废润滑油</w:t>
                  </w:r>
                </w:p>
              </w:tc>
              <w:tc>
                <w:tcPr>
                  <w:tcW w:w="2146" w:type="dxa"/>
                  <w:tcBorders>
                    <w:tl2br w:val="nil"/>
                    <w:tr2bl w:val="nil"/>
                  </w:tcBorders>
                  <w:noWrap w:val="0"/>
                  <w:vAlign w:val="center"/>
                </w:tcPr>
                <w:p w14:paraId="19F47950">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0.07</w:t>
                  </w:r>
                  <w:r>
                    <w:rPr>
                      <w:rFonts w:hint="default" w:ascii="Times New Roman" w:hAnsi="Times New Roman" w:eastAsia="宋体" w:cs="Times New Roman"/>
                      <w:color w:val="auto"/>
                      <w:sz w:val="21"/>
                      <w:szCs w:val="21"/>
                      <w:lang w:val="en-US" w:eastAsia="zh-CN"/>
                    </w:rPr>
                    <w:t>t/a</w:t>
                  </w:r>
                </w:p>
              </w:tc>
              <w:tc>
                <w:tcPr>
                  <w:tcW w:w="2024" w:type="dxa"/>
                  <w:vMerge w:val="continue"/>
                  <w:tcBorders>
                    <w:tl2br w:val="nil"/>
                    <w:tr2bl w:val="nil"/>
                  </w:tcBorders>
                  <w:noWrap w:val="0"/>
                  <w:vAlign w:val="center"/>
                </w:tcPr>
                <w:p w14:paraId="05FE497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020985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continue"/>
                  <w:tcBorders>
                    <w:tl2br w:val="nil"/>
                    <w:tr2bl w:val="nil"/>
                  </w:tcBorders>
                  <w:noWrap w:val="0"/>
                  <w:vAlign w:val="center"/>
                </w:tcPr>
                <w:p w14:paraId="7BF8BD6A">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1061" w:type="dxa"/>
                  <w:vMerge w:val="continue"/>
                  <w:tcBorders>
                    <w:tl2br w:val="nil"/>
                    <w:tr2bl w:val="nil"/>
                  </w:tcBorders>
                  <w:noWrap w:val="0"/>
                  <w:vAlign w:val="center"/>
                </w:tcPr>
                <w:p w14:paraId="48A1CD83">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2979" w:type="dxa"/>
                  <w:tcBorders>
                    <w:tl2br w:val="nil"/>
                    <w:tr2bl w:val="nil"/>
                  </w:tcBorders>
                  <w:noWrap w:val="0"/>
                  <w:vAlign w:val="center"/>
                </w:tcPr>
                <w:p w14:paraId="36C42681">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废液压油</w:t>
                  </w:r>
                </w:p>
              </w:tc>
              <w:tc>
                <w:tcPr>
                  <w:tcW w:w="2146" w:type="dxa"/>
                  <w:tcBorders>
                    <w:tl2br w:val="nil"/>
                    <w:tr2bl w:val="nil"/>
                  </w:tcBorders>
                  <w:noWrap w:val="0"/>
                  <w:vAlign w:val="center"/>
                </w:tcPr>
                <w:p w14:paraId="509DCB8E">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0.07</w:t>
                  </w:r>
                  <w:r>
                    <w:rPr>
                      <w:rFonts w:hint="default" w:ascii="Times New Roman" w:hAnsi="Times New Roman" w:eastAsia="宋体" w:cs="Times New Roman"/>
                      <w:color w:val="auto"/>
                      <w:sz w:val="21"/>
                      <w:szCs w:val="21"/>
                      <w:lang w:val="en-US" w:eastAsia="zh-CN"/>
                    </w:rPr>
                    <w:t>t/a</w:t>
                  </w:r>
                </w:p>
              </w:tc>
              <w:tc>
                <w:tcPr>
                  <w:tcW w:w="2024" w:type="dxa"/>
                  <w:vMerge w:val="continue"/>
                  <w:tcBorders>
                    <w:tl2br w:val="nil"/>
                    <w:tr2bl w:val="nil"/>
                  </w:tcBorders>
                  <w:noWrap w:val="0"/>
                  <w:vAlign w:val="center"/>
                </w:tcPr>
                <w:p w14:paraId="4E2D2DF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716CB6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continue"/>
                  <w:tcBorders>
                    <w:tl2br w:val="nil"/>
                    <w:tr2bl w:val="nil"/>
                  </w:tcBorders>
                  <w:noWrap w:val="0"/>
                  <w:vAlign w:val="center"/>
                </w:tcPr>
                <w:p w14:paraId="43C5875B">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1061" w:type="dxa"/>
                  <w:vMerge w:val="continue"/>
                  <w:tcBorders>
                    <w:tl2br w:val="nil"/>
                    <w:tr2bl w:val="nil"/>
                  </w:tcBorders>
                  <w:noWrap w:val="0"/>
                  <w:vAlign w:val="center"/>
                </w:tcPr>
                <w:p w14:paraId="7615FD58">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2979" w:type="dxa"/>
                  <w:tcBorders>
                    <w:tl2br w:val="nil"/>
                    <w:tr2bl w:val="nil"/>
                  </w:tcBorders>
                  <w:noWrap w:val="0"/>
                  <w:vAlign w:val="center"/>
                </w:tcPr>
                <w:p w14:paraId="7C8DD784">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废液压油桶、废润滑油桶</w:t>
                  </w:r>
                </w:p>
              </w:tc>
              <w:tc>
                <w:tcPr>
                  <w:tcW w:w="2146" w:type="dxa"/>
                  <w:tcBorders>
                    <w:tl2br w:val="nil"/>
                    <w:tr2bl w:val="nil"/>
                  </w:tcBorders>
                  <w:noWrap w:val="0"/>
                  <w:vAlign w:val="center"/>
                </w:tcPr>
                <w:p w14:paraId="0A18FAE9">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0.036</w:t>
                  </w:r>
                  <w:r>
                    <w:rPr>
                      <w:rFonts w:hint="default" w:ascii="Times New Roman" w:hAnsi="Times New Roman" w:eastAsia="宋体" w:cs="Times New Roman"/>
                      <w:color w:val="auto"/>
                      <w:sz w:val="21"/>
                      <w:szCs w:val="21"/>
                      <w:lang w:val="en-US" w:eastAsia="zh-CN"/>
                    </w:rPr>
                    <w:t>t/a</w:t>
                  </w:r>
                </w:p>
              </w:tc>
              <w:tc>
                <w:tcPr>
                  <w:tcW w:w="2024" w:type="dxa"/>
                  <w:vMerge w:val="continue"/>
                  <w:tcBorders>
                    <w:tl2br w:val="nil"/>
                    <w:tr2bl w:val="nil"/>
                  </w:tcBorders>
                  <w:noWrap w:val="0"/>
                  <w:vAlign w:val="center"/>
                </w:tcPr>
                <w:p w14:paraId="271D4EF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1114C6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continue"/>
                  <w:tcBorders>
                    <w:tl2br w:val="nil"/>
                    <w:tr2bl w:val="nil"/>
                  </w:tcBorders>
                  <w:noWrap w:val="0"/>
                  <w:vAlign w:val="center"/>
                </w:tcPr>
                <w:p w14:paraId="5327E2ED">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1061" w:type="dxa"/>
                  <w:vMerge w:val="continue"/>
                  <w:tcBorders>
                    <w:tl2br w:val="nil"/>
                    <w:tr2bl w:val="nil"/>
                  </w:tcBorders>
                  <w:noWrap w:val="0"/>
                  <w:vAlign w:val="center"/>
                </w:tcPr>
                <w:p w14:paraId="03974D9D">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2979" w:type="dxa"/>
                  <w:tcBorders>
                    <w:tl2br w:val="nil"/>
                    <w:tr2bl w:val="nil"/>
                  </w:tcBorders>
                  <w:noWrap w:val="0"/>
                  <w:vAlign w:val="center"/>
                </w:tcPr>
                <w:p w14:paraId="49169CE9">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废抹布、废劳保手套</w:t>
                  </w:r>
                </w:p>
              </w:tc>
              <w:tc>
                <w:tcPr>
                  <w:tcW w:w="2146" w:type="dxa"/>
                  <w:tcBorders>
                    <w:tl2br w:val="nil"/>
                    <w:tr2bl w:val="nil"/>
                  </w:tcBorders>
                  <w:noWrap w:val="0"/>
                  <w:vAlign w:val="center"/>
                </w:tcPr>
                <w:p w14:paraId="0A84B0A4">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0.07</w:t>
                  </w:r>
                  <w:r>
                    <w:rPr>
                      <w:rFonts w:hint="default" w:ascii="Times New Roman" w:hAnsi="Times New Roman" w:eastAsia="宋体" w:cs="Times New Roman"/>
                      <w:color w:val="auto"/>
                      <w:sz w:val="21"/>
                      <w:szCs w:val="21"/>
                      <w:lang w:val="en-US" w:eastAsia="zh-CN"/>
                    </w:rPr>
                    <w:t>t/a</w:t>
                  </w:r>
                </w:p>
              </w:tc>
              <w:tc>
                <w:tcPr>
                  <w:tcW w:w="2024" w:type="dxa"/>
                  <w:vMerge w:val="continue"/>
                  <w:tcBorders>
                    <w:tl2br w:val="nil"/>
                    <w:tr2bl w:val="nil"/>
                  </w:tcBorders>
                  <w:noWrap w:val="0"/>
                  <w:vAlign w:val="center"/>
                </w:tcPr>
                <w:p w14:paraId="38012ED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r w14:paraId="009C3A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2" w:type="dxa"/>
                  <w:vMerge w:val="continue"/>
                  <w:tcBorders>
                    <w:tl2br w:val="nil"/>
                    <w:tr2bl w:val="nil"/>
                  </w:tcBorders>
                  <w:noWrap w:val="0"/>
                  <w:vAlign w:val="center"/>
                </w:tcPr>
                <w:p w14:paraId="3790B7EB">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p>
              </w:tc>
              <w:tc>
                <w:tcPr>
                  <w:tcW w:w="4040" w:type="dxa"/>
                  <w:gridSpan w:val="2"/>
                  <w:tcBorders>
                    <w:tl2br w:val="nil"/>
                    <w:tr2bl w:val="nil"/>
                  </w:tcBorders>
                  <w:noWrap w:val="0"/>
                  <w:vAlign w:val="center"/>
                </w:tcPr>
                <w:p w14:paraId="1073B166">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生活垃圾</w:t>
                  </w:r>
                </w:p>
              </w:tc>
              <w:tc>
                <w:tcPr>
                  <w:tcW w:w="2146" w:type="dxa"/>
                  <w:tcBorders>
                    <w:tl2br w:val="nil"/>
                    <w:tr2bl w:val="nil"/>
                  </w:tcBorders>
                  <w:noWrap w:val="0"/>
                  <w:vAlign w:val="center"/>
                </w:tcPr>
                <w:p w14:paraId="39D5320F">
                  <w:pPr>
                    <w:pStyle w:val="139"/>
                    <w:keepNext/>
                    <w:keepLines/>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3.3</w:t>
                  </w:r>
                  <w:r>
                    <w:rPr>
                      <w:rFonts w:hint="default" w:ascii="Times New Roman" w:hAnsi="Times New Roman" w:eastAsia="宋体" w:cs="Times New Roman"/>
                      <w:color w:val="auto"/>
                      <w:sz w:val="21"/>
                      <w:szCs w:val="21"/>
                      <w:lang w:val="en-US" w:eastAsia="zh-CN"/>
                    </w:rPr>
                    <w:t>t/a</w:t>
                  </w:r>
                </w:p>
              </w:tc>
              <w:tc>
                <w:tcPr>
                  <w:tcW w:w="2024" w:type="dxa"/>
                  <w:vMerge w:val="continue"/>
                  <w:tcBorders>
                    <w:tl2br w:val="nil"/>
                    <w:tr2bl w:val="nil"/>
                  </w:tcBorders>
                  <w:noWrap w:val="0"/>
                  <w:vAlign w:val="center"/>
                </w:tcPr>
                <w:p w14:paraId="5C02E456">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Cs w:val="0"/>
                      <w:snapToGrid w:val="0"/>
                      <w:color w:val="auto"/>
                      <w:spacing w:val="-6"/>
                      <w:kern w:val="21"/>
                      <w:sz w:val="21"/>
                      <w:szCs w:val="21"/>
                      <w:lang w:val="en-US" w:eastAsia="zh-CN" w:bidi="ar-SA"/>
                    </w:rPr>
                  </w:pPr>
                </w:p>
              </w:tc>
            </w:tr>
          </w:tbl>
          <w:p w14:paraId="29AFC349">
            <w:pPr>
              <w:pStyle w:val="6"/>
              <w:rPr>
                <w:rFonts w:hint="default" w:ascii="Times New Roman" w:hAnsi="Times New Roman" w:cs="Times New Roman"/>
                <w:color w:val="auto"/>
                <w:sz w:val="24"/>
                <w:szCs w:val="24"/>
                <w:lang w:eastAsia="zh-CN"/>
              </w:rPr>
            </w:pPr>
          </w:p>
          <w:p w14:paraId="6F8CB036">
            <w:pPr>
              <w:pStyle w:val="139"/>
              <w:keepNext/>
              <w:keepLines/>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kern w:val="0"/>
                <w:sz w:val="24"/>
                <w:szCs w:val="24"/>
                <w:lang w:val="en-US" w:eastAsia="zh-CN"/>
              </w:rPr>
              <w:t>2.10.5</w:t>
            </w:r>
            <w:r>
              <w:rPr>
                <w:rFonts w:hint="default" w:ascii="Times New Roman" w:hAnsi="Times New Roman" w:eastAsia="宋体" w:cs="Times New Roman"/>
                <w:b/>
                <w:bCs/>
                <w:color w:val="auto"/>
                <w:sz w:val="24"/>
                <w:szCs w:val="24"/>
                <w:lang w:val="en-US" w:eastAsia="zh-CN"/>
              </w:rPr>
              <w:t>三本账”核算</w:t>
            </w:r>
          </w:p>
          <w:p w14:paraId="7FCDB4C6">
            <w:pPr>
              <w:spacing w:line="360" w:lineRule="auto"/>
              <w:ind w:firstLine="480"/>
              <w:rPr>
                <w:rFonts w:hint="default"/>
                <w:color w:val="auto"/>
                <w:sz w:val="24"/>
                <w:lang w:eastAsia="zh-CN"/>
              </w:rPr>
            </w:pPr>
            <w:r>
              <w:rPr>
                <w:rFonts w:hint="default"/>
                <w:color w:val="auto"/>
                <w:sz w:val="24"/>
                <w:lang w:eastAsia="zh-CN"/>
              </w:rPr>
              <w:t>详见附表</w:t>
            </w:r>
          </w:p>
          <w:p w14:paraId="71B5D270">
            <w:pPr>
              <w:pStyle w:val="20"/>
              <w:keepNext w:val="0"/>
              <w:keepLines w:val="0"/>
              <w:pageBreakBefore w:val="0"/>
              <w:widowControl w:val="0"/>
              <w:suppressLineNumbers w:val="0"/>
              <w:kinsoku/>
              <w:wordWrap/>
              <w:overflowPunct/>
              <w:topLinePunct w:val="0"/>
              <w:autoSpaceDE/>
              <w:autoSpaceDN/>
              <w:bidi w:val="0"/>
              <w:adjustRightInd w:val="0"/>
              <w:snapToGrid w:val="0"/>
              <w:spacing w:before="164" w:beforeLines="50" w:beforeAutospacing="0" w:after="0" w:afterAutospacing="0" w:line="360" w:lineRule="auto"/>
              <w:ind w:left="0" w:right="0" w:firstLine="0" w:firstLineChars="0"/>
              <w:jc w:val="both"/>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cs="Times New Roman"/>
                <w:b/>
                <w:bCs/>
                <w:color w:val="auto"/>
                <w:kern w:val="0"/>
                <w:sz w:val="24"/>
                <w:szCs w:val="24"/>
                <w:lang w:val="en-US" w:eastAsia="zh-CN"/>
              </w:rPr>
              <w:t>2.10.</w:t>
            </w:r>
            <w:r>
              <w:rPr>
                <w:rFonts w:hint="eastAsia" w:ascii="Times New Roman" w:hAnsi="Times New Roman" w:eastAsia="宋体" w:cs="Times New Roman"/>
                <w:b/>
                <w:bCs/>
                <w:color w:val="auto"/>
                <w:kern w:val="0"/>
                <w:sz w:val="24"/>
                <w:szCs w:val="24"/>
                <w:lang w:val="en-US" w:eastAsia="zh-CN"/>
              </w:rPr>
              <w:t>6</w:t>
            </w:r>
            <w:r>
              <w:rPr>
                <w:rFonts w:hint="default" w:ascii="Times New Roman" w:hAnsi="Times New Roman" w:cs="Times New Roman"/>
                <w:b/>
                <w:bCs/>
                <w:color w:val="auto"/>
                <w:sz w:val="24"/>
                <w:szCs w:val="24"/>
                <w:lang w:val="en-US" w:eastAsia="zh-CN"/>
              </w:rPr>
              <w:t>现有工程</w:t>
            </w:r>
            <w:r>
              <w:rPr>
                <w:rFonts w:hint="default" w:ascii="Times New Roman" w:hAnsi="Times New Roman" w:eastAsia="宋体" w:cs="Times New Roman"/>
                <w:b/>
                <w:bCs/>
                <w:color w:val="auto"/>
                <w:sz w:val="24"/>
                <w:szCs w:val="24"/>
                <w:lang w:val="en-US" w:eastAsia="zh-CN"/>
              </w:rPr>
              <w:t>有关的环境问题和整改措施</w:t>
            </w:r>
          </w:p>
          <w:p w14:paraId="1F461B53">
            <w:pPr>
              <w:spacing w:line="360" w:lineRule="auto"/>
              <w:ind w:firstLine="48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根据以上分析，原项目污染物均能达到标准，不存在明显环境问题。</w:t>
            </w:r>
          </w:p>
          <w:p w14:paraId="7D5B6FB6">
            <w:pPr>
              <w:spacing w:line="360" w:lineRule="auto"/>
              <w:rPr>
                <w:rFonts w:hint="default" w:ascii="Times New Roman" w:hAnsi="Times New Roman" w:eastAsia="宋体" w:cs="Times New Roman"/>
                <w:color w:val="auto"/>
                <w:sz w:val="24"/>
                <w:szCs w:val="24"/>
              </w:rPr>
            </w:pPr>
          </w:p>
          <w:p w14:paraId="36A5209D">
            <w:pPr>
              <w:spacing w:line="360" w:lineRule="auto"/>
              <w:rPr>
                <w:rFonts w:hint="default" w:ascii="Times New Roman" w:hAnsi="Times New Roman" w:eastAsia="宋体" w:cs="Times New Roman"/>
                <w:color w:val="auto"/>
                <w:sz w:val="24"/>
                <w:szCs w:val="24"/>
              </w:rPr>
            </w:pPr>
          </w:p>
        </w:tc>
      </w:tr>
    </w:tbl>
    <w:p w14:paraId="113310A0">
      <w:pPr>
        <w:pStyle w:val="20"/>
        <w:adjustRightInd w:val="0"/>
        <w:snapToGrid w:val="0"/>
        <w:spacing w:before="0" w:beforeAutospacing="0" w:after="0" w:afterAutospacing="0" w:line="14" w:lineRule="auto"/>
        <w:jc w:val="center"/>
        <w:rPr>
          <w:rFonts w:ascii="Times New Roman" w:hAnsi="Times New Roman" w:eastAsia="黑体"/>
          <w:snapToGrid w:val="0"/>
          <w:color w:val="auto"/>
          <w:sz w:val="30"/>
          <w:szCs w:val="30"/>
        </w:rPr>
      </w:pPr>
    </w:p>
    <w:p w14:paraId="1EDE2BC7">
      <w:pPr>
        <w:pStyle w:val="61"/>
        <w:numPr>
          <w:ilvl w:val="-1"/>
          <w:numId w:val="0"/>
        </w:numPr>
        <w:jc w:val="both"/>
        <w:outlineLvl w:val="9"/>
        <w:rPr>
          <w:rFonts w:ascii="Times New Roman" w:hAnsi="Times New Roman"/>
          <w:color w:val="auto"/>
        </w:rPr>
      </w:pPr>
    </w:p>
    <w:p w14:paraId="415946AD">
      <w:pPr>
        <w:pStyle w:val="61"/>
        <w:numPr>
          <w:ilvl w:val="-1"/>
          <w:numId w:val="0"/>
        </w:numPr>
        <w:jc w:val="both"/>
        <w:outlineLvl w:val="9"/>
        <w:rPr>
          <w:rFonts w:ascii="Times New Roman" w:hAnsi="Times New Roman"/>
          <w:color w:val="auto"/>
        </w:rPr>
      </w:pPr>
    </w:p>
    <w:p w14:paraId="6B9558E6">
      <w:pPr>
        <w:pStyle w:val="61"/>
        <w:rPr>
          <w:rFonts w:ascii="Times New Roman" w:hAnsi="Times New Roman"/>
          <w:color w:val="auto"/>
        </w:rPr>
      </w:pPr>
      <w:r>
        <w:rPr>
          <w:rFonts w:ascii="Times New Roman" w:hAnsi="Times New Roman"/>
          <w:color w:val="auto"/>
        </w:rPr>
        <w:t>区域环境质量现状、环境保护目标及评价标准</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8720"/>
      </w:tblGrid>
      <w:tr w14:paraId="08B156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800" w:type="dxa"/>
            <w:noWrap w:val="0"/>
            <w:vAlign w:val="center"/>
          </w:tcPr>
          <w:p w14:paraId="4B860063">
            <w:pPr>
              <w:adjustRightInd w:val="0"/>
              <w:snapToGrid w:val="0"/>
              <w:jc w:val="center"/>
              <w:rPr>
                <w:color w:val="auto"/>
                <w:kern w:val="0"/>
                <w:szCs w:val="21"/>
              </w:rPr>
            </w:pPr>
            <w:r>
              <w:rPr>
                <w:color w:val="auto"/>
                <w:kern w:val="0"/>
                <w:szCs w:val="21"/>
              </w:rPr>
              <w:t>区域</w:t>
            </w:r>
          </w:p>
          <w:p w14:paraId="6AAA2182">
            <w:pPr>
              <w:adjustRightInd w:val="0"/>
              <w:snapToGrid w:val="0"/>
              <w:jc w:val="center"/>
              <w:rPr>
                <w:color w:val="auto"/>
                <w:kern w:val="0"/>
                <w:szCs w:val="21"/>
              </w:rPr>
            </w:pPr>
            <w:r>
              <w:rPr>
                <w:color w:val="auto"/>
                <w:kern w:val="0"/>
                <w:szCs w:val="21"/>
              </w:rPr>
              <w:t>环境</w:t>
            </w:r>
          </w:p>
          <w:p w14:paraId="530EF5F4">
            <w:pPr>
              <w:adjustRightInd w:val="0"/>
              <w:snapToGrid w:val="0"/>
              <w:jc w:val="center"/>
              <w:rPr>
                <w:color w:val="auto"/>
                <w:kern w:val="0"/>
                <w:szCs w:val="21"/>
              </w:rPr>
            </w:pPr>
            <w:r>
              <w:rPr>
                <w:color w:val="auto"/>
                <w:kern w:val="0"/>
                <w:szCs w:val="21"/>
              </w:rPr>
              <w:t>质量</w:t>
            </w:r>
          </w:p>
          <w:p w14:paraId="019E6F12">
            <w:pPr>
              <w:adjustRightInd w:val="0"/>
              <w:snapToGrid w:val="0"/>
              <w:jc w:val="center"/>
              <w:rPr>
                <w:color w:val="auto"/>
                <w:kern w:val="0"/>
                <w:szCs w:val="21"/>
              </w:rPr>
            </w:pPr>
            <w:r>
              <w:rPr>
                <w:color w:val="auto"/>
                <w:kern w:val="0"/>
                <w:szCs w:val="21"/>
              </w:rPr>
              <w:t>现状</w:t>
            </w:r>
          </w:p>
        </w:tc>
        <w:tc>
          <w:tcPr>
            <w:tcW w:w="8190" w:type="dxa"/>
            <w:noWrap w:val="0"/>
            <w:vAlign w:val="center"/>
          </w:tcPr>
          <w:p w14:paraId="06C8F6FF">
            <w:pPr>
              <w:pStyle w:val="3"/>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color w:val="auto"/>
                <w:sz w:val="30"/>
                <w:szCs w:val="30"/>
                <w:highlight w:val="none"/>
              </w:rPr>
            </w:pPr>
            <w:r>
              <w:rPr>
                <w:rFonts w:hint="default" w:ascii="Times New Roman" w:hAnsi="Times New Roman" w:eastAsia="宋体" w:cs="Times New Roman"/>
                <w:color w:val="auto"/>
                <w:sz w:val="30"/>
                <w:szCs w:val="30"/>
                <w:highlight w:val="none"/>
              </w:rPr>
              <w:t>3.</w:t>
            </w:r>
            <w:r>
              <w:rPr>
                <w:rFonts w:hint="default" w:ascii="Times New Roman" w:hAnsi="Times New Roman" w:eastAsia="宋体" w:cs="Times New Roman"/>
                <w:color w:val="auto"/>
                <w:sz w:val="30"/>
                <w:szCs w:val="30"/>
                <w:highlight w:val="none"/>
                <w:lang w:val="en-US" w:eastAsia="zh-CN"/>
              </w:rPr>
              <w:t>1</w:t>
            </w:r>
            <w:r>
              <w:rPr>
                <w:rFonts w:hint="default" w:ascii="Times New Roman" w:hAnsi="Times New Roman" w:eastAsia="宋体" w:cs="Times New Roman"/>
                <w:color w:val="auto"/>
                <w:sz w:val="30"/>
                <w:szCs w:val="30"/>
                <w:highlight w:val="none"/>
              </w:rPr>
              <w:t>大气环境质量现状</w:t>
            </w:r>
          </w:p>
          <w:p w14:paraId="5A2F4242">
            <w:pPr>
              <w:pStyle w:val="55"/>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3.1.1环境空气质量功能区划</w:t>
            </w:r>
          </w:p>
          <w:p w14:paraId="176C3F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color w:val="auto"/>
                <w:sz w:val="24"/>
                <w:szCs w:val="24"/>
              </w:rPr>
              <w:t>本项目所在区域环境空气为二类环境空气功能区，环境空气质量执行《环境空气质量标准》（GB 3095-2026）中的二级标准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非甲烷总烃参照《大气污染物综合排放标准详解》（国家环境保护局科技标准司）中表4-2</w:t>
            </w:r>
            <w:r>
              <w:rPr>
                <w:rFonts w:hint="eastAsia" w:cs="Times New Roman"/>
                <w:color w:val="auto"/>
                <w:sz w:val="24"/>
                <w:szCs w:val="24"/>
                <w:lang w:val="en-US" w:eastAsia="zh-CN"/>
              </w:rPr>
              <w:t>40</w:t>
            </w:r>
            <w:r>
              <w:rPr>
                <w:rFonts w:hint="default" w:ascii="Times New Roman" w:hAnsi="Times New Roman" w:eastAsia="宋体" w:cs="Times New Roman"/>
                <w:color w:val="auto"/>
                <w:sz w:val="24"/>
                <w:szCs w:val="24"/>
              </w:rPr>
              <w:t>中的以色列总烃的环境空气质量标准</w:t>
            </w:r>
            <w:r>
              <w:rPr>
                <w:rFonts w:hint="default" w:ascii="Times New Roman" w:hAnsi="Times New Roman" w:eastAsia="宋体" w:cs="Times New Roman"/>
                <w:b w:val="0"/>
                <w:bCs w:val="0"/>
                <w:color w:val="auto"/>
                <w:sz w:val="24"/>
                <w:szCs w:val="24"/>
              </w:rPr>
              <w:t>。</w:t>
            </w:r>
          </w:p>
          <w:p w14:paraId="7FEF023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rPr>
              <w:t>表3</w:t>
            </w:r>
            <w:r>
              <w:rPr>
                <w:rFonts w:hint="eastAsia" w:ascii="Times New Roman" w:hAnsi="Times New Roman" w:cs="Times New Roman"/>
                <w:b/>
                <w:bCs/>
                <w:color w:val="auto"/>
                <w:sz w:val="24"/>
                <w:lang w:val="en-US" w:eastAsia="zh-CN"/>
              </w:rPr>
              <w:t>.1</w:t>
            </w:r>
            <w:r>
              <w:rPr>
                <w:rFonts w:hint="default" w:ascii="Times New Roman" w:hAnsi="Times New Roman" w:cs="Times New Roman"/>
                <w:b/>
                <w:bCs/>
                <w:color w:val="auto"/>
                <w:sz w:val="24"/>
              </w:rPr>
              <w:t>-</w:t>
            </w:r>
            <w:r>
              <w:rPr>
                <w:rFonts w:hint="default" w:ascii="Times New Roman" w:hAnsi="Times New Roman" w:cs="Times New Roman"/>
                <w:b/>
                <w:bCs/>
                <w:color w:val="auto"/>
                <w:sz w:val="24"/>
                <w:lang w:val="en-US" w:eastAsia="zh-CN"/>
              </w:rPr>
              <w:t>1</w:t>
            </w:r>
            <w:r>
              <w:rPr>
                <w:rFonts w:hint="default" w:ascii="Times New Roman" w:hAnsi="Times New Roman" w:cs="Times New Roman"/>
                <w:b/>
                <w:bCs/>
                <w:color w:val="auto"/>
                <w:sz w:val="24"/>
              </w:rPr>
              <w:t xml:space="preserve"> 环境空气</w:t>
            </w:r>
            <w:r>
              <w:rPr>
                <w:rFonts w:hint="default" w:ascii="Times New Roman" w:hAnsi="Times New Roman" w:cs="Times New Roman"/>
                <w:b/>
                <w:bCs/>
                <w:color w:val="auto"/>
                <w:sz w:val="24"/>
                <w:lang w:val="en-US" w:eastAsia="zh-CN"/>
              </w:rPr>
              <w:t>污染物基本项目浓度限值</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50"/>
              <w:gridCol w:w="1383"/>
              <w:gridCol w:w="2571"/>
              <w:gridCol w:w="2024"/>
              <w:gridCol w:w="1076"/>
            </w:tblGrid>
            <w:tr w14:paraId="3A6F6B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restart"/>
                  <w:tcBorders>
                    <w:tl2br w:val="nil"/>
                    <w:tr2bl w:val="nil"/>
                  </w:tcBorders>
                  <w:noWrap w:val="0"/>
                  <w:vAlign w:val="center"/>
                </w:tcPr>
                <w:p w14:paraId="4443BB2B">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污染物项目</w:t>
                  </w:r>
                </w:p>
              </w:tc>
              <w:tc>
                <w:tcPr>
                  <w:tcW w:w="1394" w:type="dxa"/>
                  <w:vMerge w:val="restart"/>
                  <w:tcBorders>
                    <w:tl2br w:val="nil"/>
                    <w:tr2bl w:val="nil"/>
                  </w:tcBorders>
                  <w:noWrap w:val="0"/>
                  <w:vAlign w:val="center"/>
                </w:tcPr>
                <w:p w14:paraId="3FC6A1DC">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平均时间</w:t>
                  </w:r>
                </w:p>
              </w:tc>
              <w:tc>
                <w:tcPr>
                  <w:tcW w:w="2593" w:type="dxa"/>
                  <w:tcBorders>
                    <w:tl2br w:val="nil"/>
                    <w:tr2bl w:val="nil"/>
                  </w:tcBorders>
                  <w:noWrap w:val="0"/>
                  <w:vAlign w:val="center"/>
                </w:tcPr>
                <w:p w14:paraId="02468A6A">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2026年3月1日-2030年12月31日</w:t>
                  </w:r>
                </w:p>
              </w:tc>
              <w:tc>
                <w:tcPr>
                  <w:tcW w:w="2040" w:type="dxa"/>
                  <w:tcBorders>
                    <w:tl2br w:val="nil"/>
                    <w:tr2bl w:val="nil"/>
                  </w:tcBorders>
                  <w:noWrap w:val="0"/>
                  <w:vAlign w:val="center"/>
                </w:tcPr>
                <w:p w14:paraId="4EE650DE">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2031年1月1日起</w:t>
                  </w:r>
                </w:p>
              </w:tc>
              <w:tc>
                <w:tcPr>
                  <w:tcW w:w="1080" w:type="dxa"/>
                  <w:vMerge w:val="restart"/>
                  <w:tcBorders>
                    <w:tl2br w:val="nil"/>
                    <w:tr2bl w:val="nil"/>
                  </w:tcBorders>
                  <w:noWrap w:val="0"/>
                  <w:vAlign w:val="center"/>
                </w:tcPr>
                <w:p w14:paraId="02F0AEF9">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单位</w:t>
                  </w:r>
                </w:p>
              </w:tc>
            </w:tr>
            <w:tr w14:paraId="52C610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continue"/>
                  <w:tcBorders>
                    <w:tl2br w:val="nil"/>
                    <w:tr2bl w:val="nil"/>
                  </w:tcBorders>
                  <w:noWrap w:val="0"/>
                  <w:vAlign w:val="center"/>
                </w:tcPr>
                <w:p w14:paraId="7013D1A1">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bCs/>
                      <w:color w:val="auto"/>
                      <w:sz w:val="21"/>
                      <w:szCs w:val="21"/>
                    </w:rPr>
                  </w:pPr>
                </w:p>
              </w:tc>
              <w:tc>
                <w:tcPr>
                  <w:tcW w:w="1394" w:type="dxa"/>
                  <w:vMerge w:val="continue"/>
                  <w:tcBorders>
                    <w:tl2br w:val="nil"/>
                    <w:tr2bl w:val="nil"/>
                  </w:tcBorders>
                  <w:noWrap w:val="0"/>
                  <w:vAlign w:val="center"/>
                </w:tcPr>
                <w:p w14:paraId="291E6E74">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bCs/>
                      <w:color w:val="auto"/>
                      <w:sz w:val="21"/>
                      <w:szCs w:val="21"/>
                    </w:rPr>
                  </w:pPr>
                </w:p>
              </w:tc>
              <w:tc>
                <w:tcPr>
                  <w:tcW w:w="2593" w:type="dxa"/>
                  <w:tcBorders>
                    <w:tl2br w:val="nil"/>
                    <w:tr2bl w:val="nil"/>
                  </w:tcBorders>
                  <w:noWrap w:val="0"/>
                  <w:vAlign w:val="center"/>
                </w:tcPr>
                <w:p w14:paraId="24124F0D">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过渡阶段</w:t>
                  </w:r>
                  <w:r>
                    <w:rPr>
                      <w:rFonts w:hint="default" w:ascii="Times New Roman" w:hAnsi="Times New Roman" w:eastAsia="宋体" w:cs="Times New Roman"/>
                      <w:b w:val="0"/>
                      <w:bCs w:val="0"/>
                      <w:color w:val="auto"/>
                      <w:sz w:val="21"/>
                      <w:szCs w:val="21"/>
                    </w:rPr>
                    <w:t>浓度限值</w:t>
                  </w:r>
                </w:p>
              </w:tc>
              <w:tc>
                <w:tcPr>
                  <w:tcW w:w="2040" w:type="dxa"/>
                  <w:tcBorders>
                    <w:tl2br w:val="nil"/>
                    <w:tr2bl w:val="nil"/>
                  </w:tcBorders>
                  <w:noWrap w:val="0"/>
                  <w:vAlign w:val="center"/>
                </w:tcPr>
                <w:p w14:paraId="45201041">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浓度限值</w:t>
                  </w:r>
                </w:p>
              </w:tc>
              <w:tc>
                <w:tcPr>
                  <w:tcW w:w="1080" w:type="dxa"/>
                  <w:vMerge w:val="continue"/>
                  <w:tcBorders>
                    <w:tl2br w:val="nil"/>
                    <w:tr2bl w:val="nil"/>
                  </w:tcBorders>
                  <w:noWrap w:val="0"/>
                  <w:vAlign w:val="center"/>
                </w:tcPr>
                <w:p w14:paraId="61B143EF">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r>
            <w:tr w14:paraId="37707C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restart"/>
                  <w:tcBorders>
                    <w:tl2br w:val="nil"/>
                    <w:tr2bl w:val="nil"/>
                  </w:tcBorders>
                  <w:noWrap w:val="0"/>
                  <w:vAlign w:val="center"/>
                </w:tcPr>
                <w:p w14:paraId="06B166C3">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二氧化硫（SO</w:t>
                  </w:r>
                  <w:r>
                    <w:rPr>
                      <w:rFonts w:hint="default" w:ascii="Times New Roman" w:hAnsi="Times New Roman" w:eastAsia="宋体" w:cs="Times New Roman"/>
                      <w:b w:val="0"/>
                      <w:bCs w:val="0"/>
                      <w:color w:val="auto"/>
                      <w:sz w:val="21"/>
                      <w:szCs w:val="21"/>
                      <w:vertAlign w:val="subscript"/>
                    </w:rPr>
                    <w:t>2</w:t>
                  </w:r>
                  <w:r>
                    <w:rPr>
                      <w:rFonts w:hint="default" w:ascii="Times New Roman" w:hAnsi="Times New Roman" w:eastAsia="宋体" w:cs="Times New Roman"/>
                      <w:b w:val="0"/>
                      <w:bCs w:val="0"/>
                      <w:color w:val="auto"/>
                      <w:sz w:val="21"/>
                      <w:szCs w:val="21"/>
                    </w:rPr>
                    <w:t>)</w:t>
                  </w:r>
                </w:p>
              </w:tc>
              <w:tc>
                <w:tcPr>
                  <w:tcW w:w="1394" w:type="dxa"/>
                  <w:tcBorders>
                    <w:tl2br w:val="nil"/>
                    <w:tr2bl w:val="nil"/>
                  </w:tcBorders>
                  <w:noWrap w:val="0"/>
                  <w:vAlign w:val="center"/>
                </w:tcPr>
                <w:p w14:paraId="5A7A9059">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年平均</w:t>
                  </w:r>
                </w:p>
              </w:tc>
              <w:tc>
                <w:tcPr>
                  <w:tcW w:w="2593" w:type="dxa"/>
                  <w:tcBorders>
                    <w:tl2br w:val="nil"/>
                    <w:tr2bl w:val="nil"/>
                  </w:tcBorders>
                  <w:noWrap w:val="0"/>
                  <w:vAlign w:val="center"/>
                </w:tcPr>
                <w:p w14:paraId="3B7256C7">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60</w:t>
                  </w:r>
                </w:p>
              </w:tc>
              <w:tc>
                <w:tcPr>
                  <w:tcW w:w="2040" w:type="dxa"/>
                  <w:tcBorders>
                    <w:tl2br w:val="nil"/>
                    <w:tr2bl w:val="nil"/>
                  </w:tcBorders>
                  <w:noWrap w:val="0"/>
                  <w:vAlign w:val="center"/>
                </w:tcPr>
                <w:p w14:paraId="314226E8">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w:t>
                  </w:r>
                </w:p>
              </w:tc>
              <w:tc>
                <w:tcPr>
                  <w:tcW w:w="1080" w:type="dxa"/>
                  <w:vMerge w:val="restart"/>
                  <w:tcBorders>
                    <w:tl2br w:val="nil"/>
                    <w:tr2bl w:val="nil"/>
                  </w:tcBorders>
                  <w:noWrap w:val="0"/>
                  <w:vAlign w:val="center"/>
                </w:tcPr>
                <w:p w14:paraId="0662435A">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μg/m</w:t>
                  </w:r>
                  <w:r>
                    <w:rPr>
                      <w:rFonts w:hint="default" w:ascii="Times New Roman" w:hAnsi="Times New Roman" w:eastAsia="宋体" w:cs="Times New Roman"/>
                      <w:b w:val="0"/>
                      <w:bCs w:val="0"/>
                      <w:color w:val="auto"/>
                      <w:sz w:val="21"/>
                      <w:szCs w:val="21"/>
                      <w:vertAlign w:val="superscript"/>
                    </w:rPr>
                    <w:t>3</w:t>
                  </w:r>
                </w:p>
              </w:tc>
            </w:tr>
            <w:tr w14:paraId="719A25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continue"/>
                  <w:tcBorders>
                    <w:tl2br w:val="nil"/>
                    <w:tr2bl w:val="nil"/>
                  </w:tcBorders>
                  <w:noWrap w:val="0"/>
                  <w:vAlign w:val="center"/>
                </w:tcPr>
                <w:p w14:paraId="3D31051D">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c>
                <w:tcPr>
                  <w:tcW w:w="1394" w:type="dxa"/>
                  <w:tcBorders>
                    <w:tl2br w:val="nil"/>
                    <w:tr2bl w:val="nil"/>
                  </w:tcBorders>
                  <w:noWrap w:val="0"/>
                  <w:vAlign w:val="center"/>
                </w:tcPr>
                <w:p w14:paraId="633ECB75">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24小时平均</w:t>
                  </w:r>
                </w:p>
              </w:tc>
              <w:tc>
                <w:tcPr>
                  <w:tcW w:w="2593" w:type="dxa"/>
                  <w:tcBorders>
                    <w:tl2br w:val="nil"/>
                    <w:tr2bl w:val="nil"/>
                  </w:tcBorders>
                  <w:noWrap w:val="0"/>
                  <w:vAlign w:val="center"/>
                </w:tcPr>
                <w:p w14:paraId="46C9E771">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150</w:t>
                  </w:r>
                </w:p>
              </w:tc>
              <w:tc>
                <w:tcPr>
                  <w:tcW w:w="2040" w:type="dxa"/>
                  <w:tcBorders>
                    <w:tl2br w:val="nil"/>
                    <w:tr2bl w:val="nil"/>
                  </w:tcBorders>
                  <w:noWrap w:val="0"/>
                  <w:vAlign w:val="center"/>
                </w:tcPr>
                <w:p w14:paraId="69F1B22C">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50</w:t>
                  </w:r>
                </w:p>
              </w:tc>
              <w:tc>
                <w:tcPr>
                  <w:tcW w:w="1080" w:type="dxa"/>
                  <w:vMerge w:val="continue"/>
                  <w:tcBorders>
                    <w:tl2br w:val="nil"/>
                    <w:tr2bl w:val="nil"/>
                  </w:tcBorders>
                  <w:noWrap w:val="0"/>
                  <w:vAlign w:val="center"/>
                </w:tcPr>
                <w:p w14:paraId="5A7AB06A">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r>
            <w:tr w14:paraId="71B5D8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continue"/>
                  <w:tcBorders>
                    <w:tl2br w:val="nil"/>
                    <w:tr2bl w:val="nil"/>
                  </w:tcBorders>
                  <w:noWrap w:val="0"/>
                  <w:vAlign w:val="center"/>
                </w:tcPr>
                <w:p w14:paraId="2890D65E">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c>
                <w:tcPr>
                  <w:tcW w:w="1394" w:type="dxa"/>
                  <w:tcBorders>
                    <w:tl2br w:val="nil"/>
                    <w:tr2bl w:val="nil"/>
                  </w:tcBorders>
                  <w:noWrap w:val="0"/>
                  <w:vAlign w:val="center"/>
                </w:tcPr>
                <w:p w14:paraId="708FCDB6">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1小时平均</w:t>
                  </w:r>
                </w:p>
              </w:tc>
              <w:tc>
                <w:tcPr>
                  <w:tcW w:w="2593" w:type="dxa"/>
                  <w:tcBorders>
                    <w:tl2br w:val="nil"/>
                    <w:tr2bl w:val="nil"/>
                  </w:tcBorders>
                  <w:noWrap w:val="0"/>
                  <w:vAlign w:val="center"/>
                </w:tcPr>
                <w:p w14:paraId="6F926ECA">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500</w:t>
                  </w:r>
                </w:p>
              </w:tc>
              <w:tc>
                <w:tcPr>
                  <w:tcW w:w="2040" w:type="dxa"/>
                  <w:tcBorders>
                    <w:tl2br w:val="nil"/>
                    <w:tr2bl w:val="nil"/>
                  </w:tcBorders>
                  <w:noWrap w:val="0"/>
                  <w:vAlign w:val="center"/>
                </w:tcPr>
                <w:p w14:paraId="7CC85414">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150</w:t>
                  </w:r>
                </w:p>
              </w:tc>
              <w:tc>
                <w:tcPr>
                  <w:tcW w:w="1080" w:type="dxa"/>
                  <w:vMerge w:val="continue"/>
                  <w:tcBorders>
                    <w:tl2br w:val="nil"/>
                    <w:tr2bl w:val="nil"/>
                  </w:tcBorders>
                  <w:noWrap w:val="0"/>
                  <w:vAlign w:val="center"/>
                </w:tcPr>
                <w:p w14:paraId="13DA3555">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r>
            <w:tr w14:paraId="6DEBD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restart"/>
                  <w:tcBorders>
                    <w:tl2br w:val="nil"/>
                    <w:tr2bl w:val="nil"/>
                  </w:tcBorders>
                  <w:noWrap w:val="0"/>
                  <w:vAlign w:val="center"/>
                </w:tcPr>
                <w:p w14:paraId="2E76CC4A">
                  <w:pPr>
                    <w:keepLines w:val="0"/>
                    <w:pageBreakBefore w:val="0"/>
                    <w:widowControl/>
                    <w:kinsoku/>
                    <w:wordWrap/>
                    <w:topLinePunct w:val="0"/>
                    <w:autoSpaceDE/>
                    <w:autoSpaceDN/>
                    <w:bidi w:val="0"/>
                    <w:adjustRightIn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二氧化氮（NO</w:t>
                  </w:r>
                  <w:r>
                    <w:rPr>
                      <w:rFonts w:hint="default" w:ascii="Times New Roman" w:hAnsi="Times New Roman" w:eastAsia="宋体" w:cs="Times New Roman"/>
                      <w:color w:val="auto"/>
                      <w:kern w:val="0"/>
                      <w:sz w:val="21"/>
                      <w:szCs w:val="21"/>
                      <w:vertAlign w:val="subscript"/>
                      <w:lang w:bidi="ar"/>
                    </w:rPr>
                    <w:t>2</w:t>
                  </w:r>
                  <w:r>
                    <w:rPr>
                      <w:rFonts w:hint="default" w:ascii="Times New Roman" w:hAnsi="Times New Roman" w:eastAsia="宋体" w:cs="Times New Roman"/>
                      <w:color w:val="auto"/>
                      <w:kern w:val="0"/>
                      <w:sz w:val="21"/>
                      <w:szCs w:val="21"/>
                      <w:lang w:bidi="ar"/>
                    </w:rPr>
                    <w:t>）</w:t>
                  </w:r>
                </w:p>
              </w:tc>
              <w:tc>
                <w:tcPr>
                  <w:tcW w:w="1394" w:type="dxa"/>
                  <w:tcBorders>
                    <w:tl2br w:val="nil"/>
                    <w:tr2bl w:val="nil"/>
                  </w:tcBorders>
                  <w:noWrap w:val="0"/>
                  <w:vAlign w:val="center"/>
                </w:tcPr>
                <w:p w14:paraId="2C08B019">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年平均</w:t>
                  </w:r>
                </w:p>
              </w:tc>
              <w:tc>
                <w:tcPr>
                  <w:tcW w:w="2593" w:type="dxa"/>
                  <w:tcBorders>
                    <w:tl2br w:val="nil"/>
                    <w:tr2bl w:val="nil"/>
                  </w:tcBorders>
                  <w:noWrap w:val="0"/>
                  <w:vAlign w:val="center"/>
                </w:tcPr>
                <w:p w14:paraId="6F2C4886">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40</w:t>
                  </w:r>
                </w:p>
              </w:tc>
              <w:tc>
                <w:tcPr>
                  <w:tcW w:w="2040" w:type="dxa"/>
                  <w:tcBorders>
                    <w:tl2br w:val="nil"/>
                    <w:tr2bl w:val="nil"/>
                  </w:tcBorders>
                  <w:noWrap w:val="0"/>
                  <w:vAlign w:val="center"/>
                </w:tcPr>
                <w:p w14:paraId="29EC1C8B">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30</w:t>
                  </w:r>
                </w:p>
              </w:tc>
              <w:tc>
                <w:tcPr>
                  <w:tcW w:w="1080" w:type="dxa"/>
                  <w:vMerge w:val="continue"/>
                  <w:tcBorders>
                    <w:tl2br w:val="nil"/>
                    <w:tr2bl w:val="nil"/>
                  </w:tcBorders>
                  <w:noWrap w:val="0"/>
                  <w:vAlign w:val="center"/>
                </w:tcPr>
                <w:p w14:paraId="4362B4C0">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r>
            <w:tr w14:paraId="24C03A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continue"/>
                  <w:tcBorders>
                    <w:tl2br w:val="nil"/>
                    <w:tr2bl w:val="nil"/>
                  </w:tcBorders>
                  <w:noWrap w:val="0"/>
                  <w:vAlign w:val="center"/>
                </w:tcPr>
                <w:p w14:paraId="4FD1516E">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c>
                <w:tcPr>
                  <w:tcW w:w="1394" w:type="dxa"/>
                  <w:tcBorders>
                    <w:tl2br w:val="nil"/>
                    <w:tr2bl w:val="nil"/>
                  </w:tcBorders>
                  <w:noWrap w:val="0"/>
                  <w:vAlign w:val="center"/>
                </w:tcPr>
                <w:p w14:paraId="792B4286">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24小时平均</w:t>
                  </w:r>
                </w:p>
              </w:tc>
              <w:tc>
                <w:tcPr>
                  <w:tcW w:w="2593" w:type="dxa"/>
                  <w:tcBorders>
                    <w:tl2br w:val="nil"/>
                    <w:tr2bl w:val="nil"/>
                  </w:tcBorders>
                  <w:noWrap w:val="0"/>
                  <w:vAlign w:val="center"/>
                </w:tcPr>
                <w:p w14:paraId="75077C2A">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80</w:t>
                  </w:r>
                </w:p>
              </w:tc>
              <w:tc>
                <w:tcPr>
                  <w:tcW w:w="2040" w:type="dxa"/>
                  <w:tcBorders>
                    <w:tl2br w:val="nil"/>
                    <w:tr2bl w:val="nil"/>
                  </w:tcBorders>
                  <w:noWrap w:val="0"/>
                  <w:vAlign w:val="center"/>
                </w:tcPr>
                <w:p w14:paraId="23551270">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50</w:t>
                  </w:r>
                </w:p>
              </w:tc>
              <w:tc>
                <w:tcPr>
                  <w:tcW w:w="1080" w:type="dxa"/>
                  <w:vMerge w:val="continue"/>
                  <w:tcBorders>
                    <w:tl2br w:val="nil"/>
                    <w:tr2bl w:val="nil"/>
                  </w:tcBorders>
                  <w:noWrap w:val="0"/>
                  <w:vAlign w:val="center"/>
                </w:tcPr>
                <w:p w14:paraId="21701D20">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r>
            <w:tr w14:paraId="6C90D5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continue"/>
                  <w:tcBorders>
                    <w:tl2br w:val="nil"/>
                    <w:tr2bl w:val="nil"/>
                  </w:tcBorders>
                  <w:noWrap w:val="0"/>
                  <w:vAlign w:val="center"/>
                </w:tcPr>
                <w:p w14:paraId="44840145">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c>
                <w:tcPr>
                  <w:tcW w:w="1394" w:type="dxa"/>
                  <w:tcBorders>
                    <w:tl2br w:val="nil"/>
                    <w:tr2bl w:val="nil"/>
                  </w:tcBorders>
                  <w:noWrap w:val="0"/>
                  <w:vAlign w:val="center"/>
                </w:tcPr>
                <w:p w14:paraId="3AF5B446">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1小时平均</w:t>
                  </w:r>
                </w:p>
              </w:tc>
              <w:tc>
                <w:tcPr>
                  <w:tcW w:w="2593" w:type="dxa"/>
                  <w:tcBorders>
                    <w:tl2br w:val="nil"/>
                    <w:tr2bl w:val="nil"/>
                  </w:tcBorders>
                  <w:noWrap w:val="0"/>
                  <w:vAlign w:val="center"/>
                </w:tcPr>
                <w:p w14:paraId="165C4F1A">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200</w:t>
                  </w:r>
                </w:p>
              </w:tc>
              <w:tc>
                <w:tcPr>
                  <w:tcW w:w="2040" w:type="dxa"/>
                  <w:tcBorders>
                    <w:tl2br w:val="nil"/>
                    <w:tr2bl w:val="nil"/>
                  </w:tcBorders>
                  <w:noWrap w:val="0"/>
                  <w:vAlign w:val="center"/>
                </w:tcPr>
                <w:p w14:paraId="57F5CCB3">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200</w:t>
                  </w:r>
                </w:p>
              </w:tc>
              <w:tc>
                <w:tcPr>
                  <w:tcW w:w="1080" w:type="dxa"/>
                  <w:vMerge w:val="continue"/>
                  <w:tcBorders>
                    <w:tl2br w:val="nil"/>
                    <w:tr2bl w:val="nil"/>
                  </w:tcBorders>
                  <w:noWrap w:val="0"/>
                  <w:vAlign w:val="center"/>
                </w:tcPr>
                <w:p w14:paraId="2B68CEBD">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r>
            <w:tr w14:paraId="568AE4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restart"/>
                  <w:tcBorders>
                    <w:tl2br w:val="nil"/>
                    <w:tr2bl w:val="nil"/>
                  </w:tcBorders>
                  <w:noWrap w:val="0"/>
                  <w:vAlign w:val="center"/>
                </w:tcPr>
                <w:p w14:paraId="33578220">
                  <w:pPr>
                    <w:keepLines w:val="0"/>
                    <w:pageBreakBefore w:val="0"/>
                    <w:widowControl/>
                    <w:kinsoku/>
                    <w:wordWrap/>
                    <w:topLinePunct w:val="0"/>
                    <w:autoSpaceDE/>
                    <w:autoSpaceDN/>
                    <w:bidi w:val="0"/>
                    <w:adjustRightIn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一氧化碳（CO）</w:t>
                  </w:r>
                </w:p>
              </w:tc>
              <w:tc>
                <w:tcPr>
                  <w:tcW w:w="1394" w:type="dxa"/>
                  <w:tcBorders>
                    <w:tl2br w:val="nil"/>
                    <w:tr2bl w:val="nil"/>
                  </w:tcBorders>
                  <w:noWrap w:val="0"/>
                  <w:vAlign w:val="center"/>
                </w:tcPr>
                <w:p w14:paraId="77F97720">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24小时平均</w:t>
                  </w:r>
                </w:p>
              </w:tc>
              <w:tc>
                <w:tcPr>
                  <w:tcW w:w="2593" w:type="dxa"/>
                  <w:tcBorders>
                    <w:tl2br w:val="nil"/>
                    <w:tr2bl w:val="nil"/>
                  </w:tcBorders>
                  <w:noWrap w:val="0"/>
                  <w:vAlign w:val="center"/>
                </w:tcPr>
                <w:p w14:paraId="072875D4">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w:t>
                  </w:r>
                </w:p>
              </w:tc>
              <w:tc>
                <w:tcPr>
                  <w:tcW w:w="2040" w:type="dxa"/>
                  <w:tcBorders>
                    <w:tl2br w:val="nil"/>
                    <w:tr2bl w:val="nil"/>
                  </w:tcBorders>
                  <w:noWrap w:val="0"/>
                  <w:vAlign w:val="center"/>
                </w:tcPr>
                <w:p w14:paraId="3CE8112B">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w:t>
                  </w:r>
                </w:p>
              </w:tc>
              <w:tc>
                <w:tcPr>
                  <w:tcW w:w="1080" w:type="dxa"/>
                  <w:vMerge w:val="restart"/>
                  <w:tcBorders>
                    <w:tl2br w:val="nil"/>
                    <w:tr2bl w:val="nil"/>
                  </w:tcBorders>
                  <w:noWrap w:val="0"/>
                  <w:vAlign w:val="center"/>
                </w:tcPr>
                <w:p w14:paraId="718D1D9C">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mg/m</w:t>
                  </w:r>
                  <w:r>
                    <w:rPr>
                      <w:rFonts w:hint="default" w:ascii="Times New Roman" w:hAnsi="Times New Roman" w:eastAsia="宋体" w:cs="Times New Roman"/>
                      <w:b w:val="0"/>
                      <w:bCs w:val="0"/>
                      <w:color w:val="auto"/>
                      <w:sz w:val="21"/>
                      <w:szCs w:val="21"/>
                      <w:vertAlign w:val="superscript"/>
                    </w:rPr>
                    <w:t>3</w:t>
                  </w:r>
                </w:p>
              </w:tc>
            </w:tr>
            <w:tr w14:paraId="4B487D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continue"/>
                  <w:tcBorders>
                    <w:tl2br w:val="nil"/>
                    <w:tr2bl w:val="nil"/>
                  </w:tcBorders>
                  <w:noWrap w:val="0"/>
                  <w:vAlign w:val="center"/>
                </w:tcPr>
                <w:p w14:paraId="4E4C09CF">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c>
                <w:tcPr>
                  <w:tcW w:w="1394" w:type="dxa"/>
                  <w:tcBorders>
                    <w:tl2br w:val="nil"/>
                    <w:tr2bl w:val="nil"/>
                  </w:tcBorders>
                  <w:noWrap w:val="0"/>
                  <w:vAlign w:val="center"/>
                </w:tcPr>
                <w:p w14:paraId="3F0A59DB">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1小时平均</w:t>
                  </w:r>
                </w:p>
              </w:tc>
              <w:tc>
                <w:tcPr>
                  <w:tcW w:w="2593" w:type="dxa"/>
                  <w:tcBorders>
                    <w:tl2br w:val="nil"/>
                    <w:tr2bl w:val="nil"/>
                  </w:tcBorders>
                  <w:noWrap w:val="0"/>
                  <w:vAlign w:val="center"/>
                </w:tcPr>
                <w:p w14:paraId="36B6F4A4">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10</w:t>
                  </w:r>
                </w:p>
              </w:tc>
              <w:tc>
                <w:tcPr>
                  <w:tcW w:w="2040" w:type="dxa"/>
                  <w:tcBorders>
                    <w:tl2br w:val="nil"/>
                    <w:tr2bl w:val="nil"/>
                  </w:tcBorders>
                  <w:noWrap w:val="0"/>
                  <w:vAlign w:val="center"/>
                </w:tcPr>
                <w:p w14:paraId="6E2493FF">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10</w:t>
                  </w:r>
                </w:p>
              </w:tc>
              <w:tc>
                <w:tcPr>
                  <w:tcW w:w="1080" w:type="dxa"/>
                  <w:vMerge w:val="continue"/>
                  <w:tcBorders>
                    <w:tl2br w:val="nil"/>
                    <w:tr2bl w:val="nil"/>
                  </w:tcBorders>
                  <w:noWrap w:val="0"/>
                  <w:vAlign w:val="center"/>
                </w:tcPr>
                <w:p w14:paraId="2890CE06">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r>
            <w:tr w14:paraId="5D6D93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restart"/>
                  <w:tcBorders>
                    <w:tl2br w:val="nil"/>
                    <w:tr2bl w:val="nil"/>
                  </w:tcBorders>
                  <w:noWrap w:val="0"/>
                  <w:vAlign w:val="center"/>
                </w:tcPr>
                <w:p w14:paraId="7C96EBFD">
                  <w:pPr>
                    <w:keepLines w:val="0"/>
                    <w:pageBreakBefore w:val="0"/>
                    <w:widowControl/>
                    <w:kinsoku/>
                    <w:wordWrap/>
                    <w:topLinePunct w:val="0"/>
                    <w:autoSpaceDE/>
                    <w:autoSpaceDN/>
                    <w:bidi w:val="0"/>
                    <w:adjustRightInd/>
                    <w:spacing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臭氧（O</w:t>
                  </w:r>
                  <w:r>
                    <w:rPr>
                      <w:rFonts w:hint="default" w:ascii="Times New Roman" w:hAnsi="Times New Roman" w:eastAsia="宋体" w:cs="Times New Roman"/>
                      <w:color w:val="auto"/>
                      <w:kern w:val="0"/>
                      <w:sz w:val="21"/>
                      <w:szCs w:val="21"/>
                      <w:vertAlign w:val="subscript"/>
                      <w:lang w:bidi="ar"/>
                    </w:rPr>
                    <w:t>3</w:t>
                  </w:r>
                  <w:r>
                    <w:rPr>
                      <w:rFonts w:hint="default" w:ascii="Times New Roman" w:hAnsi="Times New Roman" w:eastAsia="宋体" w:cs="Times New Roman"/>
                      <w:color w:val="auto"/>
                      <w:kern w:val="0"/>
                      <w:sz w:val="21"/>
                      <w:szCs w:val="21"/>
                      <w:lang w:bidi="ar"/>
                    </w:rPr>
                    <w:t>）</w:t>
                  </w:r>
                </w:p>
              </w:tc>
              <w:tc>
                <w:tcPr>
                  <w:tcW w:w="1394" w:type="dxa"/>
                  <w:tcBorders>
                    <w:tl2br w:val="nil"/>
                    <w:tr2bl w:val="nil"/>
                  </w:tcBorders>
                  <w:noWrap w:val="0"/>
                  <w:vAlign w:val="center"/>
                </w:tcPr>
                <w:p w14:paraId="62C182AB">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日最大8小时平均</w:t>
                  </w:r>
                </w:p>
              </w:tc>
              <w:tc>
                <w:tcPr>
                  <w:tcW w:w="2593" w:type="dxa"/>
                  <w:tcBorders>
                    <w:tl2br w:val="nil"/>
                    <w:tr2bl w:val="nil"/>
                  </w:tcBorders>
                  <w:noWrap w:val="0"/>
                  <w:vAlign w:val="center"/>
                </w:tcPr>
                <w:p w14:paraId="4BB10CF2">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160</w:t>
                  </w:r>
                </w:p>
              </w:tc>
              <w:tc>
                <w:tcPr>
                  <w:tcW w:w="2040" w:type="dxa"/>
                  <w:tcBorders>
                    <w:tl2br w:val="nil"/>
                    <w:tr2bl w:val="nil"/>
                  </w:tcBorders>
                  <w:noWrap w:val="0"/>
                  <w:vAlign w:val="center"/>
                </w:tcPr>
                <w:p w14:paraId="63A645D5">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160</w:t>
                  </w:r>
                </w:p>
              </w:tc>
              <w:tc>
                <w:tcPr>
                  <w:tcW w:w="1080" w:type="dxa"/>
                  <w:vMerge w:val="restart"/>
                  <w:tcBorders>
                    <w:tl2br w:val="nil"/>
                    <w:tr2bl w:val="nil"/>
                  </w:tcBorders>
                  <w:noWrap w:val="0"/>
                  <w:vAlign w:val="center"/>
                </w:tcPr>
                <w:p w14:paraId="5438E96E">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μg/m</w:t>
                  </w:r>
                  <w:r>
                    <w:rPr>
                      <w:rFonts w:hint="default" w:ascii="Times New Roman" w:hAnsi="Times New Roman" w:eastAsia="宋体" w:cs="Times New Roman"/>
                      <w:b w:val="0"/>
                      <w:bCs w:val="0"/>
                      <w:color w:val="auto"/>
                      <w:sz w:val="21"/>
                      <w:szCs w:val="21"/>
                      <w:vertAlign w:val="superscript"/>
                    </w:rPr>
                    <w:t>3</w:t>
                  </w:r>
                </w:p>
              </w:tc>
            </w:tr>
            <w:tr w14:paraId="570EA3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continue"/>
                  <w:tcBorders>
                    <w:tl2br w:val="nil"/>
                    <w:tr2bl w:val="nil"/>
                  </w:tcBorders>
                  <w:noWrap w:val="0"/>
                  <w:vAlign w:val="center"/>
                </w:tcPr>
                <w:p w14:paraId="0B8A898D">
                  <w:pPr>
                    <w:keepLines w:val="0"/>
                    <w:pageBreakBefore w:val="0"/>
                    <w:widowControl/>
                    <w:kinsoku/>
                    <w:wordWrap/>
                    <w:topLinePunct w:val="0"/>
                    <w:autoSpaceDE/>
                    <w:autoSpaceDN/>
                    <w:bidi w:val="0"/>
                    <w:adjustRightInd/>
                    <w:spacing w:line="240" w:lineRule="auto"/>
                    <w:jc w:val="center"/>
                    <w:textAlignment w:val="auto"/>
                    <w:rPr>
                      <w:rFonts w:hint="default" w:ascii="Times New Roman" w:hAnsi="Times New Roman" w:eastAsia="宋体" w:cs="Times New Roman"/>
                      <w:color w:val="auto"/>
                      <w:kern w:val="0"/>
                      <w:sz w:val="21"/>
                      <w:szCs w:val="21"/>
                      <w:lang w:bidi="ar"/>
                    </w:rPr>
                  </w:pPr>
                </w:p>
              </w:tc>
              <w:tc>
                <w:tcPr>
                  <w:tcW w:w="1394" w:type="dxa"/>
                  <w:tcBorders>
                    <w:tl2br w:val="nil"/>
                    <w:tr2bl w:val="nil"/>
                  </w:tcBorders>
                  <w:noWrap w:val="0"/>
                  <w:vAlign w:val="center"/>
                </w:tcPr>
                <w:p w14:paraId="38A55285">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1小时平均</w:t>
                  </w:r>
                </w:p>
              </w:tc>
              <w:tc>
                <w:tcPr>
                  <w:tcW w:w="2593" w:type="dxa"/>
                  <w:tcBorders>
                    <w:tl2br w:val="nil"/>
                    <w:tr2bl w:val="nil"/>
                  </w:tcBorders>
                  <w:noWrap w:val="0"/>
                  <w:vAlign w:val="center"/>
                </w:tcPr>
                <w:p w14:paraId="6F2A8CB2">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200</w:t>
                  </w:r>
                </w:p>
              </w:tc>
              <w:tc>
                <w:tcPr>
                  <w:tcW w:w="2040" w:type="dxa"/>
                  <w:tcBorders>
                    <w:tl2br w:val="nil"/>
                    <w:tr2bl w:val="nil"/>
                  </w:tcBorders>
                  <w:noWrap w:val="0"/>
                  <w:vAlign w:val="center"/>
                </w:tcPr>
                <w:p w14:paraId="10788166">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200</w:t>
                  </w:r>
                </w:p>
              </w:tc>
              <w:tc>
                <w:tcPr>
                  <w:tcW w:w="1080" w:type="dxa"/>
                  <w:vMerge w:val="continue"/>
                  <w:tcBorders>
                    <w:tl2br w:val="nil"/>
                    <w:tr2bl w:val="nil"/>
                  </w:tcBorders>
                  <w:noWrap w:val="0"/>
                  <w:vAlign w:val="center"/>
                </w:tcPr>
                <w:p w14:paraId="77F1B8F1">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color w:val="auto"/>
                      <w:sz w:val="21"/>
                      <w:szCs w:val="21"/>
                    </w:rPr>
                  </w:pPr>
                </w:p>
              </w:tc>
            </w:tr>
            <w:tr w14:paraId="07206C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restart"/>
                  <w:tcBorders>
                    <w:tl2br w:val="nil"/>
                    <w:tr2bl w:val="nil"/>
                  </w:tcBorders>
                  <w:noWrap w:val="0"/>
                  <w:vAlign w:val="center"/>
                </w:tcPr>
                <w:p w14:paraId="13FE825A">
                  <w:pPr>
                    <w:keepLines w:val="0"/>
                    <w:pageBreakBefore w:val="0"/>
                    <w:widowControl/>
                    <w:kinsoku/>
                    <w:wordWrap/>
                    <w:topLinePunct w:val="0"/>
                    <w:autoSpaceDE/>
                    <w:autoSpaceDN/>
                    <w:bidi w:val="0"/>
                    <w:adjustRightInd/>
                    <w:spacing w:line="240" w:lineRule="auto"/>
                    <w:jc w:val="center"/>
                    <w:textAlignment w:val="auto"/>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颗粒物（粒径小于等于10μm）</w:t>
                  </w:r>
                </w:p>
              </w:tc>
              <w:tc>
                <w:tcPr>
                  <w:tcW w:w="1394" w:type="dxa"/>
                  <w:tcBorders>
                    <w:tl2br w:val="nil"/>
                    <w:tr2bl w:val="nil"/>
                  </w:tcBorders>
                  <w:noWrap w:val="0"/>
                  <w:vAlign w:val="center"/>
                </w:tcPr>
                <w:p w14:paraId="36D29A16">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年平均</w:t>
                  </w:r>
                </w:p>
              </w:tc>
              <w:tc>
                <w:tcPr>
                  <w:tcW w:w="2593" w:type="dxa"/>
                  <w:tcBorders>
                    <w:tl2br w:val="nil"/>
                    <w:tr2bl w:val="nil"/>
                  </w:tcBorders>
                  <w:noWrap w:val="0"/>
                  <w:vAlign w:val="center"/>
                </w:tcPr>
                <w:p w14:paraId="5B75DF70">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60</w:t>
                  </w:r>
                </w:p>
              </w:tc>
              <w:tc>
                <w:tcPr>
                  <w:tcW w:w="2040" w:type="dxa"/>
                  <w:tcBorders>
                    <w:tl2br w:val="nil"/>
                    <w:tr2bl w:val="nil"/>
                  </w:tcBorders>
                  <w:noWrap w:val="0"/>
                  <w:vAlign w:val="center"/>
                </w:tcPr>
                <w:p w14:paraId="571EE4B9">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50</w:t>
                  </w:r>
                </w:p>
              </w:tc>
              <w:tc>
                <w:tcPr>
                  <w:tcW w:w="1080" w:type="dxa"/>
                  <w:vMerge w:val="continue"/>
                  <w:tcBorders>
                    <w:tl2br w:val="nil"/>
                    <w:tr2bl w:val="nil"/>
                  </w:tcBorders>
                  <w:noWrap w:val="0"/>
                  <w:vAlign w:val="center"/>
                </w:tcPr>
                <w:p w14:paraId="6C113FFE">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color w:val="auto"/>
                      <w:sz w:val="21"/>
                      <w:szCs w:val="21"/>
                    </w:rPr>
                  </w:pPr>
                </w:p>
              </w:tc>
            </w:tr>
            <w:tr w14:paraId="186F19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continue"/>
                  <w:tcBorders>
                    <w:tl2br w:val="nil"/>
                    <w:tr2bl w:val="nil"/>
                  </w:tcBorders>
                  <w:noWrap w:val="0"/>
                  <w:vAlign w:val="center"/>
                </w:tcPr>
                <w:p w14:paraId="573D8895">
                  <w:pPr>
                    <w:keepLines w:val="0"/>
                    <w:pageBreakBefore w:val="0"/>
                    <w:widowControl/>
                    <w:kinsoku/>
                    <w:wordWrap/>
                    <w:topLinePunct w:val="0"/>
                    <w:autoSpaceDE/>
                    <w:autoSpaceDN/>
                    <w:bidi w:val="0"/>
                    <w:adjustRightInd/>
                    <w:spacing w:line="240" w:lineRule="auto"/>
                    <w:jc w:val="center"/>
                    <w:textAlignment w:val="auto"/>
                    <w:rPr>
                      <w:rFonts w:hint="default" w:ascii="Times New Roman" w:hAnsi="Times New Roman" w:eastAsia="宋体" w:cs="Times New Roman"/>
                      <w:color w:val="auto"/>
                      <w:kern w:val="0"/>
                      <w:sz w:val="21"/>
                      <w:szCs w:val="21"/>
                      <w:lang w:bidi="ar"/>
                    </w:rPr>
                  </w:pPr>
                </w:p>
              </w:tc>
              <w:tc>
                <w:tcPr>
                  <w:tcW w:w="1394" w:type="dxa"/>
                  <w:tcBorders>
                    <w:tl2br w:val="nil"/>
                    <w:tr2bl w:val="nil"/>
                  </w:tcBorders>
                  <w:noWrap w:val="0"/>
                  <w:vAlign w:val="center"/>
                </w:tcPr>
                <w:p w14:paraId="28461A7B">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24小时平均</w:t>
                  </w:r>
                </w:p>
              </w:tc>
              <w:tc>
                <w:tcPr>
                  <w:tcW w:w="2593" w:type="dxa"/>
                  <w:tcBorders>
                    <w:tl2br w:val="nil"/>
                    <w:tr2bl w:val="nil"/>
                  </w:tcBorders>
                  <w:noWrap w:val="0"/>
                  <w:vAlign w:val="center"/>
                </w:tcPr>
                <w:p w14:paraId="2B05514C">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120</w:t>
                  </w:r>
                </w:p>
              </w:tc>
              <w:tc>
                <w:tcPr>
                  <w:tcW w:w="2040" w:type="dxa"/>
                  <w:tcBorders>
                    <w:tl2br w:val="nil"/>
                    <w:tr2bl w:val="nil"/>
                  </w:tcBorders>
                  <w:noWrap w:val="0"/>
                  <w:vAlign w:val="center"/>
                </w:tcPr>
                <w:p w14:paraId="5841867F">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100</w:t>
                  </w:r>
                </w:p>
              </w:tc>
              <w:tc>
                <w:tcPr>
                  <w:tcW w:w="1080" w:type="dxa"/>
                  <w:vMerge w:val="continue"/>
                  <w:tcBorders>
                    <w:tl2br w:val="nil"/>
                    <w:tr2bl w:val="nil"/>
                  </w:tcBorders>
                  <w:noWrap w:val="0"/>
                  <w:vAlign w:val="center"/>
                </w:tcPr>
                <w:p w14:paraId="3C103135">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color w:val="auto"/>
                      <w:sz w:val="21"/>
                      <w:szCs w:val="21"/>
                    </w:rPr>
                  </w:pPr>
                </w:p>
              </w:tc>
            </w:tr>
            <w:tr w14:paraId="59C175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restart"/>
                  <w:tcBorders>
                    <w:tl2br w:val="nil"/>
                    <w:tr2bl w:val="nil"/>
                  </w:tcBorders>
                  <w:noWrap w:val="0"/>
                  <w:vAlign w:val="center"/>
                </w:tcPr>
                <w:p w14:paraId="639B5782">
                  <w:pPr>
                    <w:keepLines w:val="0"/>
                    <w:pageBreakBefore w:val="0"/>
                    <w:widowControl/>
                    <w:kinsoku/>
                    <w:wordWrap/>
                    <w:topLinePunct w:val="0"/>
                    <w:autoSpaceDE/>
                    <w:autoSpaceDN/>
                    <w:bidi w:val="0"/>
                    <w:adjustRightInd/>
                    <w:spacing w:line="240" w:lineRule="auto"/>
                    <w:jc w:val="center"/>
                    <w:textAlignment w:val="auto"/>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颗粒物（粒径小于等于2.5μm）</w:t>
                  </w:r>
                </w:p>
              </w:tc>
              <w:tc>
                <w:tcPr>
                  <w:tcW w:w="1394" w:type="dxa"/>
                  <w:tcBorders>
                    <w:tl2br w:val="nil"/>
                    <w:tr2bl w:val="nil"/>
                  </w:tcBorders>
                  <w:noWrap w:val="0"/>
                  <w:vAlign w:val="center"/>
                </w:tcPr>
                <w:p w14:paraId="46AB52F6">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年平均</w:t>
                  </w:r>
                </w:p>
              </w:tc>
              <w:tc>
                <w:tcPr>
                  <w:tcW w:w="2593" w:type="dxa"/>
                  <w:tcBorders>
                    <w:tl2br w:val="nil"/>
                    <w:tr2bl w:val="nil"/>
                  </w:tcBorders>
                  <w:noWrap w:val="0"/>
                  <w:vAlign w:val="center"/>
                </w:tcPr>
                <w:p w14:paraId="0E2DE926">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30</w:t>
                  </w:r>
                </w:p>
              </w:tc>
              <w:tc>
                <w:tcPr>
                  <w:tcW w:w="2040" w:type="dxa"/>
                  <w:tcBorders>
                    <w:tl2br w:val="nil"/>
                    <w:tr2bl w:val="nil"/>
                  </w:tcBorders>
                  <w:noWrap w:val="0"/>
                  <w:vAlign w:val="center"/>
                </w:tcPr>
                <w:p w14:paraId="35E6EB96">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25</w:t>
                  </w:r>
                </w:p>
              </w:tc>
              <w:tc>
                <w:tcPr>
                  <w:tcW w:w="1080" w:type="dxa"/>
                  <w:vMerge w:val="continue"/>
                  <w:tcBorders>
                    <w:tl2br w:val="nil"/>
                    <w:tr2bl w:val="nil"/>
                  </w:tcBorders>
                  <w:noWrap w:val="0"/>
                  <w:vAlign w:val="center"/>
                </w:tcPr>
                <w:p w14:paraId="30DCACD2">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color w:val="auto"/>
                      <w:sz w:val="21"/>
                      <w:szCs w:val="21"/>
                    </w:rPr>
                  </w:pPr>
                </w:p>
              </w:tc>
            </w:tr>
            <w:tr w14:paraId="6A63A0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continue"/>
                  <w:tcBorders>
                    <w:tl2br w:val="nil"/>
                    <w:tr2bl w:val="nil"/>
                  </w:tcBorders>
                  <w:noWrap w:val="0"/>
                  <w:vAlign w:val="center"/>
                </w:tcPr>
                <w:p w14:paraId="08213F46">
                  <w:pPr>
                    <w:keepLines w:val="0"/>
                    <w:pageBreakBefore w:val="0"/>
                    <w:widowControl/>
                    <w:kinsoku/>
                    <w:wordWrap/>
                    <w:topLinePunct w:val="0"/>
                    <w:autoSpaceDE/>
                    <w:autoSpaceDN/>
                    <w:bidi w:val="0"/>
                    <w:adjustRightInd/>
                    <w:spacing w:line="240" w:lineRule="auto"/>
                    <w:jc w:val="center"/>
                    <w:textAlignment w:val="auto"/>
                    <w:rPr>
                      <w:rFonts w:hint="default" w:ascii="Times New Roman" w:hAnsi="Times New Roman" w:eastAsia="宋体" w:cs="Times New Roman"/>
                      <w:color w:val="auto"/>
                      <w:kern w:val="0"/>
                      <w:sz w:val="21"/>
                      <w:szCs w:val="21"/>
                      <w:lang w:bidi="ar"/>
                    </w:rPr>
                  </w:pPr>
                </w:p>
              </w:tc>
              <w:tc>
                <w:tcPr>
                  <w:tcW w:w="1394" w:type="dxa"/>
                  <w:tcBorders>
                    <w:tl2br w:val="nil"/>
                    <w:tr2bl w:val="nil"/>
                  </w:tcBorders>
                  <w:noWrap w:val="0"/>
                  <w:vAlign w:val="center"/>
                </w:tcPr>
                <w:p w14:paraId="2014EEFE">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24小时平均</w:t>
                  </w:r>
                </w:p>
              </w:tc>
              <w:tc>
                <w:tcPr>
                  <w:tcW w:w="2593" w:type="dxa"/>
                  <w:tcBorders>
                    <w:tl2br w:val="nil"/>
                    <w:tr2bl w:val="nil"/>
                  </w:tcBorders>
                  <w:noWrap w:val="0"/>
                  <w:vAlign w:val="center"/>
                </w:tcPr>
                <w:p w14:paraId="6D1DDE3F">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60</w:t>
                  </w:r>
                </w:p>
              </w:tc>
              <w:tc>
                <w:tcPr>
                  <w:tcW w:w="2040" w:type="dxa"/>
                  <w:tcBorders>
                    <w:tl2br w:val="nil"/>
                    <w:tr2bl w:val="nil"/>
                  </w:tcBorders>
                  <w:noWrap w:val="0"/>
                  <w:vAlign w:val="center"/>
                </w:tcPr>
                <w:p w14:paraId="06E12066">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50</w:t>
                  </w:r>
                </w:p>
              </w:tc>
              <w:tc>
                <w:tcPr>
                  <w:tcW w:w="1080" w:type="dxa"/>
                  <w:vMerge w:val="continue"/>
                  <w:tcBorders>
                    <w:tl2br w:val="nil"/>
                    <w:tr2bl w:val="nil"/>
                  </w:tcBorders>
                  <w:noWrap w:val="0"/>
                  <w:vAlign w:val="center"/>
                </w:tcPr>
                <w:p w14:paraId="5539014D">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color w:val="auto"/>
                      <w:sz w:val="21"/>
                      <w:szCs w:val="21"/>
                    </w:rPr>
                  </w:pPr>
                </w:p>
              </w:tc>
            </w:tr>
          </w:tbl>
          <w:p w14:paraId="41725701">
            <w:pPr>
              <w:pStyle w:val="11"/>
              <w:keepNext w:val="0"/>
              <w:keepLines w:val="0"/>
              <w:pageBreakBefore w:val="0"/>
              <w:widowControl/>
              <w:tabs>
                <w:tab w:val="left" w:pos="-2793"/>
              </w:tabs>
              <w:kinsoku/>
              <w:wordWrap/>
              <w:overflowPunct/>
              <w:topLinePunct w:val="0"/>
              <w:autoSpaceDE/>
              <w:autoSpaceDN/>
              <w:bidi w:val="0"/>
              <w:adjustRightInd/>
              <w:snapToGrid w:val="0"/>
              <w:spacing w:before="157" w:beforeLines="50" w:after="0" w:line="240" w:lineRule="auto"/>
              <w:ind w:right="0"/>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rPr>
              <w:t>表3</w:t>
            </w:r>
            <w:r>
              <w:rPr>
                <w:rFonts w:hint="eastAsia" w:ascii="Times New Roman" w:hAnsi="Times New Roman" w:eastAsia="宋体" w:cs="Times New Roman"/>
                <w:b/>
                <w:bCs/>
                <w:color w:val="auto"/>
                <w:sz w:val="24"/>
                <w:szCs w:val="24"/>
                <w:lang w:val="en-US" w:eastAsia="zh-CN"/>
              </w:rPr>
              <w:t>.1</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rPr>
              <w:t xml:space="preserve"> 环境空气</w:t>
            </w:r>
            <w:r>
              <w:rPr>
                <w:rFonts w:hint="default" w:ascii="Times New Roman" w:hAnsi="Times New Roman" w:eastAsia="宋体" w:cs="Times New Roman"/>
                <w:b/>
                <w:bCs/>
                <w:color w:val="auto"/>
                <w:sz w:val="24"/>
                <w:szCs w:val="24"/>
                <w:lang w:val="en-US" w:eastAsia="zh-CN"/>
              </w:rPr>
              <w:t>污染物其他项目浓度限值</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64"/>
              <w:gridCol w:w="1969"/>
              <w:gridCol w:w="3287"/>
              <w:gridCol w:w="1084"/>
            </w:tblGrid>
            <w:tr w14:paraId="52438E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tcBorders>
                    <w:tl2br w:val="nil"/>
                    <w:tr2bl w:val="nil"/>
                  </w:tcBorders>
                  <w:noWrap w:val="0"/>
                  <w:vAlign w:val="center"/>
                </w:tcPr>
                <w:p w14:paraId="2351A259">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污染物项目</w:t>
                  </w:r>
                </w:p>
              </w:tc>
              <w:tc>
                <w:tcPr>
                  <w:tcW w:w="2010" w:type="dxa"/>
                  <w:tcBorders>
                    <w:tl2br w:val="nil"/>
                    <w:tr2bl w:val="nil"/>
                  </w:tcBorders>
                  <w:noWrap w:val="0"/>
                  <w:vAlign w:val="center"/>
                </w:tcPr>
                <w:p w14:paraId="2DB7BC74">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平均时间</w:t>
                  </w:r>
                </w:p>
              </w:tc>
              <w:tc>
                <w:tcPr>
                  <w:tcW w:w="3360" w:type="dxa"/>
                  <w:tcBorders>
                    <w:tl2br w:val="nil"/>
                    <w:tr2bl w:val="nil"/>
                  </w:tcBorders>
                  <w:noWrap w:val="0"/>
                  <w:vAlign w:val="center"/>
                </w:tcPr>
                <w:p w14:paraId="56018361">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rPr>
                  </w:pPr>
                  <w:r>
                    <w:rPr>
                      <w:rFonts w:hint="default" w:ascii="Times New Roman" w:hAnsi="Times New Roman" w:eastAsia="宋体" w:cs="Times New Roman"/>
                      <w:b w:val="0"/>
                      <w:bCs w:val="0"/>
                      <w:color w:val="auto"/>
                      <w:sz w:val="21"/>
                      <w:szCs w:val="21"/>
                      <w:lang w:val="en-US" w:eastAsia="zh-CN"/>
                    </w:rPr>
                    <w:t>浓度限值</w:t>
                  </w:r>
                </w:p>
              </w:tc>
              <w:tc>
                <w:tcPr>
                  <w:tcW w:w="1093" w:type="dxa"/>
                  <w:tcBorders>
                    <w:tl2br w:val="nil"/>
                    <w:tr2bl w:val="nil"/>
                  </w:tcBorders>
                  <w:noWrap w:val="0"/>
                  <w:vAlign w:val="center"/>
                </w:tcPr>
                <w:p w14:paraId="6BCDED72">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单位</w:t>
                  </w:r>
                </w:p>
              </w:tc>
            </w:tr>
            <w:tr w14:paraId="003714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restart"/>
                  <w:tcBorders>
                    <w:tl2br w:val="nil"/>
                    <w:tr2bl w:val="nil"/>
                  </w:tcBorders>
                  <w:noWrap w:val="0"/>
                  <w:vAlign w:val="center"/>
                </w:tcPr>
                <w:p w14:paraId="1073B009">
                  <w:pPr>
                    <w:keepLines w:val="0"/>
                    <w:pageBreakBefore w:val="0"/>
                    <w:widowControl/>
                    <w:kinsoku/>
                    <w:wordWrap/>
                    <w:topLinePunct w:val="0"/>
                    <w:autoSpaceDE/>
                    <w:autoSpaceDN/>
                    <w:bidi w:val="0"/>
                    <w:adjustRightInd/>
                    <w:spacing w:line="240" w:lineRule="auto"/>
                    <w:jc w:val="center"/>
                    <w:textAlignment w:val="auto"/>
                    <w:rPr>
                      <w:rFonts w:hint="default" w:ascii="Times New Roman" w:hAnsi="Times New Roman" w:cs="Times New Roman"/>
                      <w:b w:val="0"/>
                      <w:bCs w:val="0"/>
                      <w:color w:val="auto"/>
                      <w:kern w:val="0"/>
                      <w:szCs w:val="21"/>
                      <w:lang w:bidi="ar"/>
                    </w:rPr>
                  </w:pPr>
                  <w:r>
                    <w:rPr>
                      <w:rFonts w:hint="default" w:ascii="Times New Roman" w:hAnsi="Times New Roman" w:cs="Times New Roman"/>
                      <w:b w:val="0"/>
                      <w:bCs w:val="0"/>
                      <w:color w:val="auto"/>
                      <w:kern w:val="0"/>
                      <w:szCs w:val="21"/>
                      <w:lang w:bidi="ar"/>
                    </w:rPr>
                    <w:t>总悬浮颗粒物（TSP）</w:t>
                  </w:r>
                </w:p>
              </w:tc>
              <w:tc>
                <w:tcPr>
                  <w:tcW w:w="2010" w:type="dxa"/>
                  <w:tcBorders>
                    <w:tl2br w:val="nil"/>
                    <w:tr2bl w:val="nil"/>
                  </w:tcBorders>
                  <w:noWrap w:val="0"/>
                  <w:vAlign w:val="center"/>
                </w:tcPr>
                <w:p w14:paraId="6525C43B">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年平均</w:t>
                  </w:r>
                </w:p>
              </w:tc>
              <w:tc>
                <w:tcPr>
                  <w:tcW w:w="3360" w:type="dxa"/>
                  <w:tcBorders>
                    <w:tl2br w:val="nil"/>
                    <w:tr2bl w:val="nil"/>
                  </w:tcBorders>
                  <w:noWrap w:val="0"/>
                  <w:vAlign w:val="center"/>
                </w:tcPr>
                <w:p w14:paraId="1462EBED">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200</w:t>
                  </w:r>
                </w:p>
              </w:tc>
              <w:tc>
                <w:tcPr>
                  <w:tcW w:w="1093" w:type="dxa"/>
                  <w:vMerge w:val="restart"/>
                  <w:tcBorders>
                    <w:tl2br w:val="nil"/>
                    <w:tr2bl w:val="nil"/>
                  </w:tcBorders>
                  <w:noWrap w:val="0"/>
                  <w:vAlign w:val="center"/>
                </w:tcPr>
                <w:p w14:paraId="47846881">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μg/m</w:t>
                  </w:r>
                  <w:r>
                    <w:rPr>
                      <w:rFonts w:hint="default" w:ascii="Times New Roman" w:hAnsi="Times New Roman" w:eastAsia="宋体" w:cs="Times New Roman"/>
                      <w:b w:val="0"/>
                      <w:bCs w:val="0"/>
                      <w:color w:val="auto"/>
                      <w:sz w:val="21"/>
                      <w:szCs w:val="21"/>
                      <w:vertAlign w:val="superscript"/>
                    </w:rPr>
                    <w:t>3</w:t>
                  </w:r>
                </w:p>
              </w:tc>
            </w:tr>
            <w:tr w14:paraId="55B1EA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continue"/>
                  <w:tcBorders>
                    <w:tl2br w:val="nil"/>
                    <w:tr2bl w:val="nil"/>
                  </w:tcBorders>
                  <w:noWrap w:val="0"/>
                  <w:vAlign w:val="center"/>
                </w:tcPr>
                <w:p w14:paraId="76ABC3F0">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c>
                <w:tcPr>
                  <w:tcW w:w="2010" w:type="dxa"/>
                  <w:tcBorders>
                    <w:tl2br w:val="nil"/>
                    <w:tr2bl w:val="nil"/>
                  </w:tcBorders>
                  <w:noWrap w:val="0"/>
                  <w:vAlign w:val="center"/>
                </w:tcPr>
                <w:p w14:paraId="38C069BE">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24小时平均</w:t>
                  </w:r>
                </w:p>
              </w:tc>
              <w:tc>
                <w:tcPr>
                  <w:tcW w:w="3360" w:type="dxa"/>
                  <w:tcBorders>
                    <w:tl2br w:val="nil"/>
                    <w:tr2bl w:val="nil"/>
                  </w:tcBorders>
                  <w:noWrap w:val="0"/>
                  <w:vAlign w:val="center"/>
                </w:tcPr>
                <w:p w14:paraId="02B08EDC">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300</w:t>
                  </w:r>
                </w:p>
              </w:tc>
              <w:tc>
                <w:tcPr>
                  <w:tcW w:w="1093" w:type="dxa"/>
                  <w:vMerge w:val="continue"/>
                  <w:tcBorders>
                    <w:tl2br w:val="nil"/>
                    <w:tr2bl w:val="nil"/>
                  </w:tcBorders>
                  <w:noWrap w:val="0"/>
                  <w:vAlign w:val="center"/>
                </w:tcPr>
                <w:p w14:paraId="54021B7E">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color w:val="auto"/>
                      <w:sz w:val="21"/>
                      <w:szCs w:val="21"/>
                    </w:rPr>
                  </w:pPr>
                </w:p>
              </w:tc>
            </w:tr>
            <w:tr w14:paraId="10CA2E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restart"/>
                  <w:tcBorders>
                    <w:tl2br w:val="nil"/>
                    <w:tr2bl w:val="nil"/>
                  </w:tcBorders>
                  <w:noWrap w:val="0"/>
                  <w:vAlign w:val="center"/>
                </w:tcPr>
                <w:p w14:paraId="7440B2DC">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氮氧化物（NO</w:t>
                  </w:r>
                  <w:r>
                    <w:rPr>
                      <w:rFonts w:hint="default" w:ascii="Times New Roman" w:hAnsi="Times New Roman" w:eastAsia="宋体" w:cs="Times New Roman"/>
                      <w:b w:val="0"/>
                      <w:bCs w:val="0"/>
                      <w:color w:val="auto"/>
                      <w:sz w:val="21"/>
                      <w:szCs w:val="21"/>
                      <w:vertAlign w:val="subscript"/>
                      <w:lang w:val="en-US" w:eastAsia="zh-CN"/>
                    </w:rPr>
                    <w:t>X</w:t>
                  </w:r>
                  <w:r>
                    <w:rPr>
                      <w:rFonts w:hint="default" w:ascii="Times New Roman" w:hAnsi="Times New Roman" w:eastAsia="宋体" w:cs="Times New Roman"/>
                      <w:b w:val="0"/>
                      <w:bCs w:val="0"/>
                      <w:color w:val="auto"/>
                      <w:sz w:val="21"/>
                      <w:szCs w:val="21"/>
                      <w:lang w:val="en-US" w:eastAsia="zh-CN"/>
                    </w:rPr>
                    <w:t>）</w:t>
                  </w:r>
                </w:p>
                <w:p w14:paraId="4C2570AC">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（以NO</w:t>
                  </w:r>
                  <w:r>
                    <w:rPr>
                      <w:rFonts w:hint="default" w:ascii="Times New Roman" w:hAnsi="Times New Roman" w:eastAsia="宋体" w:cs="Times New Roman"/>
                      <w:b w:val="0"/>
                      <w:bCs w:val="0"/>
                      <w:color w:val="auto"/>
                      <w:sz w:val="21"/>
                      <w:szCs w:val="21"/>
                      <w:vertAlign w:val="subscript"/>
                      <w:lang w:val="en-US" w:eastAsia="zh-CN"/>
                    </w:rPr>
                    <w:t>2</w:t>
                  </w:r>
                  <w:r>
                    <w:rPr>
                      <w:rFonts w:hint="default" w:ascii="Times New Roman" w:hAnsi="Times New Roman" w:eastAsia="宋体" w:cs="Times New Roman"/>
                      <w:b w:val="0"/>
                      <w:bCs w:val="0"/>
                      <w:color w:val="auto"/>
                      <w:sz w:val="21"/>
                      <w:szCs w:val="21"/>
                      <w:lang w:val="en-US" w:eastAsia="zh-CN"/>
                    </w:rPr>
                    <w:t>计）</w:t>
                  </w:r>
                </w:p>
              </w:tc>
              <w:tc>
                <w:tcPr>
                  <w:tcW w:w="2010" w:type="dxa"/>
                  <w:tcBorders>
                    <w:tl2br w:val="nil"/>
                    <w:tr2bl w:val="nil"/>
                  </w:tcBorders>
                  <w:noWrap w:val="0"/>
                  <w:vAlign w:val="center"/>
                </w:tcPr>
                <w:p w14:paraId="321D85DB">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年平均</w:t>
                  </w:r>
                </w:p>
              </w:tc>
              <w:tc>
                <w:tcPr>
                  <w:tcW w:w="3360" w:type="dxa"/>
                  <w:tcBorders>
                    <w:tl2br w:val="nil"/>
                    <w:tr2bl w:val="nil"/>
                  </w:tcBorders>
                  <w:noWrap w:val="0"/>
                  <w:vAlign w:val="center"/>
                </w:tcPr>
                <w:p w14:paraId="5CF2941B">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40</w:t>
                  </w:r>
                  <w:r>
                    <w:rPr>
                      <w:rFonts w:hint="default" w:ascii="Times New Roman" w:hAnsi="Times New Roman" w:eastAsia="宋体" w:cs="Times New Roman"/>
                      <w:b w:val="0"/>
                      <w:bCs w:val="0"/>
                      <w:color w:val="auto"/>
                      <w:sz w:val="21"/>
                      <w:szCs w:val="21"/>
                      <w:vertAlign w:val="superscript"/>
                      <w:lang w:val="en-US" w:eastAsia="zh-CN"/>
                    </w:rPr>
                    <w:t>a</w:t>
                  </w:r>
                </w:p>
              </w:tc>
              <w:tc>
                <w:tcPr>
                  <w:tcW w:w="1093" w:type="dxa"/>
                  <w:vMerge w:val="continue"/>
                  <w:tcBorders>
                    <w:tl2br w:val="nil"/>
                    <w:tr2bl w:val="nil"/>
                  </w:tcBorders>
                  <w:noWrap w:val="0"/>
                  <w:vAlign w:val="center"/>
                </w:tcPr>
                <w:p w14:paraId="3AB820FC">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color w:val="auto"/>
                      <w:sz w:val="21"/>
                      <w:szCs w:val="21"/>
                    </w:rPr>
                  </w:pPr>
                </w:p>
              </w:tc>
            </w:tr>
            <w:tr w14:paraId="75E643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continue"/>
                  <w:tcBorders>
                    <w:tl2br w:val="nil"/>
                    <w:tr2bl w:val="nil"/>
                  </w:tcBorders>
                  <w:noWrap w:val="0"/>
                  <w:vAlign w:val="center"/>
                </w:tcPr>
                <w:p w14:paraId="7D0DAE83">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c>
                <w:tcPr>
                  <w:tcW w:w="2010" w:type="dxa"/>
                  <w:tcBorders>
                    <w:tl2br w:val="nil"/>
                    <w:tr2bl w:val="nil"/>
                  </w:tcBorders>
                  <w:noWrap w:val="0"/>
                  <w:vAlign w:val="center"/>
                </w:tcPr>
                <w:p w14:paraId="40B542AF">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日平均</w:t>
                  </w:r>
                </w:p>
              </w:tc>
              <w:tc>
                <w:tcPr>
                  <w:tcW w:w="3360" w:type="dxa"/>
                  <w:tcBorders>
                    <w:tl2br w:val="nil"/>
                    <w:tr2bl w:val="nil"/>
                  </w:tcBorders>
                  <w:noWrap w:val="0"/>
                  <w:vAlign w:val="center"/>
                </w:tcPr>
                <w:p w14:paraId="0391C98B">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70</w:t>
                  </w:r>
                  <w:r>
                    <w:rPr>
                      <w:rFonts w:hint="default" w:ascii="Times New Roman" w:hAnsi="Times New Roman" w:eastAsia="宋体" w:cs="Times New Roman"/>
                      <w:b w:val="0"/>
                      <w:bCs w:val="0"/>
                      <w:color w:val="auto"/>
                      <w:sz w:val="21"/>
                      <w:szCs w:val="21"/>
                      <w:vertAlign w:val="superscript"/>
                      <w:lang w:val="en-US" w:eastAsia="zh-CN"/>
                    </w:rPr>
                    <w:t>b</w:t>
                  </w:r>
                </w:p>
              </w:tc>
              <w:tc>
                <w:tcPr>
                  <w:tcW w:w="1093" w:type="dxa"/>
                  <w:vMerge w:val="continue"/>
                  <w:tcBorders>
                    <w:tl2br w:val="nil"/>
                    <w:tr2bl w:val="nil"/>
                  </w:tcBorders>
                  <w:noWrap w:val="0"/>
                  <w:vAlign w:val="center"/>
                </w:tcPr>
                <w:p w14:paraId="5374570A">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color w:val="auto"/>
                      <w:sz w:val="21"/>
                      <w:szCs w:val="21"/>
                    </w:rPr>
                  </w:pPr>
                </w:p>
              </w:tc>
            </w:tr>
            <w:tr w14:paraId="227B56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continue"/>
                  <w:tcBorders>
                    <w:tl2br w:val="nil"/>
                    <w:tr2bl w:val="nil"/>
                  </w:tcBorders>
                  <w:noWrap w:val="0"/>
                  <w:vAlign w:val="center"/>
                </w:tcPr>
                <w:p w14:paraId="3F73E2CE">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rPr>
                  </w:pPr>
                </w:p>
              </w:tc>
              <w:tc>
                <w:tcPr>
                  <w:tcW w:w="2010" w:type="dxa"/>
                  <w:tcBorders>
                    <w:tl2br w:val="nil"/>
                    <w:tr2bl w:val="nil"/>
                  </w:tcBorders>
                  <w:noWrap w:val="0"/>
                  <w:vAlign w:val="center"/>
                </w:tcPr>
                <w:p w14:paraId="456DA493">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1小时平均</w:t>
                  </w:r>
                </w:p>
              </w:tc>
              <w:tc>
                <w:tcPr>
                  <w:tcW w:w="3360" w:type="dxa"/>
                  <w:tcBorders>
                    <w:tl2br w:val="nil"/>
                    <w:tr2bl w:val="nil"/>
                  </w:tcBorders>
                  <w:noWrap w:val="0"/>
                  <w:vAlign w:val="center"/>
                </w:tcPr>
                <w:p w14:paraId="75807A4E">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250</w:t>
                  </w:r>
                </w:p>
              </w:tc>
              <w:tc>
                <w:tcPr>
                  <w:tcW w:w="1093" w:type="dxa"/>
                  <w:vMerge w:val="continue"/>
                  <w:tcBorders>
                    <w:tl2br w:val="nil"/>
                    <w:tr2bl w:val="nil"/>
                  </w:tcBorders>
                  <w:noWrap w:val="0"/>
                  <w:vAlign w:val="center"/>
                </w:tcPr>
                <w:p w14:paraId="7971FF39">
                  <w:pPr>
                    <w:pStyle w:val="2"/>
                    <w:keepLines w:val="0"/>
                    <w:pageBreakBefore w:val="0"/>
                    <w:kinsoku/>
                    <w:wordWrap/>
                    <w:topLinePunct w:val="0"/>
                    <w:autoSpaceDE/>
                    <w:autoSpaceDN/>
                    <w:bidi w:val="0"/>
                    <w:adjustRightInd/>
                    <w:spacing w:before="0" w:beforeLines="0" w:after="0" w:afterLines="0" w:line="240" w:lineRule="auto"/>
                    <w:ind w:left="0" w:firstLine="0"/>
                    <w:jc w:val="center"/>
                    <w:textAlignment w:val="auto"/>
                    <w:rPr>
                      <w:rFonts w:hint="default" w:ascii="Times New Roman" w:hAnsi="Times New Roman" w:eastAsia="宋体" w:cs="Times New Roman"/>
                      <w:color w:val="auto"/>
                      <w:sz w:val="21"/>
                      <w:szCs w:val="21"/>
                    </w:rPr>
                  </w:pPr>
                </w:p>
              </w:tc>
            </w:tr>
            <w:tr w14:paraId="4A77BC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57" w:type="dxa"/>
                  <w:gridSpan w:val="4"/>
                  <w:tcBorders>
                    <w:tl2br w:val="nil"/>
                    <w:tr2bl w:val="nil"/>
                  </w:tcBorders>
                  <w:noWrap w:val="0"/>
                  <w:vAlign w:val="center"/>
                </w:tcPr>
                <w:p w14:paraId="32E377F0">
                  <w:pPr>
                    <w:pStyle w:val="2"/>
                    <w:keepNext/>
                    <w:keepLines w:val="0"/>
                    <w:pageBreakBefore w:val="0"/>
                    <w:widowControl w:val="0"/>
                    <w:kinsoku/>
                    <w:wordWrap/>
                    <w:overflowPunct w:val="0"/>
                    <w:topLinePunct w:val="0"/>
                    <w:autoSpaceDE/>
                    <w:autoSpaceDN/>
                    <w:bidi w:val="0"/>
                    <w:adjustRightInd/>
                    <w:snapToGrid w:val="0"/>
                    <w:spacing w:before="0" w:beforeLines="0" w:after="0" w:afterLines="0" w:line="240" w:lineRule="auto"/>
                    <w:ind w:left="0" w:firstLine="0" w:firstLineChars="0"/>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vertAlign w:val="superscript"/>
                      <w:lang w:val="en-US" w:eastAsia="zh-CN"/>
                    </w:rPr>
                    <w:t>a</w:t>
                  </w:r>
                  <w:r>
                    <w:rPr>
                      <w:rFonts w:hint="default" w:ascii="Times New Roman" w:hAnsi="Times New Roman" w:eastAsia="宋体" w:cs="Times New Roman"/>
                      <w:b w:val="0"/>
                      <w:bCs w:val="0"/>
                      <w:color w:val="auto"/>
                      <w:sz w:val="21"/>
                      <w:szCs w:val="21"/>
                      <w:lang w:val="en-US" w:eastAsia="zh-CN"/>
                    </w:rPr>
                    <w:t>2026年3月1日-2030年12月31日，过渡阶段</w:t>
                  </w:r>
                  <w:r>
                    <w:rPr>
                      <w:rFonts w:hint="default" w:ascii="Times New Roman" w:hAnsi="Times New Roman" w:eastAsia="宋体" w:cs="Times New Roman"/>
                      <w:b w:val="0"/>
                      <w:bCs w:val="0"/>
                      <w:color w:val="auto"/>
                      <w:sz w:val="21"/>
                      <w:szCs w:val="21"/>
                    </w:rPr>
                    <w:t>浓度限值</w:t>
                  </w:r>
                  <w:r>
                    <w:rPr>
                      <w:rFonts w:hint="default" w:ascii="Times New Roman" w:hAnsi="Times New Roman" w:eastAsia="宋体" w:cs="Times New Roman"/>
                      <w:b w:val="0"/>
                      <w:bCs w:val="0"/>
                      <w:color w:val="auto"/>
                      <w:sz w:val="21"/>
                      <w:szCs w:val="21"/>
                      <w:lang w:val="en-US" w:eastAsia="zh-CN"/>
                    </w:rPr>
                    <w:t>为50</w:t>
                  </w:r>
                  <w:r>
                    <w:rPr>
                      <w:rFonts w:hint="default" w:ascii="Times New Roman" w:hAnsi="Times New Roman" w:eastAsia="宋体" w:cs="Times New Roman"/>
                      <w:b w:val="0"/>
                      <w:bCs w:val="0"/>
                      <w:color w:val="auto"/>
                      <w:sz w:val="21"/>
                      <w:szCs w:val="21"/>
                    </w:rPr>
                    <w:t>μg/m</w:t>
                  </w:r>
                  <w:r>
                    <w:rPr>
                      <w:rFonts w:hint="default" w:ascii="Times New Roman" w:hAnsi="Times New Roman" w:eastAsia="宋体" w:cs="Times New Roman"/>
                      <w:b w:val="0"/>
                      <w:bCs w:val="0"/>
                      <w:color w:val="auto"/>
                      <w:sz w:val="21"/>
                      <w:szCs w:val="21"/>
                      <w:vertAlign w:val="superscript"/>
                    </w:rPr>
                    <w:t>3</w:t>
                  </w:r>
                </w:p>
                <w:p w14:paraId="1BC4CCC7">
                  <w:pPr>
                    <w:pStyle w:val="2"/>
                    <w:keepNext/>
                    <w:keepLines w:val="0"/>
                    <w:pageBreakBefore w:val="0"/>
                    <w:widowControl w:val="0"/>
                    <w:kinsoku/>
                    <w:wordWrap/>
                    <w:overflowPunct w:val="0"/>
                    <w:topLinePunct w:val="0"/>
                    <w:autoSpaceDE/>
                    <w:autoSpaceDN/>
                    <w:bidi w:val="0"/>
                    <w:adjustRightInd/>
                    <w:snapToGrid w:val="0"/>
                    <w:spacing w:before="0" w:beforeLines="0" w:after="0" w:afterLines="0" w:line="240" w:lineRule="auto"/>
                    <w:ind w:left="0" w:firstLine="0" w:firstLineChars="0"/>
                    <w:jc w:val="both"/>
                    <w:textAlignment w:val="auto"/>
                    <w:rPr>
                      <w:rFonts w:hint="default" w:ascii="Times New Roman" w:hAnsi="Times New Roman" w:cs="Times New Roman"/>
                      <w:color w:val="auto"/>
                      <w:lang w:val="en-US"/>
                    </w:rPr>
                  </w:pPr>
                  <w:r>
                    <w:rPr>
                      <w:rFonts w:hint="default" w:ascii="Times New Roman" w:hAnsi="Times New Roman" w:eastAsia="宋体" w:cs="Times New Roman"/>
                      <w:b w:val="0"/>
                      <w:bCs w:val="0"/>
                      <w:color w:val="auto"/>
                      <w:sz w:val="21"/>
                      <w:szCs w:val="21"/>
                      <w:vertAlign w:val="superscript"/>
                      <w:lang w:val="en-US" w:eastAsia="zh-CN"/>
                    </w:rPr>
                    <w:t>b</w:t>
                  </w:r>
                  <w:r>
                    <w:rPr>
                      <w:rFonts w:hint="default" w:ascii="Times New Roman" w:hAnsi="Times New Roman" w:eastAsia="宋体" w:cs="Times New Roman"/>
                      <w:b w:val="0"/>
                      <w:bCs w:val="0"/>
                      <w:color w:val="auto"/>
                      <w:sz w:val="21"/>
                      <w:szCs w:val="21"/>
                      <w:lang w:val="en-US" w:eastAsia="zh-CN"/>
                    </w:rPr>
                    <w:t>2026年3月1日-2030年12月31日，过渡阶段</w:t>
                  </w:r>
                  <w:r>
                    <w:rPr>
                      <w:rFonts w:hint="default" w:ascii="Times New Roman" w:hAnsi="Times New Roman" w:eastAsia="宋体" w:cs="Times New Roman"/>
                      <w:b w:val="0"/>
                      <w:bCs w:val="0"/>
                      <w:color w:val="auto"/>
                      <w:sz w:val="21"/>
                      <w:szCs w:val="21"/>
                    </w:rPr>
                    <w:t>浓度限值</w:t>
                  </w:r>
                  <w:r>
                    <w:rPr>
                      <w:rFonts w:hint="default" w:ascii="Times New Roman" w:hAnsi="Times New Roman" w:eastAsia="宋体" w:cs="Times New Roman"/>
                      <w:b w:val="0"/>
                      <w:bCs w:val="0"/>
                      <w:color w:val="auto"/>
                      <w:sz w:val="21"/>
                      <w:szCs w:val="21"/>
                      <w:lang w:val="en-US" w:eastAsia="zh-CN"/>
                    </w:rPr>
                    <w:t>为100</w:t>
                  </w:r>
                  <w:r>
                    <w:rPr>
                      <w:rFonts w:hint="default" w:ascii="Times New Roman" w:hAnsi="Times New Roman" w:eastAsia="宋体" w:cs="Times New Roman"/>
                      <w:b w:val="0"/>
                      <w:bCs w:val="0"/>
                      <w:color w:val="auto"/>
                      <w:sz w:val="21"/>
                      <w:szCs w:val="21"/>
                    </w:rPr>
                    <w:t>μg/m</w:t>
                  </w:r>
                  <w:r>
                    <w:rPr>
                      <w:rFonts w:hint="default" w:ascii="Times New Roman" w:hAnsi="Times New Roman" w:eastAsia="宋体" w:cs="Times New Roman"/>
                      <w:b w:val="0"/>
                      <w:bCs w:val="0"/>
                      <w:color w:val="auto"/>
                      <w:sz w:val="21"/>
                      <w:szCs w:val="21"/>
                      <w:vertAlign w:val="superscript"/>
                    </w:rPr>
                    <w:t>3</w:t>
                  </w:r>
                </w:p>
              </w:tc>
            </w:tr>
          </w:tbl>
          <w:p w14:paraId="655977C2">
            <w:pPr>
              <w:pStyle w:val="11"/>
              <w:keepNext w:val="0"/>
              <w:keepLines w:val="0"/>
              <w:pageBreakBefore w:val="0"/>
              <w:widowControl/>
              <w:tabs>
                <w:tab w:val="left" w:pos="-2793"/>
              </w:tabs>
              <w:kinsoku/>
              <w:wordWrap/>
              <w:overflowPunct/>
              <w:topLinePunct w:val="0"/>
              <w:autoSpaceDE/>
              <w:autoSpaceDN/>
              <w:bidi w:val="0"/>
              <w:adjustRightInd/>
              <w:snapToGrid w:val="0"/>
              <w:spacing w:before="157" w:beforeLines="50" w:after="0" w:line="240" w:lineRule="auto"/>
              <w:ind w:right="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表3</w:t>
            </w:r>
            <w:r>
              <w:rPr>
                <w:rFonts w:hint="eastAsia" w:ascii="Times New Roman" w:hAnsi="Times New Roman" w:eastAsia="宋体" w:cs="Times New Roman"/>
                <w:b/>
                <w:bCs/>
                <w:color w:val="auto"/>
                <w:sz w:val="24"/>
                <w:szCs w:val="24"/>
                <w:lang w:val="en-US" w:eastAsia="zh-CN"/>
              </w:rPr>
              <w:t>.1</w:t>
            </w: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val="en-US" w:eastAsia="zh-CN"/>
              </w:rPr>
              <w:t>3</w:t>
            </w:r>
            <w:r>
              <w:rPr>
                <w:rFonts w:hint="default" w:ascii="Times New Roman" w:hAnsi="Times New Roman" w:eastAsia="宋体" w:cs="Times New Roman"/>
                <w:b/>
                <w:bCs/>
                <w:color w:val="auto"/>
                <w:sz w:val="24"/>
                <w:szCs w:val="24"/>
              </w:rPr>
              <w:t xml:space="preserve"> 《大气污染物综合排放标准详解》</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33"/>
              <w:gridCol w:w="1920"/>
              <w:gridCol w:w="4451"/>
            </w:tblGrid>
            <w:tr w14:paraId="640EA8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33" w:type="dxa"/>
                  <w:tcBorders>
                    <w:tl2br w:val="nil"/>
                    <w:tr2bl w:val="nil"/>
                  </w:tcBorders>
                  <w:noWrap w:val="0"/>
                  <w:vAlign w:val="center"/>
                </w:tcPr>
                <w:p w14:paraId="59A4E4D5">
                  <w:pPr>
                    <w:pStyle w:val="12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污染物</w:t>
                  </w:r>
                  <w:r>
                    <w:rPr>
                      <w:rFonts w:hint="default" w:ascii="Times New Roman" w:hAnsi="Times New Roman" w:eastAsia="宋体" w:cs="Times New Roman"/>
                      <w:b w:val="0"/>
                      <w:bCs w:val="0"/>
                      <w:color w:val="auto"/>
                      <w:sz w:val="21"/>
                      <w:szCs w:val="21"/>
                      <w:lang w:val="en-US" w:eastAsia="zh-CN"/>
                    </w:rPr>
                    <w:t>项目</w:t>
                  </w:r>
                </w:p>
              </w:tc>
              <w:tc>
                <w:tcPr>
                  <w:tcW w:w="1920" w:type="dxa"/>
                  <w:tcBorders>
                    <w:tl2br w:val="nil"/>
                    <w:tr2bl w:val="nil"/>
                  </w:tcBorders>
                  <w:noWrap w:val="0"/>
                  <w:vAlign w:val="center"/>
                </w:tcPr>
                <w:p w14:paraId="3855EC60">
                  <w:pPr>
                    <w:pStyle w:val="12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单位</w:t>
                  </w:r>
                </w:p>
              </w:tc>
              <w:tc>
                <w:tcPr>
                  <w:tcW w:w="4451" w:type="dxa"/>
                  <w:tcBorders>
                    <w:tl2br w:val="nil"/>
                    <w:tr2bl w:val="nil"/>
                  </w:tcBorders>
                  <w:noWrap w:val="0"/>
                  <w:vAlign w:val="center"/>
                </w:tcPr>
                <w:p w14:paraId="526255DD">
                  <w:pPr>
                    <w:pStyle w:val="12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浓度限值</w:t>
                  </w:r>
                </w:p>
              </w:tc>
            </w:tr>
            <w:tr w14:paraId="2F7E66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33" w:type="dxa"/>
                  <w:tcBorders>
                    <w:tl2br w:val="nil"/>
                    <w:tr2bl w:val="nil"/>
                  </w:tcBorders>
                  <w:noWrap w:val="0"/>
                  <w:vAlign w:val="center"/>
                </w:tcPr>
                <w:p w14:paraId="06798504">
                  <w:pPr>
                    <w:pStyle w:val="12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非甲烷总烃</w:t>
                  </w:r>
                </w:p>
              </w:tc>
              <w:tc>
                <w:tcPr>
                  <w:tcW w:w="1920" w:type="dxa"/>
                  <w:tcBorders>
                    <w:tl2br w:val="nil"/>
                    <w:tr2bl w:val="nil"/>
                  </w:tcBorders>
                  <w:noWrap w:val="0"/>
                  <w:vAlign w:val="center"/>
                </w:tcPr>
                <w:p w14:paraId="704AB34F">
                  <w:pPr>
                    <w:pStyle w:val="12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mg/m</w:t>
                  </w:r>
                  <w:r>
                    <w:rPr>
                      <w:rFonts w:hint="default" w:ascii="Times New Roman" w:hAnsi="Times New Roman" w:eastAsia="宋体" w:cs="Times New Roman"/>
                      <w:b w:val="0"/>
                      <w:bCs w:val="0"/>
                      <w:color w:val="auto"/>
                      <w:sz w:val="21"/>
                      <w:szCs w:val="21"/>
                      <w:vertAlign w:val="superscript"/>
                    </w:rPr>
                    <w:t>3</w:t>
                  </w:r>
                </w:p>
              </w:tc>
              <w:tc>
                <w:tcPr>
                  <w:tcW w:w="4451" w:type="dxa"/>
                  <w:tcBorders>
                    <w:tl2br w:val="nil"/>
                    <w:tr2bl w:val="nil"/>
                  </w:tcBorders>
                  <w:noWrap w:val="0"/>
                  <w:vAlign w:val="center"/>
                </w:tcPr>
                <w:p w14:paraId="5E7EB382">
                  <w:pPr>
                    <w:pStyle w:val="12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2.0(</w:t>
                  </w:r>
                  <w:r>
                    <w:rPr>
                      <w:rFonts w:hint="eastAsia" w:eastAsia="宋体" w:cs="Times New Roman"/>
                      <w:b w:val="0"/>
                      <w:bCs w:val="0"/>
                      <w:color w:val="auto"/>
                      <w:sz w:val="21"/>
                      <w:szCs w:val="21"/>
                      <w:lang w:val="en-US" w:eastAsia="zh-CN"/>
                    </w:rPr>
                    <w:t>1</w:t>
                  </w:r>
                  <w:r>
                    <w:rPr>
                      <w:rFonts w:hint="default" w:ascii="Times New Roman" w:hAnsi="Times New Roman" w:eastAsia="宋体" w:cs="Times New Roman"/>
                      <w:b w:val="0"/>
                      <w:bCs w:val="0"/>
                      <w:color w:val="auto"/>
                      <w:sz w:val="21"/>
                      <w:szCs w:val="21"/>
                    </w:rPr>
                    <w:t>h)</w:t>
                  </w:r>
                </w:p>
              </w:tc>
            </w:tr>
          </w:tbl>
          <w:p w14:paraId="4F9276ED">
            <w:pPr>
              <w:pStyle w:val="4"/>
              <w:bidi w:val="0"/>
              <w:rPr>
                <w:rFonts w:hint="default"/>
                <w:color w:val="auto"/>
                <w:lang w:val="en-US" w:eastAsia="zh-CN"/>
              </w:rPr>
            </w:pPr>
            <w:r>
              <w:rPr>
                <w:rFonts w:hint="default"/>
                <w:color w:val="auto"/>
                <w:lang w:val="en-US" w:eastAsia="zh-CN"/>
              </w:rPr>
              <w:t>3.1.2大气环境质量现状</w:t>
            </w:r>
          </w:p>
          <w:p w14:paraId="64F838E5">
            <w:pPr>
              <w:pStyle w:val="116"/>
              <w:rPr>
                <w:rFonts w:hint="default"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（1）</w:t>
            </w:r>
            <w:r>
              <w:rPr>
                <w:rFonts w:hint="default" w:ascii="Times New Roman" w:hAnsi="Times New Roman" w:eastAsia="宋体" w:cs="Times New Roman"/>
                <w:color w:val="auto"/>
                <w:sz w:val="24"/>
                <w:szCs w:val="22"/>
                <w:highlight w:val="none"/>
                <w:lang w:val="en-US" w:eastAsia="zh-CN"/>
              </w:rPr>
              <w:t>项目区域现状调查</w:t>
            </w:r>
          </w:p>
          <w:p w14:paraId="21DB8542">
            <w:pPr>
              <w:pStyle w:val="116"/>
              <w:rPr>
                <w:rFonts w:hint="default"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据</w:t>
            </w:r>
            <w:r>
              <w:rPr>
                <w:rFonts w:hint="eastAsia" w:cs="Times New Roman"/>
                <w:color w:val="auto"/>
                <w:sz w:val="24"/>
                <w:szCs w:val="22"/>
                <w:highlight w:val="none"/>
                <w:lang w:val="en-US" w:eastAsia="zh-CN"/>
              </w:rPr>
              <w:t>闽侯县2025年全年空气质量官方数据</w:t>
            </w:r>
            <w:r>
              <w:rPr>
                <w:rFonts w:hint="eastAsia" w:ascii="Times New Roman" w:hAnsi="Times New Roman" w:eastAsia="宋体" w:cs="Times New Roman"/>
                <w:color w:val="auto"/>
                <w:sz w:val="24"/>
                <w:szCs w:val="22"/>
                <w:highlight w:val="none"/>
                <w:lang w:val="en-US" w:eastAsia="zh-CN"/>
              </w:rPr>
              <w:t>，202</w:t>
            </w:r>
            <w:r>
              <w:rPr>
                <w:rFonts w:hint="eastAsia" w:cs="Times New Roman"/>
                <w:color w:val="auto"/>
                <w:sz w:val="24"/>
                <w:szCs w:val="22"/>
                <w:highlight w:val="none"/>
                <w:lang w:val="en-US" w:eastAsia="zh-CN"/>
              </w:rPr>
              <w:t>5</w:t>
            </w:r>
            <w:r>
              <w:rPr>
                <w:rFonts w:hint="eastAsia" w:ascii="Times New Roman" w:hAnsi="Times New Roman" w:eastAsia="宋体" w:cs="Times New Roman"/>
                <w:color w:val="auto"/>
                <w:sz w:val="24"/>
                <w:szCs w:val="22"/>
                <w:highlight w:val="none"/>
                <w:lang w:val="en-US" w:eastAsia="zh-CN"/>
              </w:rPr>
              <w:t>年</w:t>
            </w:r>
            <w:r>
              <w:rPr>
                <w:rFonts w:hint="eastAsia" w:cs="Times New Roman"/>
                <w:color w:val="auto"/>
                <w:sz w:val="24"/>
                <w:szCs w:val="22"/>
                <w:highlight w:val="none"/>
                <w:lang w:val="en-US" w:eastAsia="zh-CN"/>
              </w:rPr>
              <w:t>全年优良天数比例为99.7%，空气质量综合指数2.09～2.15，处于优秀水平，</w:t>
            </w:r>
            <w:r>
              <w:rPr>
                <w:rFonts w:hint="default" w:ascii="Times New Roman" w:hAnsi="Times New Roman" w:eastAsia="宋体" w:cs="Times New Roman"/>
                <w:color w:val="auto"/>
                <w:sz w:val="24"/>
                <w:szCs w:val="24"/>
                <w:highlight w:val="none"/>
              </w:rPr>
              <w:t>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、NO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、CO、O</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2.5</w:t>
            </w:r>
            <w:r>
              <w:rPr>
                <w:rFonts w:hint="default" w:ascii="Times New Roman" w:hAnsi="Times New Roman" w:eastAsia="宋体" w:cs="Times New Roman"/>
                <w:color w:val="auto"/>
                <w:sz w:val="24"/>
                <w:szCs w:val="24"/>
                <w:highlight w:val="none"/>
              </w:rPr>
              <w:t>等6项污染物浓度指标的24小时均值（其中O</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为日最大8小时平</w:t>
            </w:r>
            <w:r>
              <w:rPr>
                <w:rFonts w:hint="default" w:ascii="Times New Roman" w:hAnsi="Times New Roman" w:eastAsia="宋体" w:cs="Times New Roman"/>
                <w:color w:val="auto"/>
                <w:sz w:val="24"/>
                <w:szCs w:val="22"/>
                <w:highlight w:val="none"/>
                <w:lang w:val="en-US" w:eastAsia="zh-CN"/>
              </w:rPr>
              <w:t>均）达到国家环境空气质量标准（GB 3095-20</w:t>
            </w:r>
            <w:r>
              <w:rPr>
                <w:rFonts w:hint="eastAsia" w:cs="Times New Roman"/>
                <w:color w:val="auto"/>
                <w:sz w:val="24"/>
                <w:szCs w:val="22"/>
                <w:highlight w:val="none"/>
                <w:lang w:val="en-US" w:eastAsia="zh-CN"/>
              </w:rPr>
              <w:t>26</w:t>
            </w:r>
            <w:r>
              <w:rPr>
                <w:rFonts w:hint="default" w:ascii="Times New Roman" w:hAnsi="Times New Roman" w:eastAsia="宋体" w:cs="Times New Roman"/>
                <w:color w:val="auto"/>
                <w:sz w:val="24"/>
                <w:szCs w:val="22"/>
                <w:highlight w:val="none"/>
                <w:lang w:val="en-US" w:eastAsia="zh-CN"/>
              </w:rPr>
              <w:t>）一级水平。</w:t>
            </w:r>
          </w:p>
          <w:p w14:paraId="67CA0258">
            <w:pPr>
              <w:pStyle w:val="116"/>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由此可分析，评价区域环境空气质量现状良好，可满足《环境空气质量标准》（GB 3095-2026）二级标准要求，属于达标区域。</w:t>
            </w:r>
          </w:p>
          <w:p w14:paraId="2C1B6E92">
            <w:pPr>
              <w:pStyle w:val="116"/>
              <w:rPr>
                <w:rFonts w:hint="default"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（2）</w:t>
            </w:r>
            <w:r>
              <w:rPr>
                <w:rFonts w:hint="default" w:ascii="Times New Roman" w:hAnsi="Times New Roman" w:eastAsia="宋体" w:cs="Times New Roman"/>
                <w:color w:val="auto"/>
                <w:sz w:val="24"/>
                <w:szCs w:val="22"/>
                <w:highlight w:val="none"/>
                <w:lang w:val="en-US" w:eastAsia="zh-CN"/>
              </w:rPr>
              <w:t>引用资料的有效性分析</w:t>
            </w:r>
          </w:p>
          <w:p w14:paraId="6F1B8A95">
            <w:pPr>
              <w:pStyle w:val="116"/>
              <w:rPr>
                <w:rFonts w:hint="eastAsia"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根据《建设项目环境影响报告表编制技术指南</w:t>
            </w:r>
            <w:r>
              <w:rPr>
                <w:rFonts w:hint="eastAsia" w:ascii="Times New Roman" w:hAnsi="Times New Roman" w:eastAsia="宋体" w:cs="Times New Roman"/>
                <w:color w:val="auto"/>
                <w:sz w:val="24"/>
                <w:szCs w:val="22"/>
                <w:highlight w:val="none"/>
                <w:lang w:val="en-US" w:eastAsia="zh-CN"/>
              </w:rPr>
              <w:t>（</w:t>
            </w:r>
            <w:r>
              <w:rPr>
                <w:rFonts w:hint="default" w:ascii="Times New Roman" w:hAnsi="Times New Roman" w:eastAsia="宋体" w:cs="Times New Roman"/>
                <w:color w:val="auto"/>
                <w:sz w:val="24"/>
                <w:szCs w:val="22"/>
                <w:highlight w:val="none"/>
                <w:lang w:val="en-US" w:eastAsia="zh-CN"/>
              </w:rPr>
              <w:t>污染影响类</w:t>
            </w:r>
            <w:r>
              <w:rPr>
                <w:rFonts w:hint="eastAsia" w:ascii="Times New Roman" w:hAnsi="Times New Roman" w:eastAsia="宋体" w:cs="Times New Roman"/>
                <w:color w:val="auto"/>
                <w:sz w:val="24"/>
                <w:szCs w:val="22"/>
                <w:highlight w:val="none"/>
                <w:lang w:val="en-US" w:eastAsia="zh-CN"/>
              </w:rPr>
              <w:t>）（</w:t>
            </w:r>
            <w:r>
              <w:rPr>
                <w:rFonts w:hint="default" w:ascii="Times New Roman" w:hAnsi="Times New Roman" w:eastAsia="宋体" w:cs="Times New Roman"/>
                <w:color w:val="auto"/>
                <w:sz w:val="24"/>
                <w:szCs w:val="22"/>
                <w:highlight w:val="none"/>
                <w:lang w:val="en-US" w:eastAsia="zh-CN"/>
              </w:rPr>
              <w:t>试行</w:t>
            </w:r>
            <w:r>
              <w:rPr>
                <w:rFonts w:hint="eastAsia" w:ascii="Times New Roman" w:hAnsi="Times New Roman" w:eastAsia="宋体" w:cs="Times New Roman"/>
                <w:color w:val="auto"/>
                <w:sz w:val="24"/>
                <w:szCs w:val="22"/>
                <w:highlight w:val="none"/>
                <w:lang w:val="en-US" w:eastAsia="zh-CN"/>
              </w:rPr>
              <w:t>）</w:t>
            </w:r>
            <w:r>
              <w:rPr>
                <w:rFonts w:hint="default" w:ascii="Times New Roman" w:hAnsi="Times New Roman" w:eastAsia="宋体" w:cs="Times New Roman"/>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w:t>
            </w:r>
            <w:r>
              <w:rPr>
                <w:rFonts w:hint="default" w:ascii="Times New Roman" w:hAnsi="Times New Roman" w:eastAsia="宋体" w:cs="Times New Roman"/>
                <w:color w:val="auto"/>
                <w:sz w:val="24"/>
                <w:szCs w:val="22"/>
                <w:highlight w:val="none"/>
                <w:lang w:val="en-US" w:eastAsia="zh-CN"/>
              </w:rPr>
              <w:t>环办环评〔2020〕33号</w:t>
            </w:r>
            <w:r>
              <w:rPr>
                <w:rFonts w:hint="eastAsia" w:ascii="Times New Roman" w:hAnsi="Times New Roman" w:eastAsia="宋体" w:cs="Times New Roman"/>
                <w:color w:val="auto"/>
                <w:sz w:val="24"/>
                <w:szCs w:val="22"/>
                <w:highlight w:val="none"/>
                <w:lang w:val="en-US" w:eastAsia="zh-CN"/>
              </w:rPr>
              <w:t>）</w:t>
            </w:r>
            <w:r>
              <w:rPr>
                <w:rFonts w:hint="default" w:ascii="Times New Roman" w:hAnsi="Times New Roman" w:eastAsia="宋体" w:cs="Times New Roman"/>
                <w:color w:val="auto"/>
                <w:sz w:val="24"/>
                <w:szCs w:val="22"/>
                <w:highlight w:val="none"/>
                <w:lang w:val="en-US" w:eastAsia="zh-CN"/>
              </w:rPr>
              <w:t>的要求：“大气环境区域环境质量现状常规污染物引用与建设项目距离近的有效数据，包括近3年的规划环境影响评价的监测数据，国家、地方环境空气质量监测网数据或生态环境主管部门公开发布的质量数据等，排放国家、地方环境空气质量标准中有标准限值要求的特征污染物时，引用建设项目周边5千米范围内近3年的现有监测数据”。本评价常规污染因子选取</w:t>
            </w:r>
            <w:r>
              <w:rPr>
                <w:rFonts w:hint="eastAsia" w:ascii="Times New Roman" w:hAnsi="Times New Roman" w:eastAsia="宋体" w:cs="Times New Roman"/>
                <w:color w:val="auto"/>
                <w:sz w:val="24"/>
                <w:szCs w:val="22"/>
                <w:highlight w:val="none"/>
                <w:lang w:val="en-US" w:eastAsia="zh-CN"/>
              </w:rPr>
              <w:t>福州市闽侯县人民政府网址</w:t>
            </w:r>
            <w:r>
              <w:rPr>
                <w:rFonts w:hint="default" w:ascii="Times New Roman" w:hAnsi="Times New Roman" w:eastAsia="宋体" w:cs="Times New Roman"/>
                <w:color w:val="auto"/>
                <w:sz w:val="24"/>
                <w:szCs w:val="22"/>
                <w:highlight w:val="none"/>
                <w:lang w:val="en-US" w:eastAsia="zh-CN"/>
              </w:rPr>
              <w:t>发布的环境空气质量现状信息，符合《建设项目环境影响报告表编制技术指南</w:t>
            </w:r>
            <w:r>
              <w:rPr>
                <w:rFonts w:hint="eastAsia" w:ascii="Times New Roman" w:hAnsi="Times New Roman" w:eastAsia="宋体" w:cs="Times New Roman"/>
                <w:color w:val="auto"/>
                <w:sz w:val="24"/>
                <w:szCs w:val="22"/>
                <w:highlight w:val="none"/>
                <w:lang w:val="en-US" w:eastAsia="zh-CN"/>
              </w:rPr>
              <w:t>（</w:t>
            </w:r>
            <w:r>
              <w:rPr>
                <w:rFonts w:hint="default" w:ascii="Times New Roman" w:hAnsi="Times New Roman" w:eastAsia="宋体" w:cs="Times New Roman"/>
                <w:color w:val="auto"/>
                <w:sz w:val="24"/>
                <w:szCs w:val="22"/>
                <w:highlight w:val="none"/>
                <w:lang w:val="en-US" w:eastAsia="zh-CN"/>
              </w:rPr>
              <w:t>污染影响类</w:t>
            </w:r>
            <w:r>
              <w:rPr>
                <w:rFonts w:hint="eastAsia" w:ascii="Times New Roman" w:hAnsi="Times New Roman" w:eastAsia="宋体" w:cs="Times New Roman"/>
                <w:color w:val="auto"/>
                <w:sz w:val="24"/>
                <w:szCs w:val="22"/>
                <w:highlight w:val="none"/>
                <w:lang w:val="en-US" w:eastAsia="zh-CN"/>
              </w:rPr>
              <w:t>）（</w:t>
            </w:r>
            <w:r>
              <w:rPr>
                <w:rFonts w:hint="default" w:ascii="Times New Roman" w:hAnsi="Times New Roman" w:eastAsia="宋体" w:cs="Times New Roman"/>
                <w:color w:val="auto"/>
                <w:sz w:val="24"/>
                <w:szCs w:val="22"/>
                <w:highlight w:val="none"/>
                <w:lang w:val="en-US" w:eastAsia="zh-CN"/>
              </w:rPr>
              <w:t>试行</w:t>
            </w:r>
            <w:r>
              <w:rPr>
                <w:rFonts w:hint="eastAsia" w:ascii="Times New Roman" w:hAnsi="Times New Roman" w:eastAsia="宋体" w:cs="Times New Roman"/>
                <w:color w:val="auto"/>
                <w:sz w:val="24"/>
                <w:szCs w:val="22"/>
                <w:highlight w:val="none"/>
                <w:lang w:val="en-US" w:eastAsia="zh-CN"/>
              </w:rPr>
              <w:t>）</w:t>
            </w:r>
            <w:r>
              <w:rPr>
                <w:rFonts w:hint="default" w:ascii="Times New Roman" w:hAnsi="Times New Roman" w:eastAsia="宋体" w:cs="Times New Roman"/>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w:t>
            </w:r>
            <w:r>
              <w:rPr>
                <w:rFonts w:hint="default" w:ascii="Times New Roman" w:hAnsi="Times New Roman" w:eastAsia="宋体" w:cs="Times New Roman"/>
                <w:color w:val="auto"/>
                <w:sz w:val="24"/>
                <w:szCs w:val="22"/>
                <w:highlight w:val="none"/>
                <w:lang w:val="en-US" w:eastAsia="zh-CN"/>
              </w:rPr>
              <w:t>环办环评〔2020〕33号</w:t>
            </w:r>
            <w:r>
              <w:rPr>
                <w:rFonts w:hint="eastAsia" w:ascii="Times New Roman" w:hAnsi="Times New Roman" w:eastAsia="宋体" w:cs="Times New Roman"/>
                <w:color w:val="auto"/>
                <w:sz w:val="24"/>
                <w:szCs w:val="22"/>
                <w:highlight w:val="none"/>
                <w:lang w:val="en-US" w:eastAsia="zh-CN"/>
              </w:rPr>
              <w:t>）</w:t>
            </w:r>
            <w:r>
              <w:rPr>
                <w:rFonts w:hint="default" w:ascii="Times New Roman" w:hAnsi="Times New Roman" w:eastAsia="宋体" w:cs="Times New Roman"/>
                <w:color w:val="auto"/>
                <w:sz w:val="24"/>
                <w:szCs w:val="22"/>
                <w:highlight w:val="none"/>
                <w:lang w:val="en-US" w:eastAsia="zh-CN"/>
              </w:rPr>
              <w:t>的要求。</w:t>
            </w:r>
          </w:p>
          <w:p w14:paraId="0731DD4C">
            <w:pPr>
              <w:pStyle w:val="116"/>
              <w:rPr>
                <w:rFonts w:hint="eastAsia"/>
                <w:color w:val="auto"/>
              </w:rPr>
            </w:pPr>
            <w:r>
              <w:rPr>
                <w:rFonts w:hint="eastAsia" w:ascii="Times New Roman" w:hAnsi="Times New Roman" w:eastAsia="宋体" w:cs="Times New Roman"/>
                <w:color w:val="auto"/>
                <w:sz w:val="24"/>
                <w:szCs w:val="22"/>
                <w:highlight w:val="none"/>
                <w:lang w:val="en-US" w:eastAsia="zh-CN"/>
              </w:rPr>
              <w:t>（3）特</w:t>
            </w:r>
            <w:r>
              <w:rPr>
                <w:rFonts w:hint="eastAsia"/>
                <w:color w:val="auto"/>
              </w:rPr>
              <w:t>征污染因子</w:t>
            </w:r>
          </w:p>
          <w:p w14:paraId="1518EF67">
            <w:pPr>
              <w:pStyle w:val="116"/>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根据环境影响评价网（生态环境部环境工程评估中心）（http://www.china-eia.com/xmhp/hpzcbz/202110/t20211020_957221.shtml）于2021年10月20日发布的关于《〈建设项目环境影响报告表〉内容、格式及编制技术指南常见问题解答》一文指出：“技术指南中提到“排放国家、地方环境空气质量标准中有标准限值要求的特征污染物”，其中环境空气质量标准指</w:t>
            </w:r>
            <w:r>
              <w:rPr>
                <w:rFonts w:hint="eastAsia" w:ascii="Times New Roman" w:hAnsi="Times New Roman" w:eastAsia="宋体" w:cs="Times New Roman"/>
                <w:bCs w:val="0"/>
                <w:color w:val="auto"/>
                <w:sz w:val="24"/>
                <w:szCs w:val="22"/>
                <w:highlight w:val="none"/>
                <w:lang w:val="en-US" w:eastAsia="zh-CN"/>
              </w:rPr>
              <w:t>《环境空气质量标准》（GB 3095-2026）</w:t>
            </w:r>
            <w:r>
              <w:rPr>
                <w:rFonts w:hint="eastAsia" w:ascii="Times New Roman" w:hAnsi="Times New Roman" w:eastAsia="宋体" w:cs="Times New Roman"/>
                <w:color w:val="auto"/>
                <w:sz w:val="24"/>
                <w:szCs w:val="22"/>
                <w:highlight w:val="none"/>
                <w:lang w:val="en-US" w:eastAsia="zh-CN"/>
              </w:rPr>
              <w:t>和地方的环境空气质量标准，不包括《环境影响评价技术导则 大气环境》（HJ2.2-2018）附录D、《工业企业设计卫生标准》（TJ36-97）、《前苏联居住区标准》（CH245-71）、《环境影响评价技术导则 制药建设项目》（HJ611-2011）、《大气污染物综合排放标准详解》等导则或参考资料。排放的特征污染物需要在国家、地方环境空气质量标准中有限值要求才涉及现状监测，且优先引用现有监测数据”。</w:t>
            </w:r>
          </w:p>
          <w:p w14:paraId="0EED3524">
            <w:pPr>
              <w:pStyle w:val="116"/>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本项目排放的其他污染物为非甲烷总烃，不属于</w:t>
            </w:r>
            <w:r>
              <w:rPr>
                <w:rFonts w:hint="default" w:ascii="Times New Roman" w:hAnsi="Times New Roman" w:eastAsia="宋体" w:cs="Times New Roman"/>
                <w:color w:val="auto"/>
                <w:sz w:val="24"/>
                <w:szCs w:val="22"/>
                <w:highlight w:val="none"/>
                <w:lang w:val="en-US" w:eastAsia="zh-CN"/>
              </w:rPr>
              <w:t>《环境空气质量标准》（GB3095-2026）</w:t>
            </w:r>
            <w:r>
              <w:rPr>
                <w:rFonts w:hint="eastAsia" w:ascii="Times New Roman" w:hAnsi="Times New Roman" w:eastAsia="宋体" w:cs="Times New Roman"/>
                <w:color w:val="auto"/>
                <w:sz w:val="24"/>
                <w:szCs w:val="22"/>
                <w:highlight w:val="none"/>
                <w:lang w:val="en-US" w:eastAsia="zh-CN"/>
              </w:rPr>
              <w:t>和地方的环境空气质量中有标准限值要求的污染物，因此，不进行现状检测评价。</w:t>
            </w:r>
          </w:p>
          <w:p w14:paraId="130D5FAA">
            <w:pPr>
              <w:pStyle w:val="116"/>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为了了解项目所在区域颗粒物环境质量现状，本次评价引用闽侯县倍特家居有限公司委托安正计量检测有限公司对山前村西南侧约900m的监测数据，监测时间2024年5月25日至28日（检测报告编号：AZJC240524001），符合引用建设项目周边5km范围内近3年的有效监测数据的要求，为有效数据（检测报告见附件</w:t>
            </w:r>
            <w:r>
              <w:rPr>
                <w:rFonts w:hint="eastAsia" w:cs="Times New Roman"/>
                <w:color w:val="auto"/>
                <w:sz w:val="24"/>
                <w:szCs w:val="22"/>
                <w:highlight w:val="none"/>
                <w:lang w:val="en-US" w:eastAsia="zh-CN"/>
              </w:rPr>
              <w:t>12</w:t>
            </w:r>
            <w:r>
              <w:rPr>
                <w:rFonts w:hint="eastAsia" w:ascii="Times New Roman" w:hAnsi="Times New Roman" w:eastAsia="宋体" w:cs="Times New Roman"/>
                <w:color w:val="auto"/>
                <w:sz w:val="24"/>
                <w:szCs w:val="22"/>
                <w:highlight w:val="none"/>
                <w:lang w:val="en-US" w:eastAsia="zh-CN"/>
              </w:rPr>
              <w:t>）。</w:t>
            </w:r>
            <w:r>
              <w:rPr>
                <w:rFonts w:hint="eastAsia" w:cs="Times New Roman"/>
                <w:color w:val="auto"/>
                <w:sz w:val="24"/>
                <w:szCs w:val="22"/>
                <w:highlight w:val="none"/>
                <w:lang w:val="en-US" w:eastAsia="zh-CN"/>
              </w:rPr>
              <w:t>监测点位图如下，</w:t>
            </w:r>
            <w:r>
              <w:rPr>
                <w:rFonts w:hint="eastAsia" w:ascii="Times New Roman" w:hAnsi="Times New Roman" w:eastAsia="宋体" w:cs="Times New Roman"/>
                <w:color w:val="auto"/>
                <w:sz w:val="24"/>
                <w:szCs w:val="22"/>
                <w:highlight w:val="none"/>
                <w:lang w:val="en-US" w:eastAsia="zh-CN"/>
              </w:rPr>
              <w:t>特征污染物环境质量现状结果见表3</w:t>
            </w:r>
            <w:r>
              <w:rPr>
                <w:rFonts w:hint="eastAsia" w:cs="Times New Roman"/>
                <w:color w:val="auto"/>
                <w:sz w:val="24"/>
                <w:szCs w:val="22"/>
                <w:highlight w:val="none"/>
                <w:lang w:val="en-US" w:eastAsia="zh-CN"/>
              </w:rPr>
              <w:t>.1</w:t>
            </w:r>
            <w:r>
              <w:rPr>
                <w:rFonts w:hint="eastAsia" w:ascii="Times New Roman" w:hAnsi="Times New Roman" w:eastAsia="宋体" w:cs="Times New Roman"/>
                <w:color w:val="auto"/>
                <w:sz w:val="24"/>
                <w:szCs w:val="22"/>
                <w:highlight w:val="none"/>
                <w:lang w:val="en-US" w:eastAsia="zh-CN"/>
              </w:rPr>
              <w:t>-</w:t>
            </w:r>
            <w:r>
              <w:rPr>
                <w:rFonts w:hint="eastAsia" w:cs="Times New Roman"/>
                <w:color w:val="auto"/>
                <w:sz w:val="24"/>
                <w:szCs w:val="22"/>
                <w:highlight w:val="none"/>
                <w:lang w:val="en-US" w:eastAsia="zh-CN"/>
              </w:rPr>
              <w:t>2</w:t>
            </w:r>
            <w:r>
              <w:rPr>
                <w:rFonts w:hint="eastAsia" w:ascii="Times New Roman" w:hAnsi="Times New Roman" w:eastAsia="宋体" w:cs="Times New Roman"/>
                <w:color w:val="auto"/>
                <w:sz w:val="24"/>
                <w:szCs w:val="22"/>
                <w:highlight w:val="none"/>
                <w:lang w:val="en-US" w:eastAsia="zh-CN"/>
              </w:rPr>
              <w:t>。</w:t>
            </w:r>
          </w:p>
          <w:p w14:paraId="6BB66E58">
            <w:pPr>
              <w:jc w:val="center"/>
              <w:rPr>
                <w:rFonts w:hint="default"/>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3293110</wp:posOffset>
                      </wp:positionH>
                      <wp:positionV relativeFrom="paragraph">
                        <wp:posOffset>1259840</wp:posOffset>
                      </wp:positionV>
                      <wp:extent cx="914400" cy="292100"/>
                      <wp:effectExtent l="25400" t="6350" r="12700" b="101600"/>
                      <wp:wrapNone/>
                      <wp:docPr id="94" name="矩形标注 94"/>
                      <wp:cNvGraphicFramePr/>
                      <a:graphic xmlns:a="http://schemas.openxmlformats.org/drawingml/2006/main">
                        <a:graphicData uri="http://schemas.microsoft.com/office/word/2010/wordprocessingShape">
                          <wps:wsp>
                            <wps:cNvSpPr/>
                            <wps:spPr>
                              <a:xfrm>
                                <a:off x="5091430" y="8091805"/>
                                <a:ext cx="914400" cy="292100"/>
                              </a:xfrm>
                              <a:prstGeom prst="wedgeRectCallout">
                                <a:avLst>
                                  <a:gd name="adj1" fmla="val -52083"/>
                                  <a:gd name="adj2" fmla="val 80218"/>
                                </a:avLst>
                              </a:prstGeom>
                              <a:noFill/>
                              <a:ln w="12700">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BEA9625">
                                  <w:pPr>
                                    <w:jc w:val="center"/>
                                    <w:rPr>
                                      <w:rFonts w:hint="eastAsia" w:eastAsia="宋体"/>
                                      <w:color w:val="FF0000"/>
                                      <w:lang w:eastAsia="zh-CN"/>
                                    </w:rPr>
                                  </w:pPr>
                                  <w:r>
                                    <w:rPr>
                                      <w:rFonts w:hint="eastAsia"/>
                                      <w:b/>
                                      <w:bCs/>
                                      <w:color w:val="FF0000"/>
                                      <w:lang w:eastAsia="zh-CN"/>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59.3pt;margin-top:99.2pt;height:23pt;width:72pt;z-index:251663360;v-text-anchor:middle;mso-width-relative:page;mso-height-relative:page;" filled="f" stroked="t" coordsize="21600,21600" o:gfxdata="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8SE+N2QAAAAsBAAAPAAAAAAAAAAEAIAAAACIAAABkcnMvZG93bnJldi54&#10;bWxQSwECFAAUAAAACACHTuJAieRvM6QCAAAwBQAADgAAAAAAAAABACAAAAAoAQAAZHJzL2Uyb0Rv&#10;Yy54bWxQSwUGAAAAAAYABgBZAQAAPgYAAAAA&#10;" adj="-450,28127">
                      <v:fill on="f" focussize="0,0"/>
                      <v:stroke weight="1pt" color="#FFFF00 [2404]" joinstyle="round"/>
                      <v:imagedata o:title=""/>
                      <o:lock v:ext="edit" aspectratio="f"/>
                      <v:textbox>
                        <w:txbxContent>
                          <w:p w14:paraId="6BEA9625">
                            <w:pPr>
                              <w:jc w:val="center"/>
                              <w:rPr>
                                <w:rFonts w:hint="eastAsia" w:eastAsia="宋体"/>
                                <w:color w:val="FF0000"/>
                                <w:lang w:eastAsia="zh-CN"/>
                              </w:rPr>
                            </w:pPr>
                            <w:r>
                              <w:rPr>
                                <w:rFonts w:hint="eastAsia"/>
                                <w:b/>
                                <w:bCs/>
                                <w:color w:val="FF0000"/>
                                <w:lang w:eastAsia="zh-CN"/>
                              </w:rPr>
                              <w:t>本项目位置</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2992120</wp:posOffset>
                      </wp:positionH>
                      <wp:positionV relativeFrom="paragraph">
                        <wp:posOffset>1621155</wp:posOffset>
                      </wp:positionV>
                      <wp:extent cx="441960" cy="142875"/>
                      <wp:effectExtent l="12700" t="12700" r="21590" b="15875"/>
                      <wp:wrapNone/>
                      <wp:docPr id="93" name="任意多边形 93"/>
                      <wp:cNvGraphicFramePr/>
                      <a:graphic xmlns:a="http://schemas.openxmlformats.org/drawingml/2006/main">
                        <a:graphicData uri="http://schemas.microsoft.com/office/word/2010/wordprocessingShape">
                          <wps:wsp>
                            <wps:cNvSpPr/>
                            <wps:spPr>
                              <a:xfrm>
                                <a:off x="4220845" y="8309610"/>
                                <a:ext cx="441960" cy="142875"/>
                              </a:xfrm>
                              <a:custGeom>
                                <a:avLst/>
                                <a:gdLst>
                                  <a:gd name="connisteX0" fmla="*/ 0 w 441960"/>
                                  <a:gd name="connsiteY0" fmla="*/ 13335 h 142875"/>
                                  <a:gd name="connisteX1" fmla="*/ 0 w 441960"/>
                                  <a:gd name="connsiteY1" fmla="*/ 129540 h 142875"/>
                                  <a:gd name="connisteX2" fmla="*/ 435610 w 441960"/>
                                  <a:gd name="connsiteY2" fmla="*/ 142875 h 142875"/>
                                  <a:gd name="connisteX3" fmla="*/ 441960 w 441960"/>
                                  <a:gd name="connsiteY3" fmla="*/ 47625 h 142875"/>
                                  <a:gd name="connisteX4" fmla="*/ 340360 w 441960"/>
                                  <a:gd name="connsiteY4" fmla="*/ 54610 h 142875"/>
                                  <a:gd name="connisteX5" fmla="*/ 326390 w 441960"/>
                                  <a:gd name="connsiteY5" fmla="*/ 0 h 142875"/>
                                  <a:gd name="connisteX6" fmla="*/ 0 w 441960"/>
                                  <a:gd name="connsiteY6" fmla="*/ 13335 h 14287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441960" h="142875">
                                    <a:moveTo>
                                      <a:pt x="0" y="13335"/>
                                    </a:moveTo>
                                    <a:lnTo>
                                      <a:pt x="0" y="129540"/>
                                    </a:lnTo>
                                    <a:lnTo>
                                      <a:pt x="435610" y="142875"/>
                                    </a:lnTo>
                                    <a:lnTo>
                                      <a:pt x="441960" y="47625"/>
                                    </a:lnTo>
                                    <a:lnTo>
                                      <a:pt x="340360" y="54610"/>
                                    </a:lnTo>
                                    <a:lnTo>
                                      <a:pt x="326390" y="0"/>
                                    </a:lnTo>
                                    <a:lnTo>
                                      <a:pt x="0" y="13335"/>
                                    </a:lnTo>
                                    <a:close/>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35.6pt;margin-top:127.65pt;height:11.25pt;width:34.8pt;z-index:251662336;mso-width-relative:page;mso-height-relative:page;" filled="f" stroked="t" coordsize="441960,142875" o:gfxdata="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" path="m0,13335l0,129540,435610,142875,441960,47625,340360,54610,326390,0,0,13335xe">
                      <v:path o:connectlocs="0,13335;0,129540;435610,142875;441960,47625;340360,54610;326390,0;0,13335" o:connectangles="0,0,0,0,0,0,0"/>
                      <v:fill on="f" focussize="0,0"/>
                      <v:stroke weight="2pt" color="#FFFF00 [2404]" joinstyle="round"/>
                      <v:imagedata o:title=""/>
                      <o:lock v:ext="edit" aspectratio="f"/>
                    </v:shape>
                  </w:pict>
                </mc:Fallback>
              </mc:AlternateContent>
            </w:r>
            <w:r>
              <w:rPr>
                <w:rFonts w:hint="eastAsia" w:eastAsia="宋体"/>
                <w:color w:val="auto"/>
                <w:lang w:eastAsia="zh-CN"/>
              </w:rPr>
              <w:drawing>
                <wp:anchor distT="0" distB="0" distL="114300" distR="114300" simplePos="0" relativeHeight="251661312" behindDoc="0" locked="0" layoutInCell="1" allowOverlap="1">
                  <wp:simplePos x="0" y="0"/>
                  <wp:positionH relativeFrom="column">
                    <wp:posOffset>591185</wp:posOffset>
                  </wp:positionH>
                  <wp:positionV relativeFrom="paragraph">
                    <wp:posOffset>59690</wp:posOffset>
                  </wp:positionV>
                  <wp:extent cx="577850" cy="733425"/>
                  <wp:effectExtent l="0" t="0" r="12700" b="9525"/>
                  <wp:wrapNone/>
                  <wp:docPr id="72" name="图片 72" descr="4eff616c7858333bca315cc153b0c8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4eff616c7858333bca315cc153b0c86c"/>
                          <pic:cNvPicPr>
                            <a:picLocks noChangeAspect="1"/>
                          </pic:cNvPicPr>
                        </pic:nvPicPr>
                        <pic:blipFill>
                          <a:blip r:embed="rId26"/>
                          <a:stretch>
                            <a:fillRect/>
                          </a:stretch>
                        </pic:blipFill>
                        <pic:spPr>
                          <a:xfrm>
                            <a:off x="0" y="0"/>
                            <a:ext cx="577850" cy="733425"/>
                          </a:xfrm>
                          <a:prstGeom prst="rect">
                            <a:avLst/>
                          </a:prstGeom>
                        </pic:spPr>
                      </pic:pic>
                    </a:graphicData>
                  </a:graphic>
                </wp:anchor>
              </w:drawing>
            </w:r>
            <w:r>
              <w:rPr>
                <w:sz w:val="21"/>
              </w:rPr>
              <mc:AlternateContent>
                <mc:Choice Requires="wps">
                  <w:drawing>
                    <wp:anchor distT="0" distB="0" distL="114300" distR="114300" simplePos="0" relativeHeight="251664384" behindDoc="0" locked="0" layoutInCell="1" allowOverlap="1">
                      <wp:simplePos x="0" y="0"/>
                      <wp:positionH relativeFrom="column">
                        <wp:posOffset>3425825</wp:posOffset>
                      </wp:positionH>
                      <wp:positionV relativeFrom="paragraph">
                        <wp:posOffset>312420</wp:posOffset>
                      </wp:positionV>
                      <wp:extent cx="914400" cy="292100"/>
                      <wp:effectExtent l="25400" t="6350" r="12700" b="101600"/>
                      <wp:wrapNone/>
                      <wp:docPr id="95" name="矩形标注 95"/>
                      <wp:cNvGraphicFramePr/>
                      <a:graphic xmlns:a="http://schemas.openxmlformats.org/drawingml/2006/main">
                        <a:graphicData uri="http://schemas.microsoft.com/office/word/2010/wordprocessingShape">
                          <wps:wsp>
                            <wps:cNvSpPr/>
                            <wps:spPr>
                              <a:xfrm>
                                <a:off x="0" y="0"/>
                                <a:ext cx="914400" cy="292100"/>
                              </a:xfrm>
                              <a:prstGeom prst="wedgeRectCallout">
                                <a:avLst>
                                  <a:gd name="adj1" fmla="val -52083"/>
                                  <a:gd name="adj2" fmla="val 80218"/>
                                </a:avLst>
                              </a:prstGeom>
                              <a:noFill/>
                              <a:ln w="12700">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6A4BC39">
                                  <w:pPr>
                                    <w:jc w:val="center"/>
                                    <w:rPr>
                                      <w:rFonts w:hint="eastAsia" w:eastAsia="宋体"/>
                                      <w:b/>
                                      <w:bCs/>
                                      <w:color w:val="FF0000"/>
                                      <w:lang w:eastAsia="zh-CN"/>
                                    </w:rPr>
                                  </w:pPr>
                                  <w:r>
                                    <w:rPr>
                                      <w:rFonts w:hint="eastAsia"/>
                                      <w:b/>
                                      <w:bCs/>
                                      <w:color w:val="FF0000"/>
                                      <w:lang w:eastAsia="zh-CN"/>
                                    </w:rPr>
                                    <w:t>倍特家居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69.75pt;margin-top:24.6pt;height:23pt;width:72pt;z-index:251664384;v-text-anchor:middle;mso-width-relative:page;mso-height-relative:page;" filled="f" stroked="t" coordsize="21600,21600" o:gfxdata="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Kyte8XaAAAACQEAAA8AAAAAAAAAAQAgAAAAIgAAAGRycy9kb3ducmV2LnhtbFBLAQIUABQA&#10;AAAIAIdO4kBoobSrmQIAACQFAAAOAAAAAAAAAAEAIAAAACkBAABkcnMvZTJvRG9jLnhtbFBLBQYA&#10;AAAABgAGAFkBAAA0BgAAAAA=&#10;" adj="-450,28127">
                      <v:fill on="f" focussize="0,0"/>
                      <v:stroke weight="1pt" color="#FFFF00 [2404]" joinstyle="round"/>
                      <v:imagedata o:title=""/>
                      <o:lock v:ext="edit" aspectratio="f"/>
                      <v:textbox>
                        <w:txbxContent>
                          <w:p w14:paraId="16A4BC39">
                            <w:pPr>
                              <w:jc w:val="center"/>
                              <w:rPr>
                                <w:rFonts w:hint="eastAsia" w:eastAsia="宋体"/>
                                <w:b/>
                                <w:bCs/>
                                <w:color w:val="FF0000"/>
                                <w:lang w:eastAsia="zh-CN"/>
                              </w:rPr>
                            </w:pPr>
                            <w:r>
                              <w:rPr>
                                <w:rFonts w:hint="eastAsia"/>
                                <w:b/>
                                <w:bCs/>
                                <w:color w:val="FF0000"/>
                                <w:lang w:eastAsia="zh-CN"/>
                              </w:rPr>
                              <w:t>倍特家居</w:t>
                            </w:r>
                          </w:p>
                        </w:txbxContent>
                      </v:textbox>
                    </v:shape>
                  </w:pict>
                </mc:Fallback>
              </mc:AlternateContent>
            </w:r>
            <w:r>
              <w:rPr>
                <w:rFonts w:hint="default"/>
                <w:lang w:val="en-US" w:eastAsia="zh-CN"/>
              </w:rPr>
              <w:drawing>
                <wp:inline distT="0" distB="0" distL="114300" distR="114300">
                  <wp:extent cx="4340860" cy="2447925"/>
                  <wp:effectExtent l="0" t="0" r="2540" b="9525"/>
                  <wp:docPr id="21" name="图片 21" descr="1771a6646c17a32581e254176307d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771a6646c17a32581e254176307d12c"/>
                          <pic:cNvPicPr>
                            <a:picLocks noChangeAspect="1"/>
                          </pic:cNvPicPr>
                        </pic:nvPicPr>
                        <pic:blipFill>
                          <a:blip r:embed="rId27"/>
                          <a:stretch>
                            <a:fillRect/>
                          </a:stretch>
                        </pic:blipFill>
                        <pic:spPr>
                          <a:xfrm>
                            <a:off x="0" y="0"/>
                            <a:ext cx="4340860" cy="2447925"/>
                          </a:xfrm>
                          <a:prstGeom prst="rect">
                            <a:avLst/>
                          </a:prstGeom>
                        </pic:spPr>
                      </pic:pic>
                    </a:graphicData>
                  </a:graphic>
                </wp:inline>
              </w:drawing>
            </w:r>
          </w:p>
          <w:p w14:paraId="3EAD5BE5">
            <w:pPr>
              <w:pStyle w:val="116"/>
              <w:adjustRightInd w:val="0"/>
              <w:snapToGrid w:val="0"/>
              <w:spacing w:before="152" w:beforeLines="50" w:line="240" w:lineRule="auto"/>
              <w:jc w:val="center"/>
              <w:rPr>
                <w:rFonts w:hint="eastAsia"/>
                <w:b/>
                <w:color w:val="auto"/>
                <w:szCs w:val="21"/>
                <w:lang w:val="en-US" w:eastAsia="zh-CN"/>
              </w:rPr>
            </w:pPr>
            <w:r>
              <w:rPr>
                <w:rFonts w:hint="eastAsia"/>
                <w:b/>
                <w:color w:val="auto"/>
                <w:szCs w:val="21"/>
                <w:lang w:val="en-US" w:eastAsia="zh-CN"/>
              </w:rPr>
              <w:t>图3.1-1  本项目与引用监测数据点位位置关系图</w:t>
            </w:r>
          </w:p>
          <w:p w14:paraId="75A4A895">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hint="default" w:ascii="Times New Roman" w:hAnsi="Times New Roman" w:eastAsia="宋体" w:cs="Times New Roman"/>
                <w:b/>
                <w:color w:val="auto"/>
                <w:kern w:val="0"/>
                <w:sz w:val="24"/>
                <w:szCs w:val="21"/>
                <w:lang w:val="en-US" w:eastAsia="zh-CN" w:bidi="ar-SA"/>
              </w:rPr>
            </w:pPr>
            <w:r>
              <w:rPr>
                <w:rFonts w:hint="eastAsia" w:ascii="Times New Roman" w:hAnsi="Times New Roman" w:eastAsia="宋体" w:cs="Times New Roman"/>
                <w:b/>
                <w:color w:val="auto"/>
                <w:kern w:val="0"/>
                <w:sz w:val="24"/>
                <w:szCs w:val="21"/>
                <w:lang w:val="en-US" w:eastAsia="zh-CN" w:bidi="ar-SA"/>
              </w:rPr>
              <w:t>表3</w:t>
            </w:r>
            <w:r>
              <w:rPr>
                <w:rFonts w:hint="eastAsia" w:cs="Times New Roman"/>
                <w:b/>
                <w:color w:val="auto"/>
                <w:kern w:val="0"/>
                <w:sz w:val="24"/>
                <w:szCs w:val="21"/>
                <w:lang w:val="en-US" w:eastAsia="zh-CN" w:bidi="ar-SA"/>
              </w:rPr>
              <w:t>.1</w:t>
            </w:r>
            <w:r>
              <w:rPr>
                <w:rFonts w:hint="eastAsia" w:ascii="Times New Roman" w:hAnsi="Times New Roman" w:eastAsia="宋体" w:cs="Times New Roman"/>
                <w:b/>
                <w:color w:val="auto"/>
                <w:kern w:val="0"/>
                <w:sz w:val="24"/>
                <w:szCs w:val="21"/>
                <w:lang w:val="en-US" w:eastAsia="zh-CN" w:bidi="ar-SA"/>
              </w:rPr>
              <w:t>-</w:t>
            </w:r>
            <w:r>
              <w:rPr>
                <w:rFonts w:hint="eastAsia" w:cs="Times New Roman"/>
                <w:b/>
                <w:color w:val="auto"/>
                <w:kern w:val="0"/>
                <w:sz w:val="24"/>
                <w:szCs w:val="21"/>
                <w:lang w:val="en-US" w:eastAsia="zh-CN" w:bidi="ar-SA"/>
              </w:rPr>
              <w:t>2</w:t>
            </w:r>
            <w:r>
              <w:rPr>
                <w:rFonts w:hint="eastAsia" w:ascii="Times New Roman" w:hAnsi="Times New Roman" w:eastAsia="宋体" w:cs="Times New Roman"/>
                <w:b/>
                <w:color w:val="auto"/>
                <w:kern w:val="0"/>
                <w:sz w:val="24"/>
                <w:szCs w:val="21"/>
                <w:lang w:val="en-US" w:eastAsia="zh-CN" w:bidi="ar-SA"/>
              </w:rPr>
              <w:t xml:space="preserve">  特征</w:t>
            </w:r>
            <w:r>
              <w:rPr>
                <w:rFonts w:hint="eastAsia" w:ascii="Times New Roman" w:hAnsi="Times New Roman" w:eastAsia="宋体" w:cs="Times New Roman"/>
                <w:b/>
                <w:color w:val="auto"/>
                <w:kern w:val="0"/>
                <w:sz w:val="24"/>
                <w:szCs w:val="24"/>
                <w:highlight w:val="none"/>
                <w:lang w:val="en-US" w:eastAsia="zh-CN" w:bidi="ar-SA"/>
              </w:rPr>
              <w:t>因子</w:t>
            </w:r>
            <w:r>
              <w:rPr>
                <w:rFonts w:hint="eastAsia" w:ascii="Times New Roman" w:hAnsi="Times New Roman" w:eastAsia="宋体" w:cs="Times New Roman"/>
                <w:b/>
                <w:color w:val="auto"/>
                <w:kern w:val="0"/>
                <w:sz w:val="24"/>
                <w:szCs w:val="21"/>
                <w:lang w:val="en-US" w:eastAsia="zh-CN" w:bidi="ar-SA"/>
              </w:rPr>
              <w:t>现状监测</w:t>
            </w:r>
            <w:r>
              <w:rPr>
                <w:rFonts w:hint="eastAsia" w:cs="Times New Roman"/>
                <w:b/>
                <w:color w:val="auto"/>
                <w:kern w:val="0"/>
                <w:sz w:val="24"/>
                <w:szCs w:val="21"/>
                <w:lang w:val="en-US" w:eastAsia="zh-CN" w:bidi="ar-SA"/>
              </w:rPr>
              <w:t>与评价</w:t>
            </w:r>
            <w:r>
              <w:rPr>
                <w:rFonts w:hint="eastAsia" w:ascii="Times New Roman" w:hAnsi="Times New Roman" w:eastAsia="宋体" w:cs="Times New Roman"/>
                <w:b/>
                <w:color w:val="auto"/>
                <w:kern w:val="0"/>
                <w:sz w:val="24"/>
                <w:szCs w:val="21"/>
                <w:lang w:val="en-US" w:eastAsia="zh-CN" w:bidi="ar-SA"/>
              </w:rPr>
              <w:t>结果</w:t>
            </w:r>
            <w:r>
              <w:rPr>
                <w:rFonts w:hint="eastAsia" w:cs="Times New Roman"/>
                <w:b/>
                <w:color w:val="auto"/>
                <w:kern w:val="0"/>
                <w:sz w:val="24"/>
                <w:szCs w:val="21"/>
                <w:lang w:val="en-US" w:eastAsia="zh-CN" w:bidi="ar-SA"/>
              </w:rPr>
              <w:t xml:space="preserve">  单位 mg/m</w:t>
            </w:r>
            <w:r>
              <w:rPr>
                <w:rFonts w:hint="eastAsia" w:cs="Times New Roman"/>
                <w:b/>
                <w:color w:val="auto"/>
                <w:kern w:val="0"/>
                <w:sz w:val="24"/>
                <w:szCs w:val="21"/>
                <w:vertAlign w:val="superscript"/>
                <w:lang w:val="en-US" w:eastAsia="zh-CN" w:bidi="ar-SA"/>
              </w:rPr>
              <w:t>3</w:t>
            </w:r>
          </w:p>
          <w:tbl>
            <w:tblPr>
              <w:tblStyle w:val="2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0"/>
              <w:gridCol w:w="1119"/>
              <w:gridCol w:w="1425"/>
              <w:gridCol w:w="1561"/>
              <w:gridCol w:w="1509"/>
              <w:gridCol w:w="857"/>
              <w:gridCol w:w="858"/>
            </w:tblGrid>
            <w:tr w14:paraId="20A586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688" w:type="pct"/>
                  <w:tcBorders>
                    <w:tl2br w:val="nil"/>
                    <w:tr2bl w:val="nil"/>
                  </w:tcBorders>
                  <w:noWrap w:val="0"/>
                  <w:vAlign w:val="center"/>
                </w:tcPr>
                <w:p w14:paraId="74AC3481">
                  <w:pPr>
                    <w:pStyle w:val="117"/>
                    <w:bidi w:val="0"/>
                    <w:rPr>
                      <w:rFonts w:hint="default" w:ascii="Times New Roman" w:hAnsi="Times New Roman" w:eastAsia="宋体" w:cs="Times New Roman"/>
                      <w:b w:val="0"/>
                      <w:bCs/>
                      <w:color w:val="auto"/>
                      <w:kern w:val="0"/>
                      <w:sz w:val="21"/>
                      <w:szCs w:val="21"/>
                      <w:vertAlign w:val="baseline"/>
                      <w:lang w:val="en-US" w:eastAsia="zh-CN" w:bidi="ar-SA"/>
                    </w:rPr>
                  </w:pPr>
                  <w:r>
                    <w:rPr>
                      <w:rFonts w:hint="eastAsia" w:cs="Times New Roman"/>
                      <w:b w:val="0"/>
                      <w:bCs/>
                      <w:color w:val="auto"/>
                      <w:kern w:val="0"/>
                      <w:sz w:val="21"/>
                      <w:szCs w:val="21"/>
                      <w:vertAlign w:val="baseline"/>
                      <w:lang w:val="en-US" w:eastAsia="zh-CN" w:bidi="ar-SA"/>
                    </w:rPr>
                    <w:t>监测点位</w:t>
                  </w:r>
                </w:p>
              </w:tc>
              <w:tc>
                <w:tcPr>
                  <w:tcW w:w="658" w:type="pct"/>
                  <w:tcBorders>
                    <w:tl2br w:val="nil"/>
                    <w:tr2bl w:val="nil"/>
                  </w:tcBorders>
                  <w:noWrap w:val="0"/>
                  <w:vAlign w:val="center"/>
                </w:tcPr>
                <w:p w14:paraId="62AC60F6">
                  <w:pPr>
                    <w:pStyle w:val="117"/>
                    <w:bidi w:val="0"/>
                    <w:rPr>
                      <w:rFonts w:hint="default" w:ascii="Times New Roman" w:hAnsi="Times New Roman" w:eastAsia="宋体" w:cs="Times New Roman"/>
                      <w:b w:val="0"/>
                      <w:bCs/>
                      <w:color w:val="auto"/>
                      <w:kern w:val="0"/>
                      <w:sz w:val="21"/>
                      <w:szCs w:val="21"/>
                      <w:vertAlign w:val="baseline"/>
                      <w:lang w:val="en-US" w:eastAsia="zh-CN" w:bidi="ar-SA"/>
                    </w:rPr>
                  </w:pPr>
                  <w:r>
                    <w:rPr>
                      <w:rFonts w:hint="eastAsia" w:cs="Times New Roman"/>
                      <w:b w:val="0"/>
                      <w:bCs/>
                      <w:color w:val="auto"/>
                      <w:kern w:val="0"/>
                      <w:sz w:val="21"/>
                      <w:szCs w:val="21"/>
                      <w:vertAlign w:val="baseline"/>
                      <w:lang w:val="en-US" w:eastAsia="zh-CN" w:bidi="ar-SA"/>
                    </w:rPr>
                    <w:t>监测因子</w:t>
                  </w:r>
                </w:p>
              </w:tc>
              <w:tc>
                <w:tcPr>
                  <w:tcW w:w="838" w:type="pct"/>
                  <w:tcBorders>
                    <w:tl2br w:val="nil"/>
                    <w:tr2bl w:val="nil"/>
                  </w:tcBorders>
                  <w:noWrap w:val="0"/>
                  <w:vAlign w:val="center"/>
                </w:tcPr>
                <w:p w14:paraId="6BAE3B1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评价标准</w:t>
                  </w:r>
                </w:p>
              </w:tc>
              <w:tc>
                <w:tcPr>
                  <w:tcW w:w="918" w:type="pct"/>
                  <w:tcBorders>
                    <w:tl2br w:val="nil"/>
                    <w:tr2bl w:val="nil"/>
                  </w:tcBorders>
                  <w:noWrap w:val="0"/>
                  <w:vAlign w:val="center"/>
                </w:tcPr>
                <w:p w14:paraId="3D15C7C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监测浓度范围</w:t>
                  </w:r>
                </w:p>
              </w:tc>
              <w:tc>
                <w:tcPr>
                  <w:tcW w:w="887" w:type="pct"/>
                  <w:tcBorders>
                    <w:tl2br w:val="nil"/>
                    <w:tr2bl w:val="nil"/>
                  </w:tcBorders>
                  <w:noWrap w:val="0"/>
                  <w:vAlign w:val="center"/>
                </w:tcPr>
                <w:p w14:paraId="4B3596D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最大浓度占</w:t>
                  </w:r>
                </w:p>
                <w:p w14:paraId="120F751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标率%</w:t>
                  </w:r>
                </w:p>
              </w:tc>
              <w:tc>
                <w:tcPr>
                  <w:tcW w:w="504" w:type="pct"/>
                  <w:tcBorders>
                    <w:tl2br w:val="nil"/>
                    <w:tr2bl w:val="nil"/>
                  </w:tcBorders>
                  <w:noWrap w:val="0"/>
                  <w:vAlign w:val="center"/>
                </w:tcPr>
                <w:p w14:paraId="6500226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超标率%</w:t>
                  </w:r>
                </w:p>
              </w:tc>
              <w:tc>
                <w:tcPr>
                  <w:tcW w:w="504" w:type="pct"/>
                  <w:tcBorders>
                    <w:tl2br w:val="nil"/>
                    <w:tr2bl w:val="nil"/>
                  </w:tcBorders>
                  <w:noWrap w:val="0"/>
                  <w:vAlign w:val="center"/>
                </w:tcPr>
                <w:p w14:paraId="25C80ED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达标</w:t>
                  </w:r>
                </w:p>
                <w:p w14:paraId="64A1D15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情况</w:t>
                  </w:r>
                </w:p>
              </w:tc>
            </w:tr>
            <w:tr w14:paraId="386CDB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7" w:hRule="exact"/>
                <w:jc w:val="center"/>
              </w:trPr>
              <w:tc>
                <w:tcPr>
                  <w:tcW w:w="688" w:type="pct"/>
                  <w:tcBorders>
                    <w:tl2br w:val="nil"/>
                    <w:tr2bl w:val="nil"/>
                  </w:tcBorders>
                  <w:noWrap w:val="0"/>
                  <w:vAlign w:val="center"/>
                </w:tcPr>
                <w:p w14:paraId="6573E4F9">
                  <w:pPr>
                    <w:pStyle w:val="117"/>
                    <w:bidi w:val="0"/>
                    <w:rPr>
                      <w:rFonts w:hint="default" w:cs="Times New Roman"/>
                      <w:b w:val="0"/>
                      <w:bCs/>
                      <w:color w:val="auto"/>
                      <w:kern w:val="0"/>
                      <w:sz w:val="21"/>
                      <w:szCs w:val="21"/>
                      <w:vertAlign w:val="baseline"/>
                      <w:lang w:val="en-US" w:eastAsia="zh-CN" w:bidi="ar-SA"/>
                    </w:rPr>
                  </w:pPr>
                  <w:r>
                    <w:rPr>
                      <w:rFonts w:hint="eastAsia" w:cs="Times New Roman"/>
                      <w:b w:val="0"/>
                      <w:bCs/>
                      <w:color w:val="auto"/>
                      <w:kern w:val="0"/>
                      <w:sz w:val="21"/>
                      <w:szCs w:val="21"/>
                      <w:vertAlign w:val="baseline"/>
                      <w:lang w:val="en-US" w:eastAsia="zh-CN" w:bidi="ar-SA"/>
                    </w:rPr>
                    <w:t>山前村西南侧约900mQ1</w:t>
                  </w:r>
                </w:p>
              </w:tc>
              <w:tc>
                <w:tcPr>
                  <w:tcW w:w="658" w:type="pct"/>
                  <w:tcBorders>
                    <w:tl2br w:val="nil"/>
                    <w:tr2bl w:val="nil"/>
                  </w:tcBorders>
                  <w:noWrap w:val="0"/>
                  <w:vAlign w:val="center"/>
                </w:tcPr>
                <w:p w14:paraId="660375AD">
                  <w:pPr>
                    <w:pStyle w:val="117"/>
                    <w:bidi w:val="0"/>
                    <w:rPr>
                      <w:rFonts w:hint="default" w:cs="Times New Roman"/>
                      <w:b w:val="0"/>
                      <w:bCs/>
                      <w:color w:val="auto"/>
                      <w:kern w:val="0"/>
                      <w:sz w:val="21"/>
                      <w:szCs w:val="21"/>
                      <w:vertAlign w:val="baseline"/>
                      <w:lang w:val="en-US" w:eastAsia="zh-CN" w:bidi="ar-SA"/>
                    </w:rPr>
                  </w:pPr>
                  <w:r>
                    <w:rPr>
                      <w:rFonts w:hint="eastAsia" w:cs="Times New Roman"/>
                      <w:b w:val="0"/>
                      <w:bCs/>
                      <w:color w:val="auto"/>
                      <w:kern w:val="0"/>
                      <w:sz w:val="21"/>
                      <w:szCs w:val="21"/>
                      <w:vertAlign w:val="baseline"/>
                      <w:lang w:val="en-US" w:eastAsia="zh-CN" w:bidi="ar-SA"/>
                    </w:rPr>
                    <w:t>TSP</w:t>
                  </w:r>
                </w:p>
              </w:tc>
              <w:tc>
                <w:tcPr>
                  <w:tcW w:w="838" w:type="pct"/>
                  <w:tcBorders>
                    <w:tl2br w:val="nil"/>
                    <w:tr2bl w:val="nil"/>
                  </w:tcBorders>
                  <w:noWrap w:val="0"/>
                  <w:vAlign w:val="center"/>
                </w:tcPr>
                <w:p w14:paraId="706178FF">
                  <w:pPr>
                    <w:pStyle w:val="117"/>
                    <w:bidi w:val="0"/>
                    <w:rPr>
                      <w:rFonts w:hint="default" w:cs="Times New Roman"/>
                      <w:b w:val="0"/>
                      <w:bCs/>
                      <w:color w:val="auto"/>
                      <w:kern w:val="0"/>
                      <w:sz w:val="21"/>
                      <w:szCs w:val="21"/>
                      <w:vertAlign w:val="baseline"/>
                      <w:lang w:val="en-US" w:eastAsia="zh-CN" w:bidi="ar-SA"/>
                    </w:rPr>
                  </w:pPr>
                  <w:r>
                    <w:rPr>
                      <w:rFonts w:hint="eastAsia" w:cs="Times New Roman"/>
                      <w:b w:val="0"/>
                      <w:bCs/>
                      <w:color w:val="auto"/>
                      <w:kern w:val="0"/>
                      <w:sz w:val="21"/>
                      <w:szCs w:val="21"/>
                      <w:vertAlign w:val="baseline"/>
                      <w:lang w:val="en-US" w:eastAsia="zh-CN" w:bidi="ar-SA"/>
                    </w:rPr>
                    <w:t>0.9</w:t>
                  </w:r>
                </w:p>
              </w:tc>
              <w:tc>
                <w:tcPr>
                  <w:tcW w:w="918" w:type="pct"/>
                  <w:tcBorders>
                    <w:tl2br w:val="nil"/>
                    <w:tr2bl w:val="nil"/>
                  </w:tcBorders>
                  <w:noWrap w:val="0"/>
                  <w:vAlign w:val="center"/>
                </w:tcPr>
                <w:p w14:paraId="412A6E7B">
                  <w:pPr>
                    <w:pStyle w:val="117"/>
                    <w:bidi w:val="0"/>
                    <w:rPr>
                      <w:rFonts w:hint="default" w:cs="Times New Roman"/>
                      <w:b w:val="0"/>
                      <w:bCs/>
                      <w:color w:val="auto"/>
                      <w:kern w:val="0"/>
                      <w:sz w:val="21"/>
                      <w:szCs w:val="21"/>
                      <w:vertAlign w:val="baseline"/>
                      <w:lang w:val="en-US" w:eastAsia="zh-CN" w:bidi="ar-SA"/>
                    </w:rPr>
                  </w:pPr>
                  <w:r>
                    <w:rPr>
                      <w:rFonts w:hint="eastAsia" w:cs="Times New Roman"/>
                      <w:b w:val="0"/>
                      <w:bCs/>
                      <w:color w:val="auto"/>
                      <w:kern w:val="0"/>
                      <w:sz w:val="21"/>
                      <w:szCs w:val="21"/>
                      <w:vertAlign w:val="baseline"/>
                      <w:lang w:val="en-US" w:eastAsia="zh-CN" w:bidi="ar-SA"/>
                    </w:rPr>
                    <w:t>0.101～0.111</w:t>
                  </w:r>
                </w:p>
              </w:tc>
              <w:tc>
                <w:tcPr>
                  <w:tcW w:w="887" w:type="pct"/>
                  <w:tcBorders>
                    <w:tl2br w:val="nil"/>
                    <w:tr2bl w:val="nil"/>
                  </w:tcBorders>
                  <w:noWrap w:val="0"/>
                  <w:vAlign w:val="center"/>
                </w:tcPr>
                <w:p w14:paraId="21D4D322">
                  <w:pPr>
                    <w:pStyle w:val="117"/>
                    <w:bidi w:val="0"/>
                    <w:rPr>
                      <w:rFonts w:hint="default" w:cs="Times New Roman"/>
                      <w:b w:val="0"/>
                      <w:bCs/>
                      <w:color w:val="auto"/>
                      <w:kern w:val="0"/>
                      <w:sz w:val="21"/>
                      <w:szCs w:val="21"/>
                      <w:vertAlign w:val="baseline"/>
                      <w:lang w:val="en-US" w:eastAsia="zh-CN" w:bidi="ar-SA"/>
                    </w:rPr>
                  </w:pPr>
                  <w:r>
                    <w:rPr>
                      <w:rFonts w:hint="eastAsia" w:cs="Times New Roman"/>
                      <w:b w:val="0"/>
                      <w:bCs/>
                      <w:color w:val="auto"/>
                      <w:kern w:val="0"/>
                      <w:sz w:val="21"/>
                      <w:szCs w:val="21"/>
                      <w:vertAlign w:val="baseline"/>
                      <w:lang w:val="en-US" w:eastAsia="zh-CN" w:bidi="ar-SA"/>
                    </w:rPr>
                    <w:t>12.3</w:t>
                  </w:r>
                </w:p>
              </w:tc>
              <w:tc>
                <w:tcPr>
                  <w:tcW w:w="504" w:type="pct"/>
                  <w:tcBorders>
                    <w:tl2br w:val="nil"/>
                    <w:tr2bl w:val="nil"/>
                  </w:tcBorders>
                  <w:noWrap w:val="0"/>
                  <w:vAlign w:val="center"/>
                </w:tcPr>
                <w:p w14:paraId="4A746B2E">
                  <w:pPr>
                    <w:pStyle w:val="117"/>
                    <w:bidi w:val="0"/>
                    <w:rPr>
                      <w:rFonts w:hint="default" w:cs="Times New Roman"/>
                      <w:b w:val="0"/>
                      <w:bCs/>
                      <w:color w:val="auto"/>
                      <w:kern w:val="0"/>
                      <w:sz w:val="21"/>
                      <w:szCs w:val="21"/>
                      <w:vertAlign w:val="baseline"/>
                      <w:lang w:val="en-US" w:eastAsia="zh-CN" w:bidi="ar-SA"/>
                    </w:rPr>
                  </w:pPr>
                  <w:r>
                    <w:rPr>
                      <w:rFonts w:hint="eastAsia" w:cs="Times New Roman"/>
                      <w:b w:val="0"/>
                      <w:bCs/>
                      <w:color w:val="auto"/>
                      <w:kern w:val="0"/>
                      <w:sz w:val="21"/>
                      <w:szCs w:val="21"/>
                      <w:vertAlign w:val="baseline"/>
                      <w:lang w:val="en-US" w:eastAsia="zh-CN" w:bidi="ar-SA"/>
                    </w:rPr>
                    <w:t>0</w:t>
                  </w:r>
                </w:p>
              </w:tc>
              <w:tc>
                <w:tcPr>
                  <w:tcW w:w="504" w:type="pct"/>
                  <w:tcBorders>
                    <w:tl2br w:val="nil"/>
                    <w:tr2bl w:val="nil"/>
                  </w:tcBorders>
                  <w:noWrap w:val="0"/>
                  <w:vAlign w:val="center"/>
                </w:tcPr>
                <w:p w14:paraId="34475586">
                  <w:pPr>
                    <w:pStyle w:val="117"/>
                    <w:bidi w:val="0"/>
                    <w:rPr>
                      <w:rFonts w:hint="default" w:cs="Times New Roman"/>
                      <w:b w:val="0"/>
                      <w:bCs/>
                      <w:color w:val="auto"/>
                      <w:kern w:val="0"/>
                      <w:sz w:val="21"/>
                      <w:szCs w:val="21"/>
                      <w:vertAlign w:val="baseline"/>
                      <w:lang w:val="en-US" w:eastAsia="zh-CN" w:bidi="ar-SA"/>
                    </w:rPr>
                  </w:pPr>
                  <w:r>
                    <w:rPr>
                      <w:rFonts w:hint="eastAsia" w:cs="Times New Roman"/>
                      <w:b w:val="0"/>
                      <w:bCs/>
                      <w:color w:val="auto"/>
                      <w:kern w:val="0"/>
                      <w:sz w:val="21"/>
                      <w:szCs w:val="21"/>
                      <w:vertAlign w:val="baseline"/>
                      <w:lang w:val="en-US" w:eastAsia="zh-CN" w:bidi="ar-SA"/>
                    </w:rPr>
                    <w:t>达标</w:t>
                  </w:r>
                </w:p>
              </w:tc>
            </w:tr>
          </w:tbl>
          <w:p w14:paraId="4E57126F">
            <w:pPr>
              <w:pStyle w:val="3"/>
              <w:keepNext/>
              <w:keepLines/>
              <w:pageBreakBefore w:val="0"/>
              <w:widowControl w:val="0"/>
              <w:kinsoku/>
              <w:wordWrap/>
              <w:overflowPunct/>
              <w:topLinePunct w:val="0"/>
              <w:autoSpaceDE/>
              <w:autoSpaceDN/>
              <w:bidi w:val="0"/>
              <w:adjustRightInd/>
              <w:snapToGrid/>
              <w:spacing w:before="20" w:after="20" w:line="360" w:lineRule="auto"/>
              <w:textAlignment w:val="auto"/>
              <w:rPr>
                <w:rFonts w:hint="default" w:ascii="Times New Roman" w:hAnsi="Times New Roman" w:eastAsia="宋体" w:cs="Times New Roman"/>
                <w:color w:val="auto"/>
                <w:sz w:val="30"/>
                <w:szCs w:val="30"/>
                <w:highlight w:val="none"/>
              </w:rPr>
            </w:pPr>
            <w:r>
              <w:rPr>
                <w:rFonts w:hint="default" w:ascii="Times New Roman" w:hAnsi="Times New Roman" w:eastAsia="宋体" w:cs="Times New Roman"/>
                <w:color w:val="auto"/>
                <w:sz w:val="30"/>
                <w:szCs w:val="30"/>
                <w:highlight w:val="none"/>
                <w:lang w:val="en-US" w:eastAsia="zh-CN"/>
              </w:rPr>
              <w:t>3.2</w:t>
            </w:r>
            <w:r>
              <w:rPr>
                <w:rFonts w:hint="default" w:ascii="Times New Roman" w:hAnsi="Times New Roman" w:eastAsia="宋体" w:cs="Times New Roman"/>
                <w:color w:val="auto"/>
                <w:sz w:val="30"/>
                <w:szCs w:val="30"/>
                <w:highlight w:val="none"/>
              </w:rPr>
              <w:t>地表水环境质量现状</w:t>
            </w:r>
          </w:p>
          <w:p w14:paraId="5ADF4437">
            <w:pPr>
              <w:pStyle w:val="4"/>
              <w:bidi w:val="0"/>
              <w:rPr>
                <w:rFonts w:hint="default"/>
                <w:color w:val="auto"/>
                <w:sz w:val="28"/>
                <w:szCs w:val="28"/>
                <w:highlight w:val="none"/>
              </w:rPr>
            </w:pPr>
            <w:r>
              <w:rPr>
                <w:rFonts w:hint="default"/>
                <w:color w:val="auto"/>
                <w:sz w:val="28"/>
                <w:szCs w:val="28"/>
                <w:highlight w:val="none"/>
              </w:rPr>
              <w:t>3.2.1地表水功能区划</w:t>
            </w:r>
          </w:p>
          <w:p w14:paraId="17513352">
            <w:pPr>
              <w:pStyle w:val="116"/>
              <w:rPr>
                <w:rFonts w:hint="default"/>
                <w:color w:val="auto"/>
                <w:lang w:val="en-US" w:eastAsia="zh-CN"/>
              </w:rPr>
            </w:pPr>
            <w:r>
              <w:rPr>
                <w:rFonts w:hint="default"/>
                <w:color w:val="auto"/>
                <w:lang w:val="en-US" w:eastAsia="zh-CN"/>
              </w:rPr>
              <w:t>本项目周边水体</w:t>
            </w:r>
            <w:r>
              <w:rPr>
                <w:rFonts w:hint="eastAsia"/>
                <w:color w:val="auto"/>
                <w:lang w:val="en-US" w:eastAsia="zh-CN"/>
              </w:rPr>
              <w:t>南山溪，属于闽侯内河。</w:t>
            </w:r>
            <w:r>
              <w:rPr>
                <w:rFonts w:hint="default"/>
                <w:color w:val="auto"/>
              </w:rPr>
              <w:t>根据</w:t>
            </w:r>
            <w:r>
              <w:rPr>
                <w:rFonts w:hint="default"/>
                <w:color w:val="auto"/>
                <w:lang w:eastAsia="zh-CN"/>
              </w:rPr>
              <w:t>福州市人民</w:t>
            </w:r>
            <w:r>
              <w:rPr>
                <w:rFonts w:hint="default"/>
                <w:color w:val="auto"/>
              </w:rPr>
              <w:t>政府</w:t>
            </w:r>
            <w:r>
              <w:rPr>
                <w:rFonts w:hint="eastAsia"/>
                <w:color w:val="auto"/>
                <w:lang w:val="en-US" w:eastAsia="zh-CN"/>
              </w:rPr>
              <w:t>闽</w:t>
            </w:r>
            <w:r>
              <w:rPr>
                <w:rFonts w:hint="default"/>
                <w:color w:val="auto"/>
                <w:lang w:eastAsia="zh-CN"/>
              </w:rPr>
              <w:t>政文</w:t>
            </w:r>
            <w:r>
              <w:rPr>
                <w:rFonts w:hint="eastAsia" w:ascii="宋体" w:hAnsi="宋体" w:eastAsia="宋体" w:cs="宋体"/>
                <w:color w:val="auto"/>
                <w:lang w:eastAsia="zh-CN"/>
              </w:rPr>
              <w:t>〔</w:t>
            </w:r>
            <w:r>
              <w:rPr>
                <w:rFonts w:hint="default"/>
                <w:color w:val="auto"/>
              </w:rPr>
              <w:t>2</w:t>
            </w:r>
            <w:r>
              <w:rPr>
                <w:rFonts w:hint="default"/>
                <w:color w:val="auto"/>
                <w:lang w:val="en-US" w:eastAsia="zh-CN"/>
              </w:rPr>
              <w:t>006</w:t>
            </w:r>
            <w:r>
              <w:rPr>
                <w:rFonts w:hint="eastAsia" w:ascii="宋体" w:hAnsi="宋体" w:eastAsia="宋体" w:cs="宋体"/>
                <w:color w:val="auto"/>
                <w:lang w:eastAsia="zh-CN"/>
              </w:rPr>
              <w:t>〕</w:t>
            </w:r>
            <w:r>
              <w:rPr>
                <w:rFonts w:hint="default"/>
                <w:color w:val="auto"/>
                <w:lang w:val="en-US" w:eastAsia="zh-CN"/>
              </w:rPr>
              <w:t>133</w:t>
            </w:r>
            <w:r>
              <w:rPr>
                <w:rFonts w:hint="default"/>
                <w:color w:val="auto"/>
              </w:rPr>
              <w:t>号批准《福州市</w:t>
            </w:r>
            <w:r>
              <w:rPr>
                <w:rFonts w:hint="default"/>
                <w:color w:val="auto"/>
                <w:lang w:eastAsia="zh-CN"/>
              </w:rPr>
              <w:t>地表水环境</w:t>
            </w:r>
            <w:r>
              <w:rPr>
                <w:rFonts w:hint="default"/>
                <w:color w:val="auto"/>
              </w:rPr>
              <w:t>功能区</w:t>
            </w:r>
            <w:r>
              <w:rPr>
                <w:rFonts w:hint="default"/>
                <w:color w:val="auto"/>
                <w:lang w:val="en-US" w:eastAsia="zh-CN"/>
              </w:rPr>
              <w:t>划定方案》，</w:t>
            </w:r>
            <w:r>
              <w:rPr>
                <w:rFonts w:hint="eastAsia"/>
                <w:color w:val="auto"/>
                <w:lang w:val="en-US" w:eastAsia="zh-CN"/>
              </w:rPr>
              <w:t>“</w:t>
            </w:r>
            <w:r>
              <w:rPr>
                <w:rFonts w:hint="default"/>
                <w:color w:val="auto"/>
                <w:lang w:val="en-US" w:eastAsia="zh-CN"/>
              </w:rPr>
              <w:t>闽江</w:t>
            </w:r>
            <w:r>
              <w:rPr>
                <w:rFonts w:hint="eastAsia" w:ascii="宋体" w:hAnsi="宋体" w:eastAsia="宋体" w:cs="宋体"/>
                <w:color w:val="auto"/>
                <w:lang w:val="en-US" w:eastAsia="zh-CN"/>
              </w:rPr>
              <w:t>－</w:t>
            </w:r>
            <w:r>
              <w:rPr>
                <w:rFonts w:hint="eastAsia"/>
                <w:color w:val="auto"/>
                <w:lang w:val="en-US" w:eastAsia="zh-CN"/>
              </w:rPr>
              <w:t>闽侯内河</w:t>
            </w:r>
            <w:r>
              <w:rPr>
                <w:rFonts w:hint="eastAsia" w:ascii="宋体" w:hAnsi="宋体" w:eastAsia="宋体" w:cs="宋体"/>
                <w:color w:val="auto"/>
                <w:lang w:val="en-US" w:eastAsia="zh-CN"/>
              </w:rPr>
              <w:t>－</w:t>
            </w:r>
            <w:r>
              <w:rPr>
                <w:rFonts w:hint="eastAsia"/>
                <w:color w:val="auto"/>
                <w:lang w:val="en-US" w:eastAsia="zh-CN"/>
              </w:rPr>
              <w:t>全河段”水体主要</w:t>
            </w:r>
            <w:r>
              <w:rPr>
                <w:rFonts w:hint="default"/>
                <w:color w:val="auto"/>
                <w:lang w:val="en-US" w:eastAsia="zh-CN"/>
              </w:rPr>
              <w:t>功能</w:t>
            </w:r>
            <w:r>
              <w:rPr>
                <w:rFonts w:hint="eastAsia"/>
                <w:color w:val="auto"/>
                <w:lang w:val="en-US" w:eastAsia="zh-CN"/>
              </w:rPr>
              <w:t>为</w:t>
            </w:r>
            <w:r>
              <w:rPr>
                <w:rFonts w:hint="default"/>
                <w:color w:val="auto"/>
                <w:lang w:val="en-US" w:eastAsia="zh-CN"/>
              </w:rPr>
              <w:t>一般景观用水</w:t>
            </w:r>
            <w:r>
              <w:rPr>
                <w:rFonts w:hint="default"/>
                <w:color w:val="auto"/>
                <w:lang w:eastAsia="zh-CN"/>
              </w:rPr>
              <w:t>，</w:t>
            </w:r>
            <w:r>
              <w:rPr>
                <w:rFonts w:hint="eastAsia"/>
                <w:color w:val="auto"/>
                <w:lang w:val="en-US" w:eastAsia="zh-CN"/>
              </w:rPr>
              <w:t>环境功能类别</w:t>
            </w:r>
            <w:r>
              <w:rPr>
                <w:rFonts w:hint="default"/>
                <w:color w:val="auto"/>
                <w:lang w:val="en-US" w:eastAsia="zh-CN"/>
              </w:rPr>
              <w:t>为Ⅴ类，水质执行《地表水环境质量标准》</w:t>
            </w:r>
            <w:r>
              <w:rPr>
                <w:rFonts w:hint="eastAsia"/>
                <w:color w:val="auto"/>
                <w:lang w:val="en-US" w:eastAsia="zh-CN"/>
              </w:rPr>
              <w:t>（</w:t>
            </w:r>
            <w:r>
              <w:rPr>
                <w:rFonts w:hint="default"/>
                <w:color w:val="auto"/>
                <w:lang w:val="en-US" w:eastAsia="zh-CN"/>
              </w:rPr>
              <w:t>GB3838-2002</w:t>
            </w:r>
            <w:r>
              <w:rPr>
                <w:rFonts w:hint="eastAsia"/>
                <w:color w:val="auto"/>
                <w:lang w:val="en-US" w:eastAsia="zh-CN"/>
              </w:rPr>
              <w:t>）</w:t>
            </w:r>
            <w:r>
              <w:rPr>
                <w:rFonts w:hint="default"/>
                <w:color w:val="auto"/>
                <w:lang w:val="en-US" w:eastAsia="zh-CN"/>
              </w:rPr>
              <w:t>中Ⅴ类标准，详见表3.2-1。</w:t>
            </w:r>
          </w:p>
          <w:p w14:paraId="64CCE466">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hint="default" w:ascii="Times New Roman" w:hAnsi="Times New Roman" w:eastAsia="宋体" w:cs="Times New Roman"/>
                <w:b/>
                <w:color w:val="auto"/>
                <w:kern w:val="0"/>
                <w:sz w:val="24"/>
                <w:szCs w:val="24"/>
                <w:highlight w:val="none"/>
                <w:lang w:val="en-US" w:eastAsia="zh-CN" w:bidi="ar-SA"/>
              </w:rPr>
            </w:pPr>
            <w:r>
              <w:rPr>
                <w:rFonts w:hint="default" w:ascii="Times New Roman" w:hAnsi="Times New Roman" w:eastAsia="宋体" w:cs="Times New Roman"/>
                <w:b/>
                <w:color w:val="auto"/>
                <w:kern w:val="0"/>
                <w:sz w:val="24"/>
                <w:szCs w:val="24"/>
                <w:highlight w:val="none"/>
                <w:lang w:val="en-US" w:eastAsia="zh-CN" w:bidi="ar-SA"/>
              </w:rPr>
              <w:t>表3.2-1 地表水环境质量标准</w:t>
            </w:r>
            <w:r>
              <w:rPr>
                <w:rFonts w:hint="eastAsia" w:cs="Times New Roman"/>
                <w:b/>
                <w:color w:val="auto"/>
                <w:kern w:val="0"/>
                <w:sz w:val="24"/>
                <w:szCs w:val="24"/>
                <w:highlight w:val="none"/>
                <w:lang w:val="en-US" w:eastAsia="zh-CN" w:bidi="ar-SA"/>
              </w:rPr>
              <w:t>（</w:t>
            </w:r>
            <w:r>
              <w:rPr>
                <w:rFonts w:hint="default" w:ascii="Times New Roman" w:hAnsi="Times New Roman" w:eastAsia="宋体" w:cs="Times New Roman"/>
                <w:b/>
                <w:color w:val="auto"/>
                <w:kern w:val="0"/>
                <w:sz w:val="24"/>
                <w:szCs w:val="24"/>
                <w:highlight w:val="none"/>
                <w:lang w:val="en-US" w:eastAsia="zh-CN" w:bidi="ar-SA"/>
              </w:rPr>
              <w:t>GB3838-2002</w:t>
            </w:r>
            <w:r>
              <w:rPr>
                <w:rFonts w:hint="eastAsia" w:cs="Times New Roman"/>
                <w:b/>
                <w:color w:val="auto"/>
                <w:kern w:val="0"/>
                <w:sz w:val="24"/>
                <w:szCs w:val="24"/>
                <w:highlight w:val="none"/>
                <w:lang w:val="en-US" w:eastAsia="zh-CN" w:bidi="ar-SA"/>
              </w:rPr>
              <w:t>）（</w:t>
            </w:r>
            <w:r>
              <w:rPr>
                <w:rFonts w:hint="default" w:ascii="Times New Roman" w:hAnsi="Times New Roman" w:eastAsia="宋体" w:cs="Times New Roman"/>
                <w:b/>
                <w:color w:val="auto"/>
                <w:kern w:val="0"/>
                <w:sz w:val="24"/>
                <w:szCs w:val="24"/>
                <w:highlight w:val="none"/>
                <w:lang w:val="en-US" w:eastAsia="zh-CN" w:bidi="ar-SA"/>
              </w:rPr>
              <w:t>摘录</w:t>
            </w:r>
            <w:r>
              <w:rPr>
                <w:rFonts w:hint="eastAsia" w:cs="Times New Roman"/>
                <w:b/>
                <w:color w:val="auto"/>
                <w:kern w:val="0"/>
                <w:sz w:val="24"/>
                <w:szCs w:val="24"/>
                <w:highlight w:val="none"/>
                <w:lang w:val="en-US" w:eastAsia="zh-CN" w:bidi="ar-SA"/>
              </w:rPr>
              <w:t>）</w:t>
            </w:r>
            <w:r>
              <w:rPr>
                <w:rFonts w:hint="default" w:ascii="Times New Roman" w:hAnsi="Times New Roman" w:eastAsia="宋体" w:cs="Times New Roman"/>
                <w:b/>
                <w:color w:val="auto"/>
                <w:kern w:val="0"/>
                <w:sz w:val="24"/>
                <w:szCs w:val="24"/>
                <w:highlight w:val="none"/>
                <w:lang w:val="en-US" w:eastAsia="zh-CN" w:bidi="ar-SA"/>
              </w:rPr>
              <w:t xml:space="preserve">  单位：mg/L(pH除外)</w:t>
            </w:r>
          </w:p>
          <w:tbl>
            <w:tblPr>
              <w:tblStyle w:val="23"/>
              <w:tblW w:w="0" w:type="auto"/>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978"/>
              <w:gridCol w:w="2506"/>
              <w:gridCol w:w="1290"/>
              <w:gridCol w:w="1246"/>
              <w:gridCol w:w="1208"/>
              <w:gridCol w:w="1215"/>
            </w:tblGrid>
            <w:tr w14:paraId="361A32E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978" w:type="dxa"/>
                  <w:shd w:val="clear" w:color="auto" w:fill="auto"/>
                  <w:noWrap w:val="0"/>
                  <w:vAlign w:val="center"/>
                </w:tcPr>
                <w:p w14:paraId="00DF3939">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序号</w:t>
                  </w:r>
                </w:p>
              </w:tc>
              <w:tc>
                <w:tcPr>
                  <w:tcW w:w="2506" w:type="dxa"/>
                  <w:shd w:val="clear" w:color="auto" w:fill="auto"/>
                  <w:noWrap w:val="0"/>
                  <w:vAlign w:val="center"/>
                </w:tcPr>
                <w:p w14:paraId="475A6285">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项目</w:t>
                  </w:r>
                </w:p>
              </w:tc>
              <w:tc>
                <w:tcPr>
                  <w:tcW w:w="1290" w:type="dxa"/>
                  <w:shd w:val="clear" w:color="auto" w:fill="auto"/>
                  <w:noWrap w:val="0"/>
                  <w:vAlign w:val="center"/>
                </w:tcPr>
                <w:p w14:paraId="628849D0">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Ⅱ类</w:t>
                  </w:r>
                </w:p>
              </w:tc>
              <w:tc>
                <w:tcPr>
                  <w:tcW w:w="1246" w:type="dxa"/>
                  <w:shd w:val="clear" w:color="auto" w:fill="auto"/>
                  <w:noWrap w:val="0"/>
                  <w:vAlign w:val="center"/>
                </w:tcPr>
                <w:p w14:paraId="0ABE4965">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Ⅲ类</w:t>
                  </w:r>
                </w:p>
              </w:tc>
              <w:tc>
                <w:tcPr>
                  <w:tcW w:w="1208" w:type="dxa"/>
                  <w:shd w:val="clear" w:color="auto" w:fill="auto"/>
                  <w:noWrap w:val="0"/>
                  <w:vAlign w:val="center"/>
                </w:tcPr>
                <w:p w14:paraId="7B2B62B9">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Ⅳ类</w:t>
                  </w:r>
                </w:p>
              </w:tc>
              <w:tc>
                <w:tcPr>
                  <w:tcW w:w="1215" w:type="dxa"/>
                  <w:shd w:val="clear" w:color="auto" w:fill="D7D7D7" w:themeFill="background1" w:themeFillShade="D8"/>
                  <w:noWrap w:val="0"/>
                  <w:vAlign w:val="center"/>
                </w:tcPr>
                <w:p w14:paraId="35669B53">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Ⅴ类</w:t>
                  </w:r>
                </w:p>
              </w:tc>
            </w:tr>
            <w:tr w14:paraId="071ED54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978" w:type="dxa"/>
                  <w:shd w:val="clear" w:color="auto" w:fill="auto"/>
                  <w:noWrap w:val="0"/>
                  <w:vAlign w:val="center"/>
                </w:tcPr>
                <w:p w14:paraId="23DD5D5C">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c>
                <w:tcPr>
                  <w:tcW w:w="2506" w:type="dxa"/>
                  <w:shd w:val="clear" w:color="auto" w:fill="auto"/>
                  <w:noWrap w:val="0"/>
                  <w:vAlign w:val="center"/>
                </w:tcPr>
                <w:p w14:paraId="7DAFFAD9">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pH</w:t>
                  </w:r>
                  <w:r>
                    <w:rPr>
                      <w:rFonts w:hint="eastAsia" w:ascii="Times New Roman" w:hAnsi="Times New Roman" w:cs="Times New Roman"/>
                      <w:b w:val="0"/>
                      <w:bCs/>
                      <w:color w:val="auto"/>
                      <w:sz w:val="21"/>
                      <w:szCs w:val="21"/>
                      <w:highlight w:val="none"/>
                      <w:lang w:val="en-US" w:eastAsia="zh-CN"/>
                    </w:rPr>
                    <w:t>（</w:t>
                  </w:r>
                  <w:r>
                    <w:rPr>
                      <w:rFonts w:hint="default" w:ascii="Times New Roman" w:hAnsi="Times New Roman" w:eastAsia="宋体" w:cs="Times New Roman"/>
                      <w:b w:val="0"/>
                      <w:bCs/>
                      <w:color w:val="auto"/>
                      <w:sz w:val="21"/>
                      <w:szCs w:val="21"/>
                      <w:highlight w:val="none"/>
                      <w:lang w:val="en-US" w:eastAsia="zh-CN"/>
                    </w:rPr>
                    <w:t>无量纲</w:t>
                  </w:r>
                  <w:r>
                    <w:rPr>
                      <w:rFonts w:hint="eastAsia" w:ascii="Times New Roman" w:hAnsi="Times New Roman" w:cs="Times New Roman"/>
                      <w:b w:val="0"/>
                      <w:bCs/>
                      <w:color w:val="auto"/>
                      <w:sz w:val="21"/>
                      <w:szCs w:val="21"/>
                      <w:highlight w:val="none"/>
                      <w:lang w:val="en-US" w:eastAsia="zh-CN"/>
                    </w:rPr>
                    <w:t>）</w:t>
                  </w:r>
                </w:p>
              </w:tc>
              <w:tc>
                <w:tcPr>
                  <w:tcW w:w="4959" w:type="dxa"/>
                  <w:gridSpan w:val="4"/>
                  <w:shd w:val="clear" w:color="auto" w:fill="D7D7D7" w:themeFill="background1" w:themeFillShade="D8"/>
                  <w:noWrap w:val="0"/>
                  <w:vAlign w:val="center"/>
                </w:tcPr>
                <w:p w14:paraId="016C73A4">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6</w:t>
                  </w:r>
                  <w:r>
                    <w:rPr>
                      <w:rFonts w:hint="eastAsia" w:ascii="Times New Roman" w:hAnsi="Times New Roman" w:cs="Times New Roman"/>
                      <w:b w:val="0"/>
                      <w:bCs/>
                      <w:color w:val="auto"/>
                      <w:sz w:val="21"/>
                      <w:szCs w:val="21"/>
                      <w:highlight w:val="none"/>
                      <w:lang w:val="en-US" w:eastAsia="zh-CN"/>
                    </w:rPr>
                    <w:t>～</w:t>
                  </w:r>
                  <w:r>
                    <w:rPr>
                      <w:rFonts w:hint="default" w:ascii="Times New Roman" w:hAnsi="Times New Roman" w:eastAsia="宋体" w:cs="Times New Roman"/>
                      <w:b w:val="0"/>
                      <w:bCs/>
                      <w:color w:val="auto"/>
                      <w:sz w:val="21"/>
                      <w:szCs w:val="21"/>
                      <w:highlight w:val="none"/>
                      <w:lang w:val="en-US" w:eastAsia="zh-CN"/>
                    </w:rPr>
                    <w:t>9</w:t>
                  </w:r>
                </w:p>
              </w:tc>
            </w:tr>
            <w:tr w14:paraId="7A3BF64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978" w:type="dxa"/>
                  <w:shd w:val="clear" w:color="auto" w:fill="auto"/>
                  <w:noWrap w:val="0"/>
                  <w:vAlign w:val="center"/>
                </w:tcPr>
                <w:p w14:paraId="3202BD81">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2</w:t>
                  </w:r>
                </w:p>
              </w:tc>
              <w:tc>
                <w:tcPr>
                  <w:tcW w:w="2506" w:type="dxa"/>
                  <w:shd w:val="clear" w:color="auto" w:fill="auto"/>
                  <w:noWrap w:val="0"/>
                  <w:vAlign w:val="center"/>
                </w:tcPr>
                <w:p w14:paraId="60F56AF0">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溶解氧</w:t>
                  </w:r>
                  <w:r>
                    <w:rPr>
                      <w:rFonts w:hint="eastAsia" w:ascii="Times New Roman" w:hAnsi="Times New Roman" w:cs="Times New Roman"/>
                      <w:b w:val="0"/>
                      <w:bCs/>
                      <w:color w:val="auto"/>
                      <w:sz w:val="21"/>
                      <w:szCs w:val="21"/>
                      <w:highlight w:val="none"/>
                      <w:lang w:val="en-US" w:eastAsia="zh-CN"/>
                    </w:rPr>
                    <w:t>（</w:t>
                  </w:r>
                  <w:r>
                    <w:rPr>
                      <w:rFonts w:hint="default" w:ascii="Times New Roman" w:hAnsi="Times New Roman" w:eastAsia="宋体" w:cs="Times New Roman"/>
                      <w:b w:val="0"/>
                      <w:bCs/>
                      <w:color w:val="auto"/>
                      <w:sz w:val="21"/>
                      <w:szCs w:val="21"/>
                      <w:highlight w:val="none"/>
                      <w:lang w:val="en-US" w:eastAsia="zh-CN"/>
                    </w:rPr>
                    <w:t>DO</w:t>
                  </w:r>
                  <w:r>
                    <w:rPr>
                      <w:rFonts w:hint="eastAsia" w:ascii="Times New Roman" w:hAnsi="Times New Roman" w:cs="Times New Roman"/>
                      <w:b w:val="0"/>
                      <w:bCs/>
                      <w:color w:val="auto"/>
                      <w:sz w:val="21"/>
                      <w:szCs w:val="21"/>
                      <w:highlight w:val="none"/>
                      <w:lang w:val="en-US" w:eastAsia="zh-CN"/>
                    </w:rPr>
                    <w:t>）</w:t>
                  </w:r>
                  <w:r>
                    <w:rPr>
                      <w:rFonts w:hint="default" w:ascii="Times New Roman" w:hAnsi="Times New Roman" w:eastAsia="宋体" w:cs="Times New Roman"/>
                      <w:b w:val="0"/>
                      <w:bCs/>
                      <w:color w:val="auto"/>
                      <w:sz w:val="21"/>
                      <w:szCs w:val="21"/>
                      <w:highlight w:val="none"/>
                      <w:lang w:val="en-US" w:eastAsia="zh-CN"/>
                    </w:rPr>
                    <w:t>≥</w:t>
                  </w:r>
                </w:p>
              </w:tc>
              <w:tc>
                <w:tcPr>
                  <w:tcW w:w="1290" w:type="dxa"/>
                  <w:tcBorders>
                    <w:right w:val="single" w:color="auto" w:sz="4" w:space="0"/>
                  </w:tcBorders>
                  <w:shd w:val="clear" w:color="auto" w:fill="auto"/>
                  <w:noWrap w:val="0"/>
                  <w:vAlign w:val="center"/>
                </w:tcPr>
                <w:p w14:paraId="75FD0CBA">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6</w:t>
                  </w:r>
                </w:p>
              </w:tc>
              <w:tc>
                <w:tcPr>
                  <w:tcW w:w="1246" w:type="dxa"/>
                  <w:tcBorders>
                    <w:left w:val="single" w:color="auto" w:sz="4" w:space="0"/>
                    <w:right w:val="single" w:color="auto" w:sz="4" w:space="0"/>
                  </w:tcBorders>
                  <w:shd w:val="clear" w:color="auto" w:fill="auto"/>
                  <w:noWrap w:val="0"/>
                  <w:vAlign w:val="center"/>
                </w:tcPr>
                <w:p w14:paraId="2636F230">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5</w:t>
                  </w:r>
                </w:p>
              </w:tc>
              <w:tc>
                <w:tcPr>
                  <w:tcW w:w="1208" w:type="dxa"/>
                  <w:tcBorders>
                    <w:left w:val="single" w:color="auto" w:sz="4" w:space="0"/>
                    <w:right w:val="single" w:color="auto" w:sz="4" w:space="0"/>
                  </w:tcBorders>
                  <w:shd w:val="clear" w:color="auto" w:fill="auto"/>
                  <w:noWrap w:val="0"/>
                  <w:vAlign w:val="center"/>
                </w:tcPr>
                <w:p w14:paraId="4E45F48A">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3</w:t>
                  </w:r>
                </w:p>
              </w:tc>
              <w:tc>
                <w:tcPr>
                  <w:tcW w:w="1215" w:type="dxa"/>
                  <w:tcBorders>
                    <w:left w:val="single" w:color="auto" w:sz="4" w:space="0"/>
                  </w:tcBorders>
                  <w:shd w:val="clear" w:color="auto" w:fill="D7D7D7" w:themeFill="background1" w:themeFillShade="D8"/>
                  <w:noWrap w:val="0"/>
                  <w:vAlign w:val="center"/>
                </w:tcPr>
                <w:p w14:paraId="7B2BB204">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2</w:t>
                  </w:r>
                </w:p>
              </w:tc>
            </w:tr>
            <w:tr w14:paraId="64AD1C5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978" w:type="dxa"/>
                  <w:shd w:val="clear" w:color="auto" w:fill="auto"/>
                  <w:noWrap w:val="0"/>
                  <w:vAlign w:val="center"/>
                </w:tcPr>
                <w:p w14:paraId="4D36D825">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3</w:t>
                  </w:r>
                </w:p>
              </w:tc>
              <w:tc>
                <w:tcPr>
                  <w:tcW w:w="2506" w:type="dxa"/>
                  <w:shd w:val="clear" w:color="auto" w:fill="auto"/>
                  <w:noWrap w:val="0"/>
                  <w:vAlign w:val="center"/>
                </w:tcPr>
                <w:p w14:paraId="49D94B06">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COD</w:t>
                  </w:r>
                  <w:r>
                    <w:rPr>
                      <w:rFonts w:hint="default" w:ascii="Times New Roman" w:hAnsi="Times New Roman" w:eastAsia="宋体" w:cs="Times New Roman"/>
                      <w:b w:val="0"/>
                      <w:bCs/>
                      <w:color w:val="auto"/>
                      <w:sz w:val="21"/>
                      <w:szCs w:val="21"/>
                      <w:highlight w:val="none"/>
                      <w:vertAlign w:val="subscript"/>
                      <w:lang w:val="en-US" w:eastAsia="zh-CN"/>
                    </w:rPr>
                    <w:t>Mn</w:t>
                  </w:r>
                  <w:r>
                    <w:rPr>
                      <w:rFonts w:hint="default" w:ascii="Times New Roman" w:hAnsi="Times New Roman" w:eastAsia="宋体" w:cs="Times New Roman"/>
                      <w:b w:val="0"/>
                      <w:bCs/>
                      <w:color w:val="auto"/>
                      <w:sz w:val="21"/>
                      <w:szCs w:val="21"/>
                      <w:highlight w:val="none"/>
                      <w:lang w:val="en-US" w:eastAsia="zh-CN"/>
                    </w:rPr>
                    <w:t>≤</w:t>
                  </w:r>
                </w:p>
              </w:tc>
              <w:tc>
                <w:tcPr>
                  <w:tcW w:w="1290" w:type="dxa"/>
                  <w:tcBorders>
                    <w:right w:val="single" w:color="auto" w:sz="4" w:space="0"/>
                  </w:tcBorders>
                  <w:shd w:val="clear" w:color="auto" w:fill="auto"/>
                  <w:noWrap w:val="0"/>
                  <w:vAlign w:val="center"/>
                </w:tcPr>
                <w:p w14:paraId="40758963">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4</w:t>
                  </w:r>
                </w:p>
              </w:tc>
              <w:tc>
                <w:tcPr>
                  <w:tcW w:w="1246" w:type="dxa"/>
                  <w:tcBorders>
                    <w:left w:val="single" w:color="auto" w:sz="4" w:space="0"/>
                    <w:right w:val="single" w:color="auto" w:sz="4" w:space="0"/>
                  </w:tcBorders>
                  <w:shd w:val="clear" w:color="auto" w:fill="auto"/>
                  <w:noWrap w:val="0"/>
                  <w:vAlign w:val="center"/>
                </w:tcPr>
                <w:p w14:paraId="40D23350">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6</w:t>
                  </w:r>
                </w:p>
              </w:tc>
              <w:tc>
                <w:tcPr>
                  <w:tcW w:w="1208" w:type="dxa"/>
                  <w:tcBorders>
                    <w:left w:val="single" w:color="auto" w:sz="4" w:space="0"/>
                    <w:right w:val="single" w:color="auto" w:sz="4" w:space="0"/>
                  </w:tcBorders>
                  <w:shd w:val="clear" w:color="auto" w:fill="auto"/>
                  <w:noWrap w:val="0"/>
                  <w:vAlign w:val="center"/>
                </w:tcPr>
                <w:p w14:paraId="74B4D943">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10</w:t>
                  </w:r>
                </w:p>
              </w:tc>
              <w:tc>
                <w:tcPr>
                  <w:tcW w:w="1215" w:type="dxa"/>
                  <w:tcBorders>
                    <w:left w:val="single" w:color="auto" w:sz="4" w:space="0"/>
                  </w:tcBorders>
                  <w:shd w:val="clear" w:color="auto" w:fill="D7D7D7" w:themeFill="background1" w:themeFillShade="D8"/>
                  <w:noWrap w:val="0"/>
                  <w:vAlign w:val="center"/>
                </w:tcPr>
                <w:p w14:paraId="6019ABBE">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r>
            <w:tr w14:paraId="1AFB30D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978" w:type="dxa"/>
                  <w:shd w:val="clear" w:color="auto" w:fill="auto"/>
                  <w:noWrap w:val="0"/>
                  <w:vAlign w:val="center"/>
                </w:tcPr>
                <w:p w14:paraId="07098570">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4</w:t>
                  </w:r>
                </w:p>
              </w:tc>
              <w:tc>
                <w:tcPr>
                  <w:tcW w:w="2506" w:type="dxa"/>
                  <w:shd w:val="clear" w:color="auto" w:fill="auto"/>
                  <w:noWrap w:val="0"/>
                  <w:vAlign w:val="center"/>
                </w:tcPr>
                <w:p w14:paraId="4F04A819">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NH</w:t>
                  </w:r>
                  <w:r>
                    <w:rPr>
                      <w:rFonts w:hint="default" w:ascii="Times New Roman" w:hAnsi="Times New Roman" w:eastAsia="宋体" w:cs="Times New Roman"/>
                      <w:b w:val="0"/>
                      <w:bCs/>
                      <w:color w:val="auto"/>
                      <w:sz w:val="21"/>
                      <w:szCs w:val="21"/>
                      <w:highlight w:val="none"/>
                      <w:vertAlign w:val="subscript"/>
                      <w:lang w:val="en-US" w:eastAsia="zh-CN"/>
                    </w:rPr>
                    <w:t>3</w:t>
                  </w:r>
                  <w:r>
                    <w:rPr>
                      <w:rFonts w:hint="default" w:ascii="Times New Roman" w:hAnsi="Times New Roman" w:eastAsia="宋体" w:cs="Times New Roman"/>
                      <w:b w:val="0"/>
                      <w:bCs/>
                      <w:color w:val="auto"/>
                      <w:sz w:val="21"/>
                      <w:szCs w:val="21"/>
                      <w:highlight w:val="none"/>
                      <w:lang w:val="en-US" w:eastAsia="zh-CN"/>
                    </w:rPr>
                    <w:t>-N≤</w:t>
                  </w:r>
                </w:p>
              </w:tc>
              <w:tc>
                <w:tcPr>
                  <w:tcW w:w="1290" w:type="dxa"/>
                  <w:shd w:val="clear" w:color="auto" w:fill="auto"/>
                  <w:noWrap w:val="0"/>
                  <w:vAlign w:val="center"/>
                </w:tcPr>
                <w:p w14:paraId="0AC724F9">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0.5</w:t>
                  </w:r>
                </w:p>
              </w:tc>
              <w:tc>
                <w:tcPr>
                  <w:tcW w:w="1246" w:type="dxa"/>
                  <w:shd w:val="clear" w:color="auto" w:fill="auto"/>
                  <w:noWrap w:val="0"/>
                  <w:vAlign w:val="center"/>
                </w:tcPr>
                <w:p w14:paraId="1E16064E">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1.0</w:t>
                  </w:r>
                </w:p>
              </w:tc>
              <w:tc>
                <w:tcPr>
                  <w:tcW w:w="1208" w:type="dxa"/>
                  <w:shd w:val="clear" w:color="auto" w:fill="auto"/>
                  <w:noWrap w:val="0"/>
                  <w:vAlign w:val="center"/>
                </w:tcPr>
                <w:p w14:paraId="3BAF0E60">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1.5</w:t>
                  </w:r>
                </w:p>
              </w:tc>
              <w:tc>
                <w:tcPr>
                  <w:tcW w:w="1215" w:type="dxa"/>
                  <w:shd w:val="clear" w:color="auto" w:fill="D7D7D7" w:themeFill="background1" w:themeFillShade="D8"/>
                  <w:noWrap w:val="0"/>
                  <w:vAlign w:val="center"/>
                </w:tcPr>
                <w:p w14:paraId="7551A493">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2.0</w:t>
                  </w:r>
                </w:p>
              </w:tc>
            </w:tr>
            <w:tr w14:paraId="2294423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978" w:type="dxa"/>
                  <w:shd w:val="clear" w:color="auto" w:fill="auto"/>
                  <w:noWrap w:val="0"/>
                  <w:vAlign w:val="center"/>
                </w:tcPr>
                <w:p w14:paraId="39DC601B">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5</w:t>
                  </w:r>
                </w:p>
              </w:tc>
              <w:tc>
                <w:tcPr>
                  <w:tcW w:w="2506" w:type="dxa"/>
                  <w:shd w:val="clear" w:color="auto" w:fill="auto"/>
                  <w:noWrap w:val="0"/>
                  <w:vAlign w:val="center"/>
                </w:tcPr>
                <w:p w14:paraId="44070799">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BOD</w:t>
                  </w:r>
                  <w:r>
                    <w:rPr>
                      <w:rFonts w:hint="default" w:ascii="Times New Roman" w:hAnsi="Times New Roman" w:eastAsia="宋体" w:cs="Times New Roman"/>
                      <w:b w:val="0"/>
                      <w:bCs/>
                      <w:color w:val="auto"/>
                      <w:sz w:val="21"/>
                      <w:szCs w:val="21"/>
                      <w:highlight w:val="none"/>
                      <w:vertAlign w:val="subscript"/>
                      <w:lang w:val="en-US" w:eastAsia="zh-CN"/>
                    </w:rPr>
                    <w:t>5</w:t>
                  </w:r>
                  <w:r>
                    <w:rPr>
                      <w:rFonts w:hint="default" w:ascii="Times New Roman" w:hAnsi="Times New Roman" w:eastAsia="宋体" w:cs="Times New Roman"/>
                      <w:b w:val="0"/>
                      <w:bCs/>
                      <w:color w:val="auto"/>
                      <w:sz w:val="21"/>
                      <w:szCs w:val="21"/>
                      <w:highlight w:val="none"/>
                      <w:lang w:val="en-US" w:eastAsia="zh-CN"/>
                    </w:rPr>
                    <w:t>≤</w:t>
                  </w:r>
                </w:p>
              </w:tc>
              <w:tc>
                <w:tcPr>
                  <w:tcW w:w="1290" w:type="dxa"/>
                  <w:shd w:val="clear" w:color="auto" w:fill="auto"/>
                  <w:noWrap w:val="0"/>
                  <w:vAlign w:val="center"/>
                </w:tcPr>
                <w:p w14:paraId="178281F1">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3</w:t>
                  </w:r>
                </w:p>
              </w:tc>
              <w:tc>
                <w:tcPr>
                  <w:tcW w:w="1246" w:type="dxa"/>
                  <w:shd w:val="clear" w:color="auto" w:fill="auto"/>
                  <w:noWrap w:val="0"/>
                  <w:vAlign w:val="center"/>
                </w:tcPr>
                <w:p w14:paraId="479FB015">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4</w:t>
                  </w:r>
                </w:p>
              </w:tc>
              <w:tc>
                <w:tcPr>
                  <w:tcW w:w="1208" w:type="dxa"/>
                  <w:shd w:val="clear" w:color="auto" w:fill="auto"/>
                  <w:noWrap w:val="0"/>
                  <w:vAlign w:val="center"/>
                </w:tcPr>
                <w:p w14:paraId="30FB735C">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6</w:t>
                  </w:r>
                </w:p>
              </w:tc>
              <w:tc>
                <w:tcPr>
                  <w:tcW w:w="1215" w:type="dxa"/>
                  <w:shd w:val="clear" w:color="auto" w:fill="D7D7D7" w:themeFill="background1" w:themeFillShade="D8"/>
                  <w:noWrap w:val="0"/>
                  <w:vAlign w:val="center"/>
                </w:tcPr>
                <w:p w14:paraId="58B1DBAC">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10</w:t>
                  </w:r>
                </w:p>
              </w:tc>
            </w:tr>
            <w:tr w14:paraId="2B49757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978" w:type="dxa"/>
                  <w:shd w:val="clear" w:color="auto" w:fill="auto"/>
                  <w:noWrap w:val="0"/>
                  <w:vAlign w:val="center"/>
                </w:tcPr>
                <w:p w14:paraId="6F0C81E8">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6</w:t>
                  </w:r>
                </w:p>
              </w:tc>
              <w:tc>
                <w:tcPr>
                  <w:tcW w:w="2506" w:type="dxa"/>
                  <w:shd w:val="clear" w:color="auto" w:fill="auto"/>
                  <w:noWrap w:val="0"/>
                  <w:vAlign w:val="center"/>
                </w:tcPr>
                <w:p w14:paraId="2CEA6302">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TP≤</w:t>
                  </w:r>
                </w:p>
              </w:tc>
              <w:tc>
                <w:tcPr>
                  <w:tcW w:w="1290" w:type="dxa"/>
                  <w:shd w:val="clear" w:color="auto" w:fill="auto"/>
                  <w:noWrap w:val="0"/>
                  <w:vAlign w:val="center"/>
                </w:tcPr>
                <w:p w14:paraId="4C7F5E2F">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0.1</w:t>
                  </w:r>
                </w:p>
              </w:tc>
              <w:tc>
                <w:tcPr>
                  <w:tcW w:w="1246" w:type="dxa"/>
                  <w:shd w:val="clear" w:color="auto" w:fill="auto"/>
                  <w:noWrap w:val="0"/>
                  <w:vAlign w:val="center"/>
                </w:tcPr>
                <w:p w14:paraId="0C6311FC">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0.2</w:t>
                  </w:r>
                </w:p>
              </w:tc>
              <w:tc>
                <w:tcPr>
                  <w:tcW w:w="1208" w:type="dxa"/>
                  <w:shd w:val="clear" w:color="auto" w:fill="auto"/>
                  <w:noWrap w:val="0"/>
                  <w:vAlign w:val="center"/>
                </w:tcPr>
                <w:p w14:paraId="3EC5DBD6">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0.3</w:t>
                  </w:r>
                </w:p>
              </w:tc>
              <w:tc>
                <w:tcPr>
                  <w:tcW w:w="1215" w:type="dxa"/>
                  <w:shd w:val="clear" w:color="auto" w:fill="D7D7D7" w:themeFill="background1" w:themeFillShade="D8"/>
                  <w:noWrap w:val="0"/>
                  <w:vAlign w:val="center"/>
                </w:tcPr>
                <w:p w14:paraId="37A16486">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0.4</w:t>
                  </w:r>
                </w:p>
              </w:tc>
            </w:tr>
          </w:tbl>
          <w:p w14:paraId="3AC71851">
            <w:pPr>
              <w:pStyle w:val="4"/>
              <w:bidi w:val="0"/>
              <w:rPr>
                <w:rFonts w:hint="default" w:eastAsia="宋体"/>
                <w:color w:val="auto"/>
                <w:sz w:val="28"/>
                <w:szCs w:val="28"/>
                <w:highlight w:val="none"/>
              </w:rPr>
            </w:pPr>
            <w:r>
              <w:rPr>
                <w:rFonts w:hint="default" w:eastAsia="宋体"/>
                <w:color w:val="auto"/>
                <w:sz w:val="28"/>
                <w:szCs w:val="28"/>
                <w:highlight w:val="none"/>
              </w:rPr>
              <w:t>3.2.</w:t>
            </w:r>
            <w:r>
              <w:rPr>
                <w:rFonts w:hint="default" w:eastAsia="宋体"/>
                <w:color w:val="auto"/>
                <w:sz w:val="28"/>
                <w:szCs w:val="28"/>
                <w:highlight w:val="none"/>
                <w:lang w:val="en-US" w:eastAsia="zh-CN"/>
              </w:rPr>
              <w:t>2</w:t>
            </w:r>
            <w:r>
              <w:rPr>
                <w:rFonts w:hint="default" w:eastAsia="宋体"/>
                <w:color w:val="auto"/>
                <w:sz w:val="28"/>
                <w:szCs w:val="28"/>
                <w:highlight w:val="none"/>
              </w:rPr>
              <w:t>地表水环境质量现状</w:t>
            </w:r>
          </w:p>
          <w:p w14:paraId="4270A968">
            <w:pPr>
              <w:pStyle w:val="116"/>
              <w:rPr>
                <w:rFonts w:hint="default"/>
                <w:color w:val="auto"/>
                <w:lang w:val="en-US" w:eastAsia="zh-CN"/>
              </w:rPr>
            </w:pPr>
            <w:r>
              <w:rPr>
                <w:rFonts w:hint="default"/>
                <w:color w:val="auto"/>
                <w:lang w:val="en-US" w:eastAsia="zh-CN"/>
              </w:rPr>
              <w:t>本项目附近主要地表水体为</w:t>
            </w:r>
            <w:r>
              <w:rPr>
                <w:rFonts w:hint="eastAsia"/>
                <w:color w:val="auto"/>
                <w:lang w:val="en-US" w:eastAsia="zh-CN"/>
              </w:rPr>
              <w:t>南山溪</w:t>
            </w:r>
            <w:r>
              <w:rPr>
                <w:rFonts w:hint="default"/>
                <w:color w:val="auto"/>
                <w:lang w:val="en-US" w:eastAsia="zh-CN"/>
              </w:rPr>
              <w:t>。</w:t>
            </w:r>
            <w:r>
              <w:rPr>
                <w:rFonts w:hint="eastAsia"/>
                <w:color w:val="auto"/>
                <w:lang w:val="en-US" w:eastAsia="zh-CN"/>
              </w:rPr>
              <w:t>根据福州市人民政府网站发布</w:t>
            </w:r>
            <w:r>
              <w:rPr>
                <w:rFonts w:hint="default"/>
                <w:color w:val="auto"/>
                <w:lang w:val="en-US" w:eastAsia="zh-CN"/>
              </w:rPr>
              <w:t>，2025年1</w:t>
            </w:r>
            <w:r>
              <w:rPr>
                <w:rFonts w:hint="eastAsia" w:ascii="宋体" w:hAnsi="宋体" w:eastAsia="宋体" w:cs="宋体"/>
                <w:color w:val="auto"/>
                <w:lang w:val="en-US" w:eastAsia="zh-CN"/>
              </w:rPr>
              <w:t>－</w:t>
            </w:r>
            <w:r>
              <w:rPr>
                <w:rFonts w:hint="default"/>
                <w:color w:val="auto"/>
                <w:lang w:val="en-US" w:eastAsia="zh-CN"/>
              </w:rPr>
              <w:t>12月，主要流域9个国控断面Ⅰ-Ⅲ类水质比例为100%，36个省控及以上断面Ⅰ-Ⅲ类水质比例为100%；小流域54个省控断面Ⅰ-Ⅲ类水质比例为100%。县级及以上集中式饮用水源地水质达标率为100%。</w:t>
            </w:r>
          </w:p>
          <w:p w14:paraId="21221F20">
            <w:pPr>
              <w:pStyle w:val="116"/>
              <w:rPr>
                <w:rFonts w:hint="eastAsia"/>
                <w:color w:val="auto"/>
                <w:lang w:val="en-US" w:eastAsia="zh-CN"/>
              </w:rPr>
            </w:pPr>
            <w:r>
              <w:rPr>
                <w:rFonts w:hint="eastAsia"/>
                <w:color w:val="auto"/>
                <w:lang w:val="en-US" w:eastAsia="zh-CN"/>
              </w:rPr>
              <w:t>综上，项目所在区域水质状况良好，属于达标区。项目外排生活污水经市政污水管网进入闽侯县污水处理厂，不直接排入周边地表水体，几乎不会改变周边水环境质量现状。</w:t>
            </w:r>
          </w:p>
          <w:p w14:paraId="06BE6F7A">
            <w:pPr>
              <w:pStyle w:val="3"/>
              <w:keepNext/>
              <w:keepLines/>
              <w:pageBreakBefore w:val="0"/>
              <w:widowControl w:val="0"/>
              <w:kinsoku/>
              <w:wordWrap/>
              <w:overflowPunct/>
              <w:topLinePunct w:val="0"/>
              <w:autoSpaceDE/>
              <w:autoSpaceDN/>
              <w:bidi w:val="0"/>
              <w:adjustRightInd/>
              <w:snapToGrid/>
              <w:spacing w:before="20" w:after="20" w:line="360" w:lineRule="auto"/>
              <w:textAlignment w:val="auto"/>
              <w:rPr>
                <w:rFonts w:hint="default" w:ascii="Times New Roman" w:hAnsi="Times New Roman" w:eastAsia="宋体" w:cs="Times New Roman"/>
                <w:color w:val="auto"/>
                <w:sz w:val="30"/>
                <w:szCs w:val="30"/>
                <w:highlight w:val="none"/>
              </w:rPr>
            </w:pPr>
            <w:r>
              <w:rPr>
                <w:rFonts w:hint="default" w:ascii="Times New Roman" w:hAnsi="Times New Roman" w:eastAsia="宋体" w:cs="Times New Roman"/>
                <w:color w:val="auto"/>
                <w:sz w:val="30"/>
                <w:szCs w:val="30"/>
                <w:highlight w:val="none"/>
              </w:rPr>
              <w:t>3</w:t>
            </w:r>
            <w:r>
              <w:rPr>
                <w:rFonts w:hint="default" w:ascii="Times New Roman" w:hAnsi="Times New Roman" w:eastAsia="宋体" w:cs="Times New Roman"/>
                <w:color w:val="auto"/>
                <w:sz w:val="30"/>
                <w:szCs w:val="30"/>
                <w:highlight w:val="none"/>
                <w:lang w:val="en-US" w:eastAsia="zh-CN"/>
              </w:rPr>
              <w:t>.3</w:t>
            </w:r>
            <w:r>
              <w:rPr>
                <w:rFonts w:hint="default" w:ascii="Times New Roman" w:hAnsi="Times New Roman" w:eastAsia="宋体" w:cs="Times New Roman"/>
                <w:color w:val="auto"/>
                <w:sz w:val="30"/>
                <w:szCs w:val="30"/>
                <w:highlight w:val="none"/>
              </w:rPr>
              <w:t>声环境质量现状</w:t>
            </w:r>
          </w:p>
          <w:p w14:paraId="1B507524">
            <w:pPr>
              <w:pStyle w:val="4"/>
              <w:bidi w:val="0"/>
              <w:rPr>
                <w:rFonts w:hint="default" w:eastAsia="宋体"/>
                <w:color w:val="auto"/>
                <w:sz w:val="28"/>
                <w:szCs w:val="28"/>
                <w:highlight w:val="none"/>
              </w:rPr>
            </w:pPr>
            <w:r>
              <w:rPr>
                <w:rFonts w:hint="default" w:eastAsia="宋体"/>
                <w:color w:val="auto"/>
                <w:sz w:val="28"/>
                <w:szCs w:val="28"/>
                <w:highlight w:val="none"/>
              </w:rPr>
              <w:t>3.3.1声环境功能区</w:t>
            </w:r>
          </w:p>
          <w:p w14:paraId="286464B1">
            <w:pPr>
              <w:pStyle w:val="116"/>
              <w:rPr>
                <w:rFonts w:hint="default"/>
                <w:color w:val="auto"/>
                <w:lang w:val="en-US" w:eastAsia="zh-CN"/>
              </w:rPr>
            </w:pPr>
            <w:r>
              <w:rPr>
                <w:rFonts w:hint="default"/>
                <w:color w:val="auto"/>
                <w:lang w:val="en-US" w:eastAsia="zh-CN"/>
              </w:rPr>
              <w:t>根据福州市生态环境局关于印发《福州市城区声环境功能区划》的通知</w:t>
            </w:r>
            <w:r>
              <w:rPr>
                <w:rFonts w:hint="eastAsia"/>
                <w:color w:val="auto"/>
                <w:lang w:val="en-US" w:eastAsia="zh-CN"/>
              </w:rPr>
              <w:t>（</w:t>
            </w:r>
            <w:r>
              <w:rPr>
                <w:rFonts w:hint="default"/>
                <w:color w:val="auto"/>
                <w:lang w:val="en-US" w:eastAsia="zh-CN"/>
              </w:rPr>
              <w:t>榕环保综</w:t>
            </w:r>
            <w:r>
              <w:rPr>
                <w:rFonts w:hint="eastAsia"/>
                <w:color w:val="auto"/>
                <w:lang w:val="en-US" w:eastAsia="zh-CN"/>
              </w:rPr>
              <w:t>〔2021〕</w:t>
            </w:r>
            <w:r>
              <w:rPr>
                <w:rFonts w:hint="default"/>
                <w:color w:val="auto"/>
                <w:lang w:val="en-US" w:eastAsia="zh-CN"/>
              </w:rPr>
              <w:t>77号</w:t>
            </w:r>
            <w:r>
              <w:rPr>
                <w:rFonts w:hint="eastAsia"/>
                <w:color w:val="auto"/>
                <w:lang w:val="en-US" w:eastAsia="zh-CN"/>
              </w:rPr>
              <w:t>）</w:t>
            </w:r>
            <w:r>
              <w:rPr>
                <w:rFonts w:hint="default"/>
                <w:color w:val="auto"/>
                <w:lang w:val="en-US" w:eastAsia="zh-CN"/>
              </w:rPr>
              <w:t>，项目所在区域划为3类功能区，声环境质量执行《声环境质量标准》</w:t>
            </w:r>
            <w:r>
              <w:rPr>
                <w:rFonts w:hint="eastAsia"/>
                <w:color w:val="auto"/>
                <w:lang w:val="en-US" w:eastAsia="zh-CN"/>
              </w:rPr>
              <w:t>（</w:t>
            </w:r>
            <w:r>
              <w:rPr>
                <w:rFonts w:hint="default"/>
                <w:color w:val="auto"/>
                <w:lang w:val="en-US" w:eastAsia="zh-CN"/>
              </w:rPr>
              <w:t>GB3096-2008</w:t>
            </w:r>
            <w:r>
              <w:rPr>
                <w:rFonts w:hint="eastAsia"/>
                <w:color w:val="auto"/>
                <w:lang w:val="en-US" w:eastAsia="zh-CN"/>
              </w:rPr>
              <w:t>）</w:t>
            </w:r>
            <w:r>
              <w:rPr>
                <w:rFonts w:hint="default"/>
                <w:color w:val="auto"/>
                <w:lang w:val="en-US" w:eastAsia="zh-CN"/>
              </w:rPr>
              <w:t>中的3类区标准，详见表3.3-1。</w:t>
            </w:r>
          </w:p>
          <w:p w14:paraId="1379507A">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hint="default" w:ascii="Times New Roman" w:hAnsi="Times New Roman" w:eastAsia="宋体" w:cs="Times New Roman"/>
                <w:b/>
                <w:color w:val="auto"/>
                <w:kern w:val="0"/>
                <w:sz w:val="24"/>
                <w:szCs w:val="24"/>
                <w:highlight w:val="none"/>
                <w:lang w:val="en-US" w:eastAsia="zh-CN" w:bidi="ar-SA"/>
              </w:rPr>
            </w:pPr>
            <w:r>
              <w:rPr>
                <w:rFonts w:hint="default" w:ascii="Times New Roman" w:hAnsi="Times New Roman" w:eastAsia="宋体" w:cs="Times New Roman"/>
                <w:b/>
                <w:color w:val="auto"/>
                <w:kern w:val="0"/>
                <w:sz w:val="24"/>
                <w:szCs w:val="24"/>
                <w:highlight w:val="none"/>
                <w:lang w:val="en-US" w:eastAsia="zh-CN" w:bidi="ar-SA"/>
              </w:rPr>
              <w:t>表3.3-1  《声环境质量标准》</w:t>
            </w:r>
            <w:r>
              <w:rPr>
                <w:rFonts w:hint="eastAsia" w:eastAsia="宋体" w:cs="Times New Roman"/>
                <w:b/>
                <w:color w:val="auto"/>
                <w:kern w:val="0"/>
                <w:sz w:val="24"/>
                <w:szCs w:val="24"/>
                <w:highlight w:val="none"/>
                <w:lang w:val="en-US" w:eastAsia="zh-CN" w:bidi="ar-SA"/>
              </w:rPr>
              <w:t>（</w:t>
            </w:r>
            <w:r>
              <w:rPr>
                <w:rFonts w:hint="default" w:ascii="Times New Roman" w:hAnsi="Times New Roman" w:eastAsia="宋体" w:cs="Times New Roman"/>
                <w:b/>
                <w:color w:val="auto"/>
                <w:kern w:val="0"/>
                <w:sz w:val="24"/>
                <w:szCs w:val="24"/>
                <w:highlight w:val="none"/>
                <w:lang w:val="en-US" w:eastAsia="zh-CN" w:bidi="ar-SA"/>
              </w:rPr>
              <w:t>GB3096-2008</w:t>
            </w:r>
            <w:r>
              <w:rPr>
                <w:rFonts w:hint="eastAsia" w:eastAsia="宋体" w:cs="Times New Roman"/>
                <w:b/>
                <w:color w:val="auto"/>
                <w:kern w:val="0"/>
                <w:sz w:val="24"/>
                <w:szCs w:val="24"/>
                <w:highlight w:val="none"/>
                <w:lang w:val="en-US" w:eastAsia="zh-CN" w:bidi="ar-SA"/>
              </w:rPr>
              <w:t>）（</w:t>
            </w:r>
            <w:r>
              <w:rPr>
                <w:rFonts w:hint="default" w:ascii="Times New Roman" w:hAnsi="Times New Roman" w:eastAsia="宋体" w:cs="Times New Roman"/>
                <w:b/>
                <w:color w:val="auto"/>
                <w:kern w:val="0"/>
                <w:sz w:val="24"/>
                <w:szCs w:val="24"/>
                <w:highlight w:val="none"/>
                <w:lang w:val="en-US" w:eastAsia="zh-CN" w:bidi="ar-SA"/>
              </w:rPr>
              <w:t>摘录</w:t>
            </w:r>
            <w:r>
              <w:rPr>
                <w:rFonts w:hint="eastAsia" w:eastAsia="宋体" w:cs="Times New Roman"/>
                <w:b/>
                <w:color w:val="auto"/>
                <w:kern w:val="0"/>
                <w:sz w:val="24"/>
                <w:szCs w:val="24"/>
                <w:highlight w:val="none"/>
                <w:lang w:val="en-US" w:eastAsia="zh-CN" w:bidi="ar-SA"/>
              </w:rPr>
              <w:t>）</w:t>
            </w:r>
          </w:p>
          <w:tbl>
            <w:tblPr>
              <w:tblStyle w:val="23"/>
              <w:tblW w:w="4999"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Layout w:type="autofit"/>
              <w:tblCellMar>
                <w:top w:w="0" w:type="dxa"/>
                <w:left w:w="108" w:type="dxa"/>
                <w:bottom w:w="0" w:type="dxa"/>
                <w:right w:w="108" w:type="dxa"/>
              </w:tblCellMar>
            </w:tblPr>
            <w:tblGrid>
              <w:gridCol w:w="867"/>
              <w:gridCol w:w="4518"/>
              <w:gridCol w:w="1555"/>
              <w:gridCol w:w="1562"/>
            </w:tblGrid>
            <w:tr w14:paraId="6001572D">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108" w:type="dxa"/>
                  <w:bottom w:w="0" w:type="dxa"/>
                  <w:right w:w="108" w:type="dxa"/>
                </w:tblCellMar>
              </w:tblPrEx>
              <w:trPr>
                <w:trHeight w:val="340" w:hRule="atLeast"/>
                <w:jc w:val="center"/>
              </w:trPr>
              <w:tc>
                <w:tcPr>
                  <w:tcW w:w="510" w:type="pct"/>
                  <w:vMerge w:val="restart"/>
                  <w:tcBorders>
                    <w:tl2br w:val="nil"/>
                    <w:tr2bl w:val="nil"/>
                  </w:tcBorders>
                  <w:noWrap w:val="0"/>
                  <w:vAlign w:val="center"/>
                </w:tcPr>
                <w:p w14:paraId="52EA9FA8">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标准类别</w:t>
                  </w:r>
                </w:p>
              </w:tc>
              <w:tc>
                <w:tcPr>
                  <w:tcW w:w="2656" w:type="pct"/>
                  <w:vMerge w:val="restart"/>
                  <w:tcBorders>
                    <w:tl2br w:val="nil"/>
                    <w:tr2bl w:val="nil"/>
                  </w:tcBorders>
                  <w:noWrap w:val="0"/>
                  <w:vAlign w:val="center"/>
                </w:tcPr>
                <w:p w14:paraId="6DEE690C">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适用区域</w:t>
                  </w:r>
                </w:p>
              </w:tc>
              <w:tc>
                <w:tcPr>
                  <w:tcW w:w="1832" w:type="pct"/>
                  <w:gridSpan w:val="2"/>
                  <w:tcBorders>
                    <w:tl2br w:val="nil"/>
                    <w:tr2bl w:val="nil"/>
                  </w:tcBorders>
                  <w:noWrap w:val="0"/>
                  <w:vAlign w:val="center"/>
                </w:tcPr>
                <w:p w14:paraId="1F802A28">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等效声级Leq(dB(A))</w:t>
                  </w:r>
                </w:p>
              </w:tc>
            </w:tr>
            <w:tr w14:paraId="0C39BED6">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108" w:type="dxa"/>
                  <w:bottom w:w="0" w:type="dxa"/>
                  <w:right w:w="108" w:type="dxa"/>
                </w:tblCellMar>
              </w:tblPrEx>
              <w:trPr>
                <w:trHeight w:val="340" w:hRule="atLeast"/>
                <w:jc w:val="center"/>
              </w:trPr>
              <w:tc>
                <w:tcPr>
                  <w:tcW w:w="510" w:type="pct"/>
                  <w:vMerge w:val="continue"/>
                  <w:tcBorders>
                    <w:tl2br w:val="nil"/>
                    <w:tr2bl w:val="nil"/>
                  </w:tcBorders>
                  <w:noWrap w:val="0"/>
                  <w:vAlign w:val="center"/>
                </w:tcPr>
                <w:p w14:paraId="0475EC3A">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p>
              </w:tc>
              <w:tc>
                <w:tcPr>
                  <w:tcW w:w="2656" w:type="pct"/>
                  <w:vMerge w:val="continue"/>
                  <w:tcBorders>
                    <w:tl2br w:val="nil"/>
                    <w:tr2bl w:val="nil"/>
                  </w:tcBorders>
                  <w:noWrap w:val="0"/>
                  <w:vAlign w:val="center"/>
                </w:tcPr>
                <w:p w14:paraId="0DB97DDF">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p>
              </w:tc>
              <w:tc>
                <w:tcPr>
                  <w:tcW w:w="914" w:type="pct"/>
                  <w:tcBorders>
                    <w:tl2br w:val="nil"/>
                    <w:tr2bl w:val="nil"/>
                  </w:tcBorders>
                  <w:noWrap w:val="0"/>
                  <w:vAlign w:val="center"/>
                </w:tcPr>
                <w:p w14:paraId="0AF1485D">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昼间</w:t>
                  </w:r>
                </w:p>
              </w:tc>
              <w:tc>
                <w:tcPr>
                  <w:tcW w:w="917" w:type="pct"/>
                  <w:tcBorders>
                    <w:tl2br w:val="nil"/>
                    <w:tr2bl w:val="nil"/>
                  </w:tcBorders>
                  <w:noWrap w:val="0"/>
                  <w:vAlign w:val="center"/>
                </w:tcPr>
                <w:p w14:paraId="0007BC0A">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夜间</w:t>
                  </w:r>
                </w:p>
              </w:tc>
            </w:tr>
            <w:tr w14:paraId="6277D7A8">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108" w:type="dxa"/>
                  <w:bottom w:w="0" w:type="dxa"/>
                  <w:right w:w="108" w:type="dxa"/>
                </w:tblCellMar>
              </w:tblPrEx>
              <w:trPr>
                <w:trHeight w:val="397" w:hRule="atLeast"/>
                <w:jc w:val="center"/>
              </w:trPr>
              <w:tc>
                <w:tcPr>
                  <w:tcW w:w="510" w:type="pct"/>
                  <w:tcBorders>
                    <w:tl2br w:val="nil"/>
                    <w:tr2bl w:val="nil"/>
                  </w:tcBorders>
                  <w:noWrap w:val="0"/>
                  <w:vAlign w:val="center"/>
                </w:tcPr>
                <w:p w14:paraId="74701B84">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3</w:t>
                  </w:r>
                </w:p>
              </w:tc>
              <w:tc>
                <w:tcPr>
                  <w:tcW w:w="2656" w:type="pct"/>
                  <w:tcBorders>
                    <w:tl2br w:val="nil"/>
                    <w:tr2bl w:val="nil"/>
                  </w:tcBorders>
                  <w:noWrap w:val="0"/>
                  <w:vAlign w:val="center"/>
                </w:tcPr>
                <w:p w14:paraId="18E8392F">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指以工业生产、仓储物流为主要功能，需要防止工业噪声对周围环境产生严重影响的区域</w:t>
                  </w:r>
                </w:p>
              </w:tc>
              <w:tc>
                <w:tcPr>
                  <w:tcW w:w="914" w:type="pct"/>
                  <w:tcBorders>
                    <w:tl2br w:val="nil"/>
                    <w:tr2bl w:val="nil"/>
                  </w:tcBorders>
                  <w:noWrap w:val="0"/>
                  <w:vAlign w:val="center"/>
                </w:tcPr>
                <w:p w14:paraId="388ECB54">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≤65</w:t>
                  </w:r>
                </w:p>
              </w:tc>
              <w:tc>
                <w:tcPr>
                  <w:tcW w:w="917" w:type="pct"/>
                  <w:tcBorders>
                    <w:tl2br w:val="nil"/>
                    <w:tr2bl w:val="nil"/>
                  </w:tcBorders>
                  <w:noWrap w:val="0"/>
                  <w:vAlign w:val="center"/>
                </w:tcPr>
                <w:p w14:paraId="385F9171">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≤55</w:t>
                  </w:r>
                </w:p>
              </w:tc>
            </w:tr>
          </w:tbl>
          <w:p w14:paraId="5200A29D">
            <w:pPr>
              <w:pStyle w:val="4"/>
              <w:bidi w:val="0"/>
              <w:rPr>
                <w:rFonts w:hint="default" w:eastAsia="宋体"/>
                <w:color w:val="auto"/>
                <w:sz w:val="28"/>
                <w:szCs w:val="28"/>
                <w:highlight w:val="none"/>
              </w:rPr>
            </w:pPr>
            <w:r>
              <w:rPr>
                <w:rFonts w:hint="eastAsia" w:eastAsia="宋体"/>
                <w:color w:val="auto"/>
                <w:sz w:val="28"/>
                <w:szCs w:val="28"/>
                <w:highlight w:val="none"/>
                <w:lang w:val="en-US" w:eastAsia="zh-CN"/>
              </w:rPr>
              <w:t>3.3.2声</w:t>
            </w:r>
            <w:r>
              <w:rPr>
                <w:rFonts w:hint="default" w:eastAsia="宋体"/>
                <w:color w:val="auto"/>
                <w:sz w:val="28"/>
                <w:szCs w:val="28"/>
                <w:highlight w:val="none"/>
              </w:rPr>
              <w:t>环境质量现状</w:t>
            </w:r>
          </w:p>
          <w:p w14:paraId="6D5C0D56">
            <w:pPr>
              <w:pStyle w:val="116"/>
              <w:rPr>
                <w:rFonts w:hint="eastAsia" w:ascii="Times New Roman" w:hAnsi="Times New Roman" w:eastAsia="宋体" w:cs="Times New Roman"/>
                <w:color w:val="auto"/>
                <w:kern w:val="0"/>
                <w:sz w:val="24"/>
                <w:szCs w:val="20"/>
                <w:lang w:val="en-US" w:eastAsia="zh-CN" w:bidi="ar-SA"/>
              </w:rPr>
            </w:pPr>
            <w:r>
              <w:rPr>
                <w:rFonts w:hint="default" w:ascii="Times New Roman" w:hAnsi="Times New Roman" w:eastAsia="宋体" w:cs="Times New Roman"/>
                <w:color w:val="auto"/>
                <w:kern w:val="0"/>
                <w:sz w:val="24"/>
                <w:szCs w:val="20"/>
                <w:lang w:val="en-US" w:eastAsia="zh-CN" w:bidi="ar-SA"/>
              </w:rPr>
              <w:t>根据现场勘察，项目厂界外50m范围内不涉及声环境敏感点目标，根据</w:t>
            </w:r>
            <w:r>
              <w:rPr>
                <w:rFonts w:hint="default" w:ascii="Times New Roman" w:hAnsi="Times New Roman" w:eastAsia="宋体" w:cs="Times New Roman"/>
                <w:color w:val="auto"/>
                <w:kern w:val="0"/>
                <w:sz w:val="24"/>
                <w:szCs w:val="20"/>
                <w:lang w:val="zh-CN" w:eastAsia="zh-CN" w:bidi="ar-SA"/>
              </w:rPr>
              <w:t>《建设项目环境影响报告表编制技术指南</w:t>
            </w:r>
            <w:r>
              <w:rPr>
                <w:rFonts w:hint="eastAsia" w:ascii="Times New Roman" w:hAnsi="Times New Roman" w:eastAsia="宋体"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zh-CN" w:eastAsia="zh-CN" w:bidi="ar-SA"/>
              </w:rPr>
              <w:t>污染影响类</w:t>
            </w:r>
            <w:r>
              <w:rPr>
                <w:rFonts w:hint="eastAsia" w:ascii="Times New Roman" w:hAnsi="Times New Roman" w:eastAsia="宋体"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zh-CN" w:eastAsia="zh-CN" w:bidi="ar-SA"/>
              </w:rPr>
              <w:t>试行</w:t>
            </w:r>
            <w:r>
              <w:rPr>
                <w:rFonts w:hint="eastAsia" w:ascii="Times New Roman" w:hAnsi="Times New Roman" w:eastAsia="宋体"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zh-CN" w:eastAsia="zh-CN" w:bidi="ar-SA"/>
              </w:rPr>
              <w:t>》</w:t>
            </w:r>
            <w:r>
              <w:rPr>
                <w:rFonts w:hint="eastAsia" w:ascii="Times New Roman" w:hAnsi="Times New Roman" w:eastAsia="宋体"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zh-CN" w:eastAsia="zh-CN" w:bidi="ar-SA"/>
              </w:rPr>
              <w:t>环办环评〔2020〕33号</w:t>
            </w:r>
            <w:r>
              <w:rPr>
                <w:rFonts w:hint="eastAsia" w:ascii="Times New Roman" w:hAnsi="Times New Roman" w:eastAsia="宋体" w:cs="Times New Roman"/>
                <w:color w:val="auto"/>
                <w:kern w:val="0"/>
                <w:sz w:val="24"/>
                <w:szCs w:val="20"/>
                <w:lang w:val="en-US" w:eastAsia="zh-CN" w:bidi="ar-SA"/>
              </w:rPr>
              <w:t>）</w:t>
            </w:r>
            <w:r>
              <w:rPr>
                <w:rFonts w:hint="default" w:ascii="Times New Roman" w:hAnsi="Times New Roman" w:eastAsia="宋体" w:cs="Times New Roman"/>
                <w:color w:val="auto"/>
                <w:kern w:val="0"/>
                <w:sz w:val="24"/>
                <w:szCs w:val="20"/>
                <w:lang w:val="zh-CN" w:eastAsia="zh-CN" w:bidi="ar-SA"/>
              </w:rPr>
              <w:t>的要求</w:t>
            </w:r>
            <w:r>
              <w:rPr>
                <w:rFonts w:hint="default" w:ascii="Times New Roman" w:hAnsi="Times New Roman" w:eastAsia="宋体" w:cs="Times New Roman"/>
                <w:color w:val="auto"/>
                <w:kern w:val="0"/>
                <w:sz w:val="24"/>
                <w:szCs w:val="20"/>
                <w:lang w:val="en-US" w:eastAsia="zh-CN" w:bidi="ar-SA"/>
              </w:rPr>
              <w:t>，若项目厂界外周边50米范围内无敏感目标，则不需要进行保护目标声环境质量现状监测，因此，</w:t>
            </w:r>
            <w:r>
              <w:rPr>
                <w:rFonts w:hint="eastAsia" w:ascii="Times New Roman" w:hAnsi="Times New Roman" w:eastAsia="宋体" w:cs="Times New Roman"/>
                <w:color w:val="auto"/>
                <w:kern w:val="0"/>
                <w:sz w:val="24"/>
                <w:szCs w:val="20"/>
                <w:lang w:val="en-US" w:eastAsia="zh-CN" w:bidi="ar-SA"/>
              </w:rPr>
              <w:t>本</w:t>
            </w:r>
            <w:r>
              <w:rPr>
                <w:rFonts w:hint="default" w:ascii="Times New Roman" w:hAnsi="Times New Roman" w:eastAsia="宋体" w:cs="Times New Roman"/>
                <w:color w:val="auto"/>
                <w:kern w:val="0"/>
                <w:sz w:val="24"/>
                <w:szCs w:val="20"/>
                <w:lang w:val="en-US" w:eastAsia="zh-CN" w:bidi="ar-SA"/>
              </w:rPr>
              <w:t>项目不对厂界四周的声环境现状进行检测。</w:t>
            </w:r>
          </w:p>
          <w:p w14:paraId="73D638F6">
            <w:pPr>
              <w:pStyle w:val="3"/>
              <w:keepNext/>
              <w:keepLines/>
              <w:pageBreakBefore w:val="0"/>
              <w:widowControl w:val="0"/>
              <w:kinsoku/>
              <w:wordWrap/>
              <w:overflowPunct/>
              <w:topLinePunct w:val="0"/>
              <w:autoSpaceDE/>
              <w:autoSpaceDN/>
              <w:bidi w:val="0"/>
              <w:adjustRightInd/>
              <w:snapToGrid/>
              <w:spacing w:before="20" w:after="20" w:line="360" w:lineRule="auto"/>
              <w:textAlignment w:val="auto"/>
              <w:rPr>
                <w:rFonts w:hint="default" w:ascii="Times New Roman" w:hAnsi="Times New Roman" w:eastAsia="宋体" w:cs="Times New Roman"/>
                <w:color w:val="auto"/>
                <w:sz w:val="30"/>
                <w:szCs w:val="30"/>
                <w:highlight w:val="none"/>
              </w:rPr>
            </w:pPr>
            <w:r>
              <w:rPr>
                <w:rFonts w:hint="eastAsia" w:ascii="Times New Roman" w:hAnsi="Times New Roman" w:eastAsia="宋体" w:cs="Times New Roman"/>
                <w:color w:val="auto"/>
                <w:sz w:val="30"/>
                <w:szCs w:val="30"/>
                <w:highlight w:val="none"/>
                <w:lang w:val="en-US" w:eastAsia="zh-CN"/>
              </w:rPr>
              <w:t>3.4</w:t>
            </w:r>
            <w:r>
              <w:rPr>
                <w:rFonts w:hint="eastAsia" w:ascii="Times New Roman" w:hAnsi="Times New Roman" w:eastAsia="宋体" w:cs="Times New Roman"/>
                <w:color w:val="auto"/>
                <w:sz w:val="30"/>
                <w:szCs w:val="30"/>
                <w:highlight w:val="none"/>
              </w:rPr>
              <w:t>生态环境现状调查</w:t>
            </w:r>
          </w:p>
          <w:p w14:paraId="1B181674">
            <w:pPr>
              <w:pStyle w:val="116"/>
              <w:rPr>
                <w:rFonts w:hint="eastAsia"/>
                <w:color w:val="auto"/>
                <w:lang w:val="zh-CN" w:eastAsia="zh-CN"/>
              </w:rPr>
            </w:pPr>
            <w:r>
              <w:rPr>
                <w:rFonts w:hint="eastAsia"/>
                <w:color w:val="auto"/>
                <w:lang w:val="zh-CN" w:eastAsia="zh-CN"/>
              </w:rPr>
              <w:t>本项目未新增用地，租用已建厂房进行生产；根据调查，项目用地周边以城市道路、其他工业企业等为主，项目评价区域主要植被为草坪、行道树等景观树种，主要动物为常见的蛙类、鸟类和昆虫类等，评价区域内无珍稀濒危物种、自然保护区、风景名胜区等生态敏感目标，调查区域也未发现国家重点保护的野生动植物等，因此，本环评不对生态环境现状进行评价。</w:t>
            </w:r>
          </w:p>
          <w:p w14:paraId="7248E440">
            <w:pPr>
              <w:pStyle w:val="3"/>
              <w:keepNext/>
              <w:keepLines/>
              <w:pageBreakBefore w:val="0"/>
              <w:widowControl w:val="0"/>
              <w:kinsoku/>
              <w:wordWrap/>
              <w:overflowPunct/>
              <w:topLinePunct w:val="0"/>
              <w:autoSpaceDE/>
              <w:autoSpaceDN/>
              <w:bidi w:val="0"/>
              <w:adjustRightInd/>
              <w:snapToGrid/>
              <w:spacing w:before="20" w:after="20" w:line="360" w:lineRule="auto"/>
              <w:textAlignment w:val="auto"/>
              <w:rPr>
                <w:rFonts w:hint="eastAsia" w:ascii="Times New Roman" w:hAnsi="Times New Roman" w:eastAsia="宋体" w:cs="Times New Roman"/>
                <w:color w:val="auto"/>
                <w:sz w:val="30"/>
                <w:szCs w:val="30"/>
                <w:highlight w:val="none"/>
                <w:lang w:val="en-US" w:eastAsia="zh-CN"/>
              </w:rPr>
            </w:pPr>
            <w:r>
              <w:rPr>
                <w:rFonts w:hint="eastAsia" w:ascii="Times New Roman" w:hAnsi="Times New Roman" w:eastAsia="宋体" w:cs="Times New Roman"/>
                <w:color w:val="auto"/>
                <w:sz w:val="30"/>
                <w:szCs w:val="30"/>
                <w:highlight w:val="none"/>
                <w:lang w:val="en-US" w:eastAsia="zh-CN"/>
              </w:rPr>
              <w:t>3.5地下水、土壤环境</w:t>
            </w:r>
          </w:p>
          <w:p w14:paraId="7081D711">
            <w:pPr>
              <w:pStyle w:val="116"/>
              <w:rPr>
                <w:rFonts w:hint="eastAsia" w:ascii="Times New Roman" w:hAnsi="Times New Roman" w:eastAsia="宋体" w:cs="Times New Roman"/>
                <w:color w:val="auto"/>
                <w:kern w:val="0"/>
                <w:sz w:val="24"/>
                <w:szCs w:val="22"/>
                <w:lang w:val="zh-CN" w:eastAsia="zh-CN" w:bidi="ar-SA"/>
              </w:rPr>
            </w:pPr>
            <w:r>
              <w:rPr>
                <w:rFonts w:hint="eastAsia" w:ascii="Times New Roman" w:hAnsi="Times New Roman" w:eastAsia="宋体" w:cs="Times New Roman"/>
                <w:color w:val="auto"/>
                <w:kern w:val="0"/>
                <w:sz w:val="24"/>
                <w:szCs w:val="22"/>
                <w:lang w:val="zh-CN" w:eastAsia="zh-CN" w:bidi="ar-SA"/>
              </w:rPr>
              <w:t>根据《建设项目环境影响报告表编制技术指南（污染影响类）（试行）》：</w:t>
            </w:r>
            <w:r>
              <w:rPr>
                <w:rFonts w:hint="eastAsia" w:ascii="Times New Roman" w:hAnsi="Times New Roman" w:eastAsia="宋体" w:cs="Times New Roman"/>
                <w:color w:val="auto"/>
                <w:lang w:val="zh-CN" w:eastAsia="zh-CN"/>
              </w:rPr>
              <w:t>地下水、土壤环境原则上不开展环境质量现状调查。建设项目存在土壤、地下水环境污染途径的，应结合污染</w:t>
            </w:r>
            <w:r>
              <w:rPr>
                <w:rFonts w:hint="eastAsia" w:ascii="Times New Roman" w:hAnsi="Times New Roman" w:eastAsia="宋体" w:cs="Times New Roman"/>
                <w:color w:val="auto"/>
                <w:kern w:val="0"/>
                <w:sz w:val="24"/>
                <w:szCs w:val="22"/>
                <w:lang w:val="zh-CN" w:eastAsia="zh-CN" w:bidi="ar-SA"/>
              </w:rPr>
              <w:t>源、保护目标分布情况开展现状调查以留作背景值。</w:t>
            </w:r>
          </w:p>
          <w:p w14:paraId="7B28E4BA">
            <w:pPr>
              <w:pStyle w:val="116"/>
              <w:rPr>
                <w:rFonts w:hint="eastAsia"/>
                <w:color w:val="auto"/>
              </w:rPr>
            </w:pPr>
            <w:r>
              <w:rPr>
                <w:rFonts w:hint="eastAsia" w:ascii="Times New Roman" w:hAnsi="Times New Roman" w:eastAsia="宋体" w:cs="Times New Roman"/>
                <w:color w:val="auto"/>
                <w:kern w:val="0"/>
                <w:sz w:val="24"/>
                <w:szCs w:val="22"/>
                <w:lang w:val="zh-CN" w:eastAsia="zh-CN" w:bidi="ar-SA"/>
              </w:rPr>
              <w:t>另该指南未对土壤环境敏感目标</w:t>
            </w:r>
            <w:r>
              <w:rPr>
                <w:rFonts w:hint="eastAsia" w:cs="Times New Roman"/>
                <w:color w:val="auto"/>
                <w:kern w:val="0"/>
                <w:sz w:val="24"/>
                <w:szCs w:val="22"/>
                <w:lang w:val="zh-CN" w:eastAsia="zh-CN" w:bidi="ar-SA"/>
              </w:rPr>
              <w:t>作</w:t>
            </w:r>
            <w:r>
              <w:rPr>
                <w:rFonts w:hint="eastAsia" w:ascii="Times New Roman" w:hAnsi="Times New Roman" w:eastAsia="宋体" w:cs="Times New Roman"/>
                <w:color w:val="auto"/>
                <w:kern w:val="0"/>
                <w:sz w:val="24"/>
                <w:szCs w:val="22"/>
                <w:lang w:val="zh-CN" w:eastAsia="zh-CN" w:bidi="ar-SA"/>
              </w:rPr>
              <w:t>出解释说明，参照地下水敏感目标情况：明确厂界外500米范围内的地下水集中式饮用水水源和热水、矿泉水、温泉等特殊地下水资源。该项目周边无上述情况，项目评价范围内不涉及地下水及土壤环境敏感目标，项目有机废气产生量比较少，大气沉降不明显，化粪池和危废库均参照GB18598标准做好防渗，能有效的阻断对土壤和地下水的污染途径，对土壤和地下水环境影响较小，因此未开展土壤、地下水现状调查。</w:t>
            </w:r>
          </w:p>
        </w:tc>
      </w:tr>
      <w:tr w14:paraId="7F90B7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800" w:type="dxa"/>
            <w:noWrap w:val="0"/>
            <w:vAlign w:val="center"/>
          </w:tcPr>
          <w:p w14:paraId="6B57E422">
            <w:pPr>
              <w:adjustRightInd w:val="0"/>
              <w:snapToGrid w:val="0"/>
              <w:jc w:val="center"/>
              <w:rPr>
                <w:color w:val="auto"/>
                <w:kern w:val="0"/>
                <w:szCs w:val="21"/>
              </w:rPr>
            </w:pPr>
            <w:r>
              <w:rPr>
                <w:color w:val="auto"/>
                <w:kern w:val="0"/>
                <w:szCs w:val="21"/>
              </w:rPr>
              <w:t>环境</w:t>
            </w:r>
          </w:p>
          <w:p w14:paraId="7DBE8174">
            <w:pPr>
              <w:adjustRightInd w:val="0"/>
              <w:snapToGrid w:val="0"/>
              <w:jc w:val="center"/>
              <w:rPr>
                <w:color w:val="auto"/>
                <w:kern w:val="0"/>
                <w:szCs w:val="21"/>
              </w:rPr>
            </w:pPr>
            <w:r>
              <w:rPr>
                <w:color w:val="auto"/>
                <w:kern w:val="0"/>
                <w:szCs w:val="21"/>
              </w:rPr>
              <w:t>保护</w:t>
            </w:r>
          </w:p>
          <w:p w14:paraId="1B3A2BC9">
            <w:pPr>
              <w:adjustRightInd w:val="0"/>
              <w:snapToGrid w:val="0"/>
              <w:jc w:val="center"/>
              <w:rPr>
                <w:color w:val="auto"/>
                <w:kern w:val="0"/>
                <w:szCs w:val="21"/>
              </w:rPr>
            </w:pPr>
            <w:r>
              <w:rPr>
                <w:color w:val="auto"/>
                <w:kern w:val="0"/>
                <w:szCs w:val="21"/>
              </w:rPr>
              <w:t>目标</w:t>
            </w:r>
          </w:p>
        </w:tc>
        <w:tc>
          <w:tcPr>
            <w:tcW w:w="8190" w:type="dxa"/>
            <w:noWrap w:val="0"/>
            <w:vAlign w:val="center"/>
          </w:tcPr>
          <w:p w14:paraId="3ED2F0E8">
            <w:pPr>
              <w:pStyle w:val="3"/>
              <w:keepNext/>
              <w:keepLines/>
              <w:pageBreakBefore w:val="0"/>
              <w:widowControl w:val="0"/>
              <w:kinsoku/>
              <w:wordWrap/>
              <w:overflowPunct/>
              <w:topLinePunct w:val="0"/>
              <w:autoSpaceDE/>
              <w:autoSpaceDN/>
              <w:bidi w:val="0"/>
              <w:adjustRightInd/>
              <w:snapToGrid/>
              <w:spacing w:before="20" w:after="20" w:line="360" w:lineRule="auto"/>
              <w:textAlignment w:val="auto"/>
              <w:rPr>
                <w:rFonts w:hint="default" w:ascii="Times New Roman" w:hAnsi="Times New Roman" w:eastAsia="宋体" w:cs="Times New Roman"/>
                <w:color w:val="auto"/>
                <w:sz w:val="30"/>
                <w:szCs w:val="30"/>
                <w:highlight w:val="none"/>
                <w:lang w:val="en-US" w:eastAsia="zh-CN"/>
              </w:rPr>
            </w:pPr>
            <w:r>
              <w:rPr>
                <w:rFonts w:hint="default" w:ascii="Times New Roman" w:hAnsi="Times New Roman" w:eastAsia="宋体" w:cs="Times New Roman"/>
                <w:color w:val="auto"/>
                <w:sz w:val="30"/>
                <w:szCs w:val="30"/>
                <w:highlight w:val="none"/>
                <w:lang w:val="en-US" w:eastAsia="zh-CN"/>
              </w:rPr>
              <w:t>3.6环境保护目标</w:t>
            </w:r>
          </w:p>
          <w:p w14:paraId="724D1D79">
            <w:pPr>
              <w:pStyle w:val="4"/>
              <w:bidi w:val="0"/>
              <w:rPr>
                <w:rFonts w:hint="default"/>
                <w:color w:val="auto"/>
                <w:highlight w:val="none"/>
                <w:lang w:val="en-US" w:eastAsia="zh-CN"/>
              </w:rPr>
            </w:pPr>
            <w:r>
              <w:rPr>
                <w:rFonts w:hint="default"/>
                <w:color w:val="auto"/>
                <w:highlight w:val="none"/>
                <w:lang w:val="en-US" w:eastAsia="zh-CN"/>
              </w:rPr>
              <w:t>3.6.1 大气环境、地表水环境、声环境</w:t>
            </w:r>
          </w:p>
          <w:p w14:paraId="7551A472">
            <w:pPr>
              <w:pStyle w:val="116"/>
              <w:rPr>
                <w:rFonts w:hint="default" w:eastAsia="宋体"/>
                <w:color w:val="auto"/>
                <w:sz w:val="24"/>
                <w:szCs w:val="24"/>
                <w:highlight w:val="none"/>
                <w:lang w:val="zh-CN" w:eastAsia="zh-CN"/>
              </w:rPr>
            </w:pPr>
            <w:r>
              <w:rPr>
                <w:rFonts w:hint="default"/>
                <w:color w:val="auto"/>
                <w:lang w:val="zh-CN" w:eastAsia="zh-CN"/>
              </w:rPr>
              <w:t>根据《建设项目环境影响报告表编制技术指南</w:t>
            </w:r>
            <w:r>
              <w:rPr>
                <w:rFonts w:hint="eastAsia"/>
                <w:color w:val="auto"/>
                <w:lang w:val="zh-CN" w:eastAsia="zh-CN"/>
              </w:rPr>
              <w:t>（</w:t>
            </w:r>
            <w:r>
              <w:rPr>
                <w:rFonts w:hint="default"/>
                <w:color w:val="auto"/>
                <w:lang w:val="zh-CN" w:eastAsia="zh-CN"/>
              </w:rPr>
              <w:t>污染影响类</w:t>
            </w:r>
            <w:r>
              <w:rPr>
                <w:rFonts w:hint="eastAsia"/>
                <w:color w:val="auto"/>
                <w:lang w:val="zh-CN" w:eastAsia="zh-CN"/>
              </w:rPr>
              <w:t>）</w:t>
            </w:r>
            <w:r>
              <w:rPr>
                <w:rFonts w:hint="eastAsia"/>
                <w:color w:val="auto"/>
                <w:lang w:val="en-US" w:eastAsia="zh-CN"/>
              </w:rPr>
              <w:t>（</w:t>
            </w:r>
            <w:r>
              <w:rPr>
                <w:rFonts w:hint="default"/>
                <w:color w:val="auto"/>
                <w:lang w:val="zh-CN" w:eastAsia="zh-CN"/>
              </w:rPr>
              <w:t>试行</w:t>
            </w:r>
            <w:r>
              <w:rPr>
                <w:rFonts w:hint="eastAsia"/>
                <w:color w:val="auto"/>
                <w:lang w:val="en-US" w:eastAsia="zh-CN"/>
              </w:rPr>
              <w:t>）</w:t>
            </w:r>
            <w:r>
              <w:rPr>
                <w:rFonts w:hint="default"/>
                <w:color w:val="auto"/>
                <w:lang w:val="zh-CN" w:eastAsia="zh-CN"/>
              </w:rPr>
              <w:t>》</w:t>
            </w:r>
            <w:r>
              <w:rPr>
                <w:rFonts w:hint="eastAsia"/>
                <w:color w:val="auto"/>
                <w:lang w:val="zh-CN" w:eastAsia="zh-CN"/>
              </w:rPr>
              <w:t>（</w:t>
            </w:r>
            <w:r>
              <w:rPr>
                <w:rFonts w:hint="default"/>
                <w:color w:val="auto"/>
                <w:lang w:val="zh-CN" w:eastAsia="zh-CN"/>
              </w:rPr>
              <w:t>环办环评〔2020〕33号</w:t>
            </w:r>
            <w:r>
              <w:rPr>
                <w:rFonts w:hint="eastAsia"/>
                <w:color w:val="auto"/>
                <w:lang w:val="zh-CN" w:eastAsia="zh-CN"/>
              </w:rPr>
              <w:t>）</w:t>
            </w:r>
            <w:r>
              <w:rPr>
                <w:rFonts w:hint="default"/>
                <w:color w:val="auto"/>
                <w:lang w:val="zh-CN" w:eastAsia="zh-CN"/>
              </w:rPr>
              <w:t>要求以及对项目周边环境的调查，项目</w:t>
            </w:r>
            <w:r>
              <w:rPr>
                <w:rFonts w:hint="default"/>
                <w:color w:val="auto"/>
                <w:lang w:val="en-US" w:eastAsia="zh-CN"/>
              </w:rPr>
              <w:t>大气环境</w:t>
            </w:r>
            <w:r>
              <w:rPr>
                <w:rFonts w:hint="eastAsia"/>
                <w:color w:val="auto"/>
                <w:lang w:val="en-US" w:eastAsia="zh-CN"/>
              </w:rPr>
              <w:t>（</w:t>
            </w:r>
            <w:r>
              <w:rPr>
                <w:rFonts w:hint="default"/>
                <w:color w:val="auto"/>
                <w:lang w:val="en-US" w:eastAsia="zh-CN"/>
              </w:rPr>
              <w:t>厂界外500m</w:t>
            </w:r>
            <w:r>
              <w:rPr>
                <w:rFonts w:hint="eastAsia"/>
                <w:color w:val="auto"/>
                <w:lang w:val="en-US" w:eastAsia="zh-CN"/>
              </w:rPr>
              <w:t>）</w:t>
            </w:r>
            <w:r>
              <w:rPr>
                <w:rFonts w:hint="default"/>
                <w:color w:val="auto"/>
                <w:lang w:val="en-US" w:eastAsia="zh-CN"/>
              </w:rPr>
              <w:t>、地表水环境、声环境</w:t>
            </w:r>
            <w:r>
              <w:rPr>
                <w:rFonts w:hint="eastAsia"/>
                <w:color w:val="auto"/>
                <w:lang w:val="en-US" w:eastAsia="zh-CN"/>
              </w:rPr>
              <w:t>（</w:t>
            </w:r>
            <w:r>
              <w:rPr>
                <w:rFonts w:hint="default"/>
                <w:color w:val="auto"/>
                <w:lang w:val="en-US" w:eastAsia="zh-CN"/>
              </w:rPr>
              <w:t>厂界外50m</w:t>
            </w:r>
            <w:r>
              <w:rPr>
                <w:rFonts w:hint="eastAsia"/>
                <w:color w:val="auto"/>
                <w:lang w:val="en-US" w:eastAsia="zh-CN"/>
              </w:rPr>
              <w:t>）</w:t>
            </w:r>
            <w:r>
              <w:rPr>
                <w:rFonts w:hint="default"/>
                <w:color w:val="auto"/>
                <w:lang w:val="en-US" w:eastAsia="zh-CN"/>
              </w:rPr>
              <w:t>等环境保护目标</w:t>
            </w:r>
            <w:r>
              <w:rPr>
                <w:rFonts w:hint="default"/>
                <w:color w:val="auto"/>
                <w:lang w:val="zh-CN" w:eastAsia="zh-CN"/>
              </w:rPr>
              <w:t>见表3.</w:t>
            </w:r>
            <w:r>
              <w:rPr>
                <w:rFonts w:hint="default"/>
                <w:color w:val="auto"/>
                <w:lang w:val="en-US" w:eastAsia="zh-CN"/>
              </w:rPr>
              <w:t>6-1</w:t>
            </w:r>
            <w:r>
              <w:rPr>
                <w:rFonts w:hint="default"/>
                <w:color w:val="auto"/>
                <w:lang w:val="zh-CN" w:eastAsia="zh-CN"/>
              </w:rPr>
              <w:t>和附图</w:t>
            </w:r>
            <w:r>
              <w:rPr>
                <w:rFonts w:hint="default"/>
                <w:color w:val="auto"/>
                <w:lang w:val="en-US" w:eastAsia="zh-CN"/>
              </w:rPr>
              <w:t>2</w:t>
            </w:r>
            <w:r>
              <w:rPr>
                <w:rFonts w:hint="default"/>
                <w:color w:val="auto"/>
                <w:lang w:val="zh-CN" w:eastAsia="zh-CN"/>
              </w:rPr>
              <w:t>。</w:t>
            </w:r>
          </w:p>
          <w:p w14:paraId="3C17B7B4">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表3.6-1 环境保护目标一览表</w:t>
            </w:r>
          </w:p>
          <w:tbl>
            <w:tblPr>
              <w:tblStyle w:val="2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643"/>
              <w:gridCol w:w="1607"/>
              <w:gridCol w:w="1777"/>
              <w:gridCol w:w="2553"/>
            </w:tblGrid>
            <w:tr w14:paraId="78C97B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2" w:type="pct"/>
                  <w:tcBorders>
                    <w:tl2br w:val="nil"/>
                    <w:tr2bl w:val="nil"/>
                  </w:tcBorders>
                  <w:noWrap w:val="0"/>
                  <w:vAlign w:val="center"/>
                </w:tcPr>
                <w:p w14:paraId="27108781">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环境</w:t>
                  </w:r>
                </w:p>
                <w:p w14:paraId="2A0F9E14">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要素</w:t>
                  </w:r>
                </w:p>
              </w:tc>
              <w:tc>
                <w:tcPr>
                  <w:tcW w:w="966" w:type="pct"/>
                  <w:tcBorders>
                    <w:tl2br w:val="nil"/>
                    <w:tr2bl w:val="nil"/>
                  </w:tcBorders>
                  <w:noWrap w:val="0"/>
                  <w:vAlign w:val="center"/>
                </w:tcPr>
                <w:p w14:paraId="571AB729">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环境保护对</w:t>
                  </w:r>
                </w:p>
                <w:p w14:paraId="0598B70B">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象名称</w:t>
                  </w:r>
                </w:p>
              </w:tc>
              <w:tc>
                <w:tcPr>
                  <w:tcW w:w="945" w:type="pct"/>
                  <w:tcBorders>
                    <w:tl2br w:val="nil"/>
                    <w:tr2bl w:val="nil"/>
                  </w:tcBorders>
                  <w:noWrap w:val="0"/>
                  <w:vAlign w:val="center"/>
                </w:tcPr>
                <w:p w14:paraId="5FEEA7D0">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相对项目的方位和最近距离</w:t>
                  </w:r>
                </w:p>
              </w:tc>
              <w:tc>
                <w:tcPr>
                  <w:tcW w:w="1045" w:type="pct"/>
                  <w:tcBorders>
                    <w:tl2br w:val="nil"/>
                    <w:tr2bl w:val="nil"/>
                  </w:tcBorders>
                  <w:noWrap w:val="0"/>
                  <w:vAlign w:val="center"/>
                </w:tcPr>
                <w:p w14:paraId="627C9584">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目标规模</w:t>
                  </w:r>
                </w:p>
              </w:tc>
              <w:tc>
                <w:tcPr>
                  <w:tcW w:w="1500" w:type="pct"/>
                  <w:tcBorders>
                    <w:tl2br w:val="nil"/>
                    <w:tr2bl w:val="nil"/>
                  </w:tcBorders>
                  <w:noWrap w:val="0"/>
                  <w:vAlign w:val="center"/>
                </w:tcPr>
                <w:p w14:paraId="7E796C65">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环境功能</w:t>
                  </w:r>
                </w:p>
              </w:tc>
            </w:tr>
            <w:tr w14:paraId="0181FF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2" w:type="pct"/>
                  <w:vMerge w:val="restart"/>
                  <w:tcBorders>
                    <w:tl2br w:val="nil"/>
                    <w:tr2bl w:val="nil"/>
                  </w:tcBorders>
                  <w:noWrap w:val="0"/>
                  <w:vAlign w:val="center"/>
                </w:tcPr>
                <w:p w14:paraId="38D5F308">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环境</w:t>
                  </w:r>
                </w:p>
                <w:p w14:paraId="3D5EF281">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空气</w:t>
                  </w:r>
                </w:p>
              </w:tc>
              <w:tc>
                <w:tcPr>
                  <w:tcW w:w="966" w:type="pct"/>
                  <w:tcBorders>
                    <w:tl2br w:val="nil"/>
                    <w:tr2bl w:val="nil"/>
                  </w:tcBorders>
                  <w:noWrap w:val="0"/>
                  <w:vAlign w:val="center"/>
                </w:tcPr>
                <w:p w14:paraId="3BE02184">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南山安置房</w:t>
                  </w:r>
                </w:p>
              </w:tc>
              <w:tc>
                <w:tcPr>
                  <w:tcW w:w="945" w:type="pct"/>
                  <w:tcBorders>
                    <w:tl2br w:val="nil"/>
                    <w:tr2bl w:val="nil"/>
                  </w:tcBorders>
                  <w:noWrap w:val="0"/>
                  <w:vAlign w:val="center"/>
                </w:tcPr>
                <w:p w14:paraId="496F03BD">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西南侧240m</w:t>
                  </w:r>
                </w:p>
              </w:tc>
              <w:tc>
                <w:tcPr>
                  <w:tcW w:w="1045" w:type="pct"/>
                  <w:tcBorders>
                    <w:tl2br w:val="nil"/>
                    <w:tr2bl w:val="nil"/>
                  </w:tcBorders>
                  <w:noWrap w:val="0"/>
                  <w:vAlign w:val="center"/>
                </w:tcPr>
                <w:p w14:paraId="51752D61">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约</w:t>
                  </w:r>
                  <w:r>
                    <w:rPr>
                      <w:rFonts w:hint="eastAsia" w:ascii="Times New Roman" w:hAnsi="Times New Roman" w:eastAsia="宋体" w:cs="Times New Roman"/>
                      <w:b w:val="0"/>
                      <w:bCs/>
                      <w:color w:val="auto"/>
                      <w:sz w:val="21"/>
                      <w:szCs w:val="21"/>
                      <w:highlight w:val="none"/>
                      <w:lang w:val="en-US" w:eastAsia="zh-CN"/>
                    </w:rPr>
                    <w:t>970</w:t>
                  </w:r>
                  <w:r>
                    <w:rPr>
                      <w:rFonts w:hint="default" w:ascii="Times New Roman" w:hAnsi="Times New Roman" w:eastAsia="宋体" w:cs="Times New Roman"/>
                      <w:b w:val="0"/>
                      <w:bCs/>
                      <w:color w:val="auto"/>
                      <w:sz w:val="21"/>
                      <w:szCs w:val="21"/>
                      <w:highlight w:val="none"/>
                      <w:lang w:val="en-US" w:eastAsia="zh-CN"/>
                    </w:rPr>
                    <w:t>人</w:t>
                  </w:r>
                </w:p>
              </w:tc>
              <w:tc>
                <w:tcPr>
                  <w:tcW w:w="1500" w:type="pct"/>
                  <w:vMerge w:val="restart"/>
                  <w:tcBorders>
                    <w:tl2br w:val="nil"/>
                    <w:tr2bl w:val="nil"/>
                  </w:tcBorders>
                  <w:noWrap w:val="0"/>
                  <w:vAlign w:val="center"/>
                </w:tcPr>
                <w:p w14:paraId="1D8B7BDB">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eastAsia="zh-CN"/>
                    </w:rPr>
                    <w:t>《环境空气质量标准》（GB 3095-2026）中的二级标准</w:t>
                  </w:r>
                </w:p>
              </w:tc>
            </w:tr>
            <w:tr w14:paraId="47CF4C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2" w:type="pct"/>
                  <w:vMerge w:val="continue"/>
                  <w:tcBorders>
                    <w:tl2br w:val="nil"/>
                    <w:tr2bl w:val="nil"/>
                  </w:tcBorders>
                  <w:noWrap w:val="0"/>
                  <w:vAlign w:val="center"/>
                </w:tcPr>
                <w:p w14:paraId="6C8206C3">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p>
              </w:tc>
              <w:tc>
                <w:tcPr>
                  <w:tcW w:w="966" w:type="pct"/>
                  <w:tcBorders>
                    <w:tl2br w:val="nil"/>
                    <w:tr2bl w:val="nil"/>
                  </w:tcBorders>
                  <w:noWrap w:val="0"/>
                  <w:vAlign w:val="center"/>
                </w:tcPr>
                <w:p w14:paraId="544CBD4E">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南山</w:t>
                  </w:r>
                  <w:r>
                    <w:rPr>
                      <w:rFonts w:hint="default" w:ascii="Times New Roman" w:hAnsi="Times New Roman" w:eastAsia="宋体" w:cs="Times New Roman"/>
                      <w:b w:val="0"/>
                      <w:bCs/>
                      <w:color w:val="auto"/>
                      <w:sz w:val="21"/>
                      <w:szCs w:val="21"/>
                      <w:highlight w:val="none"/>
                      <w:lang w:val="en-US" w:eastAsia="zh-CN"/>
                    </w:rPr>
                    <w:t>村</w:t>
                  </w:r>
                </w:p>
              </w:tc>
              <w:tc>
                <w:tcPr>
                  <w:tcW w:w="945" w:type="pct"/>
                  <w:tcBorders>
                    <w:tl2br w:val="nil"/>
                    <w:tr2bl w:val="nil"/>
                  </w:tcBorders>
                  <w:noWrap w:val="0"/>
                  <w:vAlign w:val="center"/>
                </w:tcPr>
                <w:p w14:paraId="693795CC">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南</w:t>
                  </w:r>
                  <w:r>
                    <w:rPr>
                      <w:rFonts w:hint="default" w:ascii="Times New Roman" w:hAnsi="Times New Roman" w:eastAsia="宋体" w:cs="Times New Roman"/>
                      <w:b w:val="0"/>
                      <w:bCs/>
                      <w:color w:val="auto"/>
                      <w:sz w:val="21"/>
                      <w:szCs w:val="21"/>
                      <w:highlight w:val="none"/>
                      <w:lang w:val="en-US" w:eastAsia="zh-CN"/>
                    </w:rPr>
                    <w:t>侧</w:t>
                  </w:r>
                  <w:r>
                    <w:rPr>
                      <w:rFonts w:hint="eastAsia" w:ascii="Times New Roman" w:hAnsi="Times New Roman" w:cs="Times New Roman"/>
                      <w:b w:val="0"/>
                      <w:bCs/>
                      <w:color w:val="auto"/>
                      <w:sz w:val="21"/>
                      <w:szCs w:val="21"/>
                      <w:highlight w:val="none"/>
                      <w:lang w:val="en-US" w:eastAsia="zh-CN"/>
                    </w:rPr>
                    <w:t>27</w:t>
                  </w:r>
                  <w:r>
                    <w:rPr>
                      <w:rFonts w:hint="default" w:ascii="Times New Roman" w:hAnsi="Times New Roman" w:eastAsia="宋体" w:cs="Times New Roman"/>
                      <w:b w:val="0"/>
                      <w:bCs/>
                      <w:color w:val="auto"/>
                      <w:sz w:val="21"/>
                      <w:szCs w:val="21"/>
                      <w:highlight w:val="none"/>
                      <w:lang w:val="en-US" w:eastAsia="zh-CN"/>
                    </w:rPr>
                    <w:t>0m</w:t>
                  </w:r>
                </w:p>
              </w:tc>
              <w:tc>
                <w:tcPr>
                  <w:tcW w:w="1045" w:type="pct"/>
                  <w:tcBorders>
                    <w:tl2br w:val="nil"/>
                    <w:tr2bl w:val="nil"/>
                  </w:tcBorders>
                  <w:noWrap w:val="0"/>
                  <w:vAlign w:val="center"/>
                </w:tcPr>
                <w:p w14:paraId="1C8F254A">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约</w:t>
                  </w:r>
                  <w:r>
                    <w:rPr>
                      <w:rFonts w:hint="eastAsia" w:ascii="Times New Roman" w:hAnsi="Times New Roman" w:cs="Times New Roman"/>
                      <w:b w:val="0"/>
                      <w:bCs/>
                      <w:color w:val="auto"/>
                      <w:sz w:val="21"/>
                      <w:szCs w:val="21"/>
                      <w:highlight w:val="none"/>
                      <w:lang w:val="en-US" w:eastAsia="zh-CN"/>
                    </w:rPr>
                    <w:t>80</w:t>
                  </w:r>
                  <w:r>
                    <w:rPr>
                      <w:rFonts w:hint="default" w:ascii="Times New Roman" w:hAnsi="Times New Roman" w:eastAsia="宋体" w:cs="Times New Roman"/>
                      <w:b w:val="0"/>
                      <w:bCs/>
                      <w:color w:val="auto"/>
                      <w:sz w:val="21"/>
                      <w:szCs w:val="21"/>
                      <w:highlight w:val="none"/>
                      <w:lang w:val="en-US" w:eastAsia="zh-CN"/>
                    </w:rPr>
                    <w:t>00人</w:t>
                  </w:r>
                </w:p>
              </w:tc>
              <w:tc>
                <w:tcPr>
                  <w:tcW w:w="1500" w:type="pct"/>
                  <w:vMerge w:val="continue"/>
                  <w:tcBorders>
                    <w:tl2br w:val="nil"/>
                    <w:tr2bl w:val="nil"/>
                  </w:tcBorders>
                  <w:noWrap w:val="0"/>
                  <w:vAlign w:val="center"/>
                </w:tcPr>
                <w:p w14:paraId="414800D2">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p>
              </w:tc>
            </w:tr>
            <w:tr w14:paraId="632C5A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2" w:type="pct"/>
                  <w:tcBorders>
                    <w:tl2br w:val="nil"/>
                    <w:tr2bl w:val="nil"/>
                  </w:tcBorders>
                  <w:noWrap w:val="0"/>
                  <w:vAlign w:val="center"/>
                </w:tcPr>
                <w:p w14:paraId="3C00A5EF">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地表水</w:t>
                  </w:r>
                </w:p>
              </w:tc>
              <w:tc>
                <w:tcPr>
                  <w:tcW w:w="966" w:type="pct"/>
                  <w:tcBorders>
                    <w:tl2br w:val="nil"/>
                    <w:tr2bl w:val="nil"/>
                  </w:tcBorders>
                  <w:noWrap w:val="0"/>
                  <w:vAlign w:val="center"/>
                </w:tcPr>
                <w:p w14:paraId="6D35C918">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南山溪</w:t>
                  </w:r>
                </w:p>
              </w:tc>
              <w:tc>
                <w:tcPr>
                  <w:tcW w:w="945" w:type="pct"/>
                  <w:tcBorders>
                    <w:tl2br w:val="nil"/>
                    <w:tr2bl w:val="nil"/>
                  </w:tcBorders>
                  <w:noWrap w:val="0"/>
                  <w:vAlign w:val="center"/>
                </w:tcPr>
                <w:p w14:paraId="5F6D8E87">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东</w:t>
                  </w:r>
                  <w:r>
                    <w:rPr>
                      <w:rFonts w:hint="default" w:ascii="Times New Roman" w:hAnsi="Times New Roman" w:eastAsia="宋体" w:cs="Times New Roman"/>
                      <w:b w:val="0"/>
                      <w:bCs/>
                      <w:color w:val="auto"/>
                      <w:sz w:val="21"/>
                      <w:szCs w:val="21"/>
                      <w:highlight w:val="none"/>
                      <w:lang w:val="en-US" w:eastAsia="zh-CN"/>
                    </w:rPr>
                    <w:t>侧</w:t>
                  </w:r>
                  <w:r>
                    <w:rPr>
                      <w:rFonts w:hint="eastAsia" w:ascii="Times New Roman" w:hAnsi="Times New Roman" w:cs="Times New Roman"/>
                      <w:b w:val="0"/>
                      <w:bCs/>
                      <w:color w:val="auto"/>
                      <w:sz w:val="21"/>
                      <w:szCs w:val="21"/>
                      <w:highlight w:val="none"/>
                      <w:lang w:val="en-US" w:eastAsia="zh-CN"/>
                    </w:rPr>
                    <w:t>1</w:t>
                  </w:r>
                  <w:r>
                    <w:rPr>
                      <w:rFonts w:hint="default" w:ascii="Times New Roman" w:hAnsi="Times New Roman" w:eastAsia="宋体" w:cs="Times New Roman"/>
                      <w:b w:val="0"/>
                      <w:bCs/>
                      <w:color w:val="auto"/>
                      <w:sz w:val="21"/>
                      <w:szCs w:val="21"/>
                      <w:highlight w:val="none"/>
                      <w:lang w:val="en-US" w:eastAsia="zh-CN"/>
                    </w:rPr>
                    <w:t>0m</w:t>
                  </w:r>
                </w:p>
              </w:tc>
              <w:tc>
                <w:tcPr>
                  <w:tcW w:w="1045" w:type="pct"/>
                  <w:tcBorders>
                    <w:tl2br w:val="nil"/>
                    <w:tr2bl w:val="nil"/>
                  </w:tcBorders>
                  <w:noWrap w:val="0"/>
                  <w:vAlign w:val="center"/>
                </w:tcPr>
                <w:p w14:paraId="0D7CD142">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小型河流，河宽约13m</w:t>
                  </w:r>
                </w:p>
              </w:tc>
              <w:tc>
                <w:tcPr>
                  <w:tcW w:w="1500" w:type="pct"/>
                  <w:tcBorders>
                    <w:tl2br w:val="nil"/>
                    <w:tr2bl w:val="nil"/>
                  </w:tcBorders>
                  <w:noWrap w:val="0"/>
                  <w:vAlign w:val="center"/>
                </w:tcPr>
                <w:p w14:paraId="3A4E4FE6">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《地表水环境质量标准》</w:t>
                  </w:r>
                  <w:r>
                    <w:rPr>
                      <w:rFonts w:hint="eastAsia" w:ascii="Times New Roman" w:hAnsi="Times New Roman" w:eastAsia="宋体" w:cs="Times New Roman"/>
                      <w:b w:val="0"/>
                      <w:bCs/>
                      <w:color w:val="auto"/>
                      <w:sz w:val="21"/>
                      <w:szCs w:val="21"/>
                      <w:highlight w:val="none"/>
                      <w:lang w:val="en-US" w:eastAsia="zh-CN"/>
                    </w:rPr>
                    <w:t>（</w:t>
                  </w:r>
                  <w:r>
                    <w:rPr>
                      <w:rFonts w:hint="default" w:ascii="Times New Roman" w:hAnsi="Times New Roman" w:eastAsia="宋体" w:cs="Times New Roman"/>
                      <w:b w:val="0"/>
                      <w:bCs/>
                      <w:color w:val="auto"/>
                      <w:sz w:val="21"/>
                      <w:szCs w:val="21"/>
                      <w:highlight w:val="none"/>
                      <w:lang w:val="en-US" w:eastAsia="zh-CN"/>
                    </w:rPr>
                    <w:t>GB3838-2002</w:t>
                  </w:r>
                  <w:r>
                    <w:rPr>
                      <w:rFonts w:hint="eastAsia" w:ascii="Times New Roman" w:hAnsi="Times New Roman" w:eastAsia="宋体" w:cs="Times New Roman"/>
                      <w:b w:val="0"/>
                      <w:bCs/>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Ⅴ</w:t>
                  </w:r>
                  <w:r>
                    <w:rPr>
                      <w:rFonts w:hint="default" w:ascii="Times New Roman" w:hAnsi="Times New Roman" w:eastAsia="宋体" w:cs="Times New Roman"/>
                      <w:b w:val="0"/>
                      <w:bCs/>
                      <w:color w:val="auto"/>
                      <w:sz w:val="21"/>
                      <w:szCs w:val="21"/>
                      <w:highlight w:val="none"/>
                      <w:lang w:val="en-US" w:eastAsia="zh-CN"/>
                    </w:rPr>
                    <w:t>类标准</w:t>
                  </w:r>
                </w:p>
              </w:tc>
            </w:tr>
            <w:tr w14:paraId="271FA5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2" w:type="pct"/>
                  <w:tcBorders>
                    <w:tl2br w:val="nil"/>
                    <w:tr2bl w:val="nil"/>
                  </w:tcBorders>
                  <w:noWrap w:val="0"/>
                  <w:vAlign w:val="center"/>
                </w:tcPr>
                <w:p w14:paraId="4482C28C">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声环境</w:t>
                  </w:r>
                </w:p>
              </w:tc>
              <w:tc>
                <w:tcPr>
                  <w:tcW w:w="4457" w:type="pct"/>
                  <w:gridSpan w:val="4"/>
                  <w:tcBorders>
                    <w:tl2br w:val="nil"/>
                    <w:tr2bl w:val="nil"/>
                  </w:tcBorders>
                  <w:noWrap w:val="0"/>
                  <w:vAlign w:val="center"/>
                </w:tcPr>
                <w:p w14:paraId="3F448E82">
                  <w:pPr>
                    <w:pStyle w:val="111"/>
                    <w:keepNext w:val="0"/>
                    <w:keepLines w:val="0"/>
                    <w:pageBreakBefore w:val="0"/>
                    <w:widowControl w:val="0"/>
                    <w:kinsoku/>
                    <w:wordWrap/>
                    <w:overflowPunct/>
                    <w:topLinePunct w:val="0"/>
                    <w:autoSpaceDE/>
                    <w:autoSpaceDN/>
                    <w:bidi w:val="0"/>
                    <w:adjustRightInd w:val="0"/>
                    <w:snapToGrid w:val="0"/>
                    <w:spacing w:before="0" w:line="320" w:lineRule="exact"/>
                    <w:ind w:left="0" w:right="0" w:firstLine="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项目厂界外50m范围内无声环境保护目标</w:t>
                  </w:r>
                </w:p>
              </w:tc>
            </w:tr>
          </w:tbl>
          <w:p w14:paraId="22E4DDEE">
            <w:pPr>
              <w:pStyle w:val="4"/>
              <w:bidi w:val="0"/>
              <w:rPr>
                <w:rFonts w:hint="default"/>
                <w:color w:val="auto"/>
                <w:highlight w:val="none"/>
              </w:rPr>
            </w:pPr>
            <w:r>
              <w:rPr>
                <w:rFonts w:hint="default"/>
                <w:color w:val="auto"/>
                <w:highlight w:val="none"/>
              </w:rPr>
              <w:t>3.</w:t>
            </w:r>
            <w:r>
              <w:rPr>
                <w:rFonts w:hint="default"/>
                <w:color w:val="auto"/>
                <w:highlight w:val="none"/>
                <w:lang w:val="en-US" w:eastAsia="zh-CN"/>
              </w:rPr>
              <w:t>6</w:t>
            </w:r>
            <w:r>
              <w:rPr>
                <w:rFonts w:hint="default"/>
                <w:color w:val="auto"/>
                <w:highlight w:val="none"/>
              </w:rPr>
              <w:t>.2</w:t>
            </w:r>
            <w:r>
              <w:rPr>
                <w:rFonts w:hint="default"/>
                <w:color w:val="auto"/>
                <w:highlight w:val="none"/>
                <w:lang w:val="en-US" w:eastAsia="zh-CN"/>
              </w:rPr>
              <w:t xml:space="preserve"> </w:t>
            </w:r>
            <w:r>
              <w:rPr>
                <w:rFonts w:hint="default"/>
                <w:color w:val="auto"/>
                <w:highlight w:val="none"/>
              </w:rPr>
              <w:t>生态环境保护目标</w:t>
            </w:r>
          </w:p>
          <w:p w14:paraId="6F2D5A32">
            <w:pPr>
              <w:pStyle w:val="116"/>
              <w:rPr>
                <w:rFonts w:hint="eastAsia"/>
                <w:color w:val="auto"/>
              </w:rPr>
            </w:pPr>
            <w:r>
              <w:rPr>
                <w:rFonts w:hint="default"/>
                <w:color w:val="auto"/>
                <w:lang w:val="en-US" w:eastAsia="zh-CN"/>
              </w:rPr>
              <w:t>根据《建设项目环境影响报告表编制技术指南</w:t>
            </w:r>
            <w:r>
              <w:rPr>
                <w:rFonts w:hint="eastAsia"/>
                <w:color w:val="auto"/>
                <w:lang w:val="en-US" w:eastAsia="zh-CN"/>
              </w:rPr>
              <w:t>（</w:t>
            </w:r>
            <w:r>
              <w:rPr>
                <w:rFonts w:hint="default"/>
                <w:color w:val="auto"/>
                <w:lang w:val="en-US" w:eastAsia="zh-CN"/>
              </w:rPr>
              <w:t>污染影响类</w:t>
            </w:r>
            <w:r>
              <w:rPr>
                <w:rFonts w:hint="eastAsia"/>
                <w:color w:val="auto"/>
                <w:lang w:val="en-US" w:eastAsia="zh-CN"/>
              </w:rPr>
              <w:t>）（</w:t>
            </w:r>
            <w:r>
              <w:rPr>
                <w:rFonts w:hint="default"/>
                <w:color w:val="auto"/>
                <w:lang w:val="en-US" w:eastAsia="zh-CN"/>
              </w:rPr>
              <w:t>试行</w:t>
            </w:r>
            <w:r>
              <w:rPr>
                <w:rFonts w:hint="eastAsia"/>
                <w:color w:val="auto"/>
                <w:lang w:val="en-US" w:eastAsia="zh-CN"/>
              </w:rPr>
              <w:t>）</w:t>
            </w:r>
            <w:r>
              <w:rPr>
                <w:rFonts w:hint="default"/>
                <w:color w:val="auto"/>
                <w:lang w:val="en-US" w:eastAsia="zh-CN"/>
              </w:rPr>
              <w:t>》</w:t>
            </w:r>
            <w:r>
              <w:rPr>
                <w:rFonts w:hint="eastAsia"/>
                <w:color w:val="auto"/>
                <w:lang w:val="en-US" w:eastAsia="zh-CN"/>
              </w:rPr>
              <w:t>（</w:t>
            </w:r>
            <w:r>
              <w:rPr>
                <w:rFonts w:hint="default"/>
                <w:color w:val="auto"/>
                <w:lang w:val="en-US" w:eastAsia="zh-CN"/>
              </w:rPr>
              <w:t>环办环评〔2020〕33号</w:t>
            </w:r>
            <w:r>
              <w:rPr>
                <w:rFonts w:hint="eastAsia"/>
                <w:color w:val="auto"/>
                <w:lang w:val="en-US" w:eastAsia="zh-CN"/>
              </w:rPr>
              <w:t>）“</w:t>
            </w:r>
            <w:r>
              <w:rPr>
                <w:rFonts w:hint="default"/>
                <w:color w:val="auto"/>
                <w:lang w:val="en-US" w:eastAsia="zh-CN"/>
              </w:rPr>
              <w:t>产业园区外建设项目新增用地的，应明确新增用地范围内生态环境保护目标</w:t>
            </w:r>
            <w:r>
              <w:rPr>
                <w:rFonts w:hint="eastAsia"/>
                <w:color w:val="auto"/>
                <w:lang w:val="en-US" w:eastAsia="zh-CN"/>
              </w:rPr>
              <w:t>”</w:t>
            </w:r>
            <w:r>
              <w:rPr>
                <w:rFonts w:hint="default"/>
                <w:color w:val="auto"/>
                <w:lang w:val="en-US" w:eastAsia="zh-CN"/>
              </w:rPr>
              <w:t>。本项目未新增用地，租用已建厂房进行生产，因此无需进行生态环境保护目标调查。</w:t>
            </w:r>
          </w:p>
        </w:tc>
      </w:tr>
      <w:tr w14:paraId="4DB3EC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0" w:type="dxa"/>
            <w:noWrap w:val="0"/>
            <w:tcMar>
              <w:left w:w="28" w:type="dxa"/>
              <w:right w:w="28" w:type="dxa"/>
            </w:tcMar>
            <w:vAlign w:val="center"/>
          </w:tcPr>
          <w:p w14:paraId="41E95B3F">
            <w:pPr>
              <w:adjustRightInd w:val="0"/>
              <w:snapToGrid w:val="0"/>
              <w:jc w:val="center"/>
              <w:rPr>
                <w:color w:val="auto"/>
                <w:kern w:val="0"/>
                <w:szCs w:val="21"/>
              </w:rPr>
            </w:pPr>
            <w:r>
              <w:rPr>
                <w:color w:val="auto"/>
                <w:kern w:val="0"/>
                <w:szCs w:val="21"/>
              </w:rPr>
              <w:t>污染</w:t>
            </w:r>
          </w:p>
          <w:p w14:paraId="1F120574">
            <w:pPr>
              <w:adjustRightInd w:val="0"/>
              <w:snapToGrid w:val="0"/>
              <w:jc w:val="center"/>
              <w:rPr>
                <w:color w:val="auto"/>
                <w:kern w:val="0"/>
                <w:szCs w:val="21"/>
              </w:rPr>
            </w:pPr>
            <w:r>
              <w:rPr>
                <w:color w:val="auto"/>
                <w:kern w:val="0"/>
                <w:szCs w:val="21"/>
              </w:rPr>
              <w:t>物排</w:t>
            </w:r>
          </w:p>
          <w:p w14:paraId="050E70A4">
            <w:pPr>
              <w:adjustRightInd w:val="0"/>
              <w:snapToGrid w:val="0"/>
              <w:jc w:val="center"/>
              <w:rPr>
                <w:color w:val="auto"/>
                <w:kern w:val="0"/>
                <w:szCs w:val="21"/>
              </w:rPr>
            </w:pPr>
            <w:r>
              <w:rPr>
                <w:color w:val="auto"/>
                <w:kern w:val="0"/>
                <w:szCs w:val="21"/>
              </w:rPr>
              <w:t>放控</w:t>
            </w:r>
          </w:p>
          <w:p w14:paraId="5A0ED40C">
            <w:pPr>
              <w:adjustRightInd w:val="0"/>
              <w:snapToGrid w:val="0"/>
              <w:jc w:val="center"/>
              <w:rPr>
                <w:color w:val="auto"/>
                <w:kern w:val="0"/>
                <w:szCs w:val="21"/>
              </w:rPr>
            </w:pPr>
            <w:r>
              <w:rPr>
                <w:color w:val="auto"/>
                <w:kern w:val="0"/>
                <w:szCs w:val="21"/>
              </w:rPr>
              <w:t>制标</w:t>
            </w:r>
          </w:p>
          <w:p w14:paraId="7A7149A9">
            <w:pPr>
              <w:adjustRightInd w:val="0"/>
              <w:snapToGrid w:val="0"/>
              <w:jc w:val="center"/>
              <w:rPr>
                <w:color w:val="auto"/>
                <w:kern w:val="0"/>
                <w:szCs w:val="21"/>
              </w:rPr>
            </w:pPr>
            <w:r>
              <w:rPr>
                <w:color w:val="auto"/>
                <w:kern w:val="0"/>
                <w:szCs w:val="21"/>
              </w:rPr>
              <w:t>准</w:t>
            </w:r>
          </w:p>
        </w:tc>
        <w:tc>
          <w:tcPr>
            <w:tcW w:w="8190" w:type="dxa"/>
            <w:noWrap w:val="0"/>
            <w:vAlign w:val="center"/>
          </w:tcPr>
          <w:p w14:paraId="13C0ED3A">
            <w:pPr>
              <w:pStyle w:val="3"/>
              <w:keepNext/>
              <w:keepLines/>
              <w:pageBreakBefore w:val="0"/>
              <w:widowControl w:val="0"/>
              <w:kinsoku/>
              <w:wordWrap/>
              <w:overflowPunct/>
              <w:topLinePunct w:val="0"/>
              <w:autoSpaceDE/>
              <w:autoSpaceDN/>
              <w:bidi w:val="0"/>
              <w:adjustRightInd/>
              <w:snapToGrid/>
              <w:spacing w:before="20" w:after="20" w:line="360" w:lineRule="auto"/>
              <w:textAlignment w:val="auto"/>
              <w:rPr>
                <w:rFonts w:hint="default" w:ascii="Times New Roman" w:hAnsi="Times New Roman" w:eastAsia="宋体" w:cs="Times New Roman"/>
                <w:color w:val="auto"/>
                <w:sz w:val="30"/>
                <w:szCs w:val="30"/>
                <w:highlight w:val="none"/>
                <w:lang w:val="en-US" w:eastAsia="zh-CN"/>
              </w:rPr>
            </w:pPr>
            <w:r>
              <w:rPr>
                <w:rFonts w:hint="eastAsia" w:ascii="Times New Roman" w:hAnsi="Times New Roman" w:eastAsia="宋体" w:cs="Times New Roman"/>
                <w:color w:val="auto"/>
                <w:sz w:val="30"/>
                <w:szCs w:val="30"/>
                <w:highlight w:val="none"/>
                <w:lang w:val="en-US" w:eastAsia="zh-CN"/>
              </w:rPr>
              <w:t>3.7</w:t>
            </w:r>
            <w:r>
              <w:rPr>
                <w:rFonts w:hint="default" w:ascii="Times New Roman" w:hAnsi="Times New Roman" w:eastAsia="宋体" w:cs="Times New Roman"/>
                <w:color w:val="auto"/>
                <w:sz w:val="30"/>
                <w:szCs w:val="30"/>
                <w:highlight w:val="none"/>
                <w:lang w:val="en-US" w:eastAsia="zh-CN"/>
              </w:rPr>
              <w:t>污染物排放控制标准</w:t>
            </w:r>
          </w:p>
          <w:p w14:paraId="38FD9BD1">
            <w:pPr>
              <w:pStyle w:val="62"/>
              <w:numPr>
                <w:ilvl w:val="2"/>
                <w:numId w:val="0"/>
              </w:numPr>
              <w:ind w:leftChars="0"/>
              <w:rPr>
                <w:color w:val="auto"/>
                <w:sz w:val="28"/>
                <w:szCs w:val="28"/>
              </w:rPr>
            </w:pPr>
            <w:r>
              <w:rPr>
                <w:rFonts w:hint="eastAsia"/>
                <w:color w:val="auto"/>
                <w:sz w:val="28"/>
                <w:szCs w:val="28"/>
                <w:lang w:val="en-US" w:eastAsia="zh-CN"/>
              </w:rPr>
              <w:t>3.7.1</w:t>
            </w:r>
            <w:r>
              <w:rPr>
                <w:color w:val="auto"/>
                <w:sz w:val="28"/>
                <w:szCs w:val="28"/>
              </w:rPr>
              <w:t>废气排放标准</w:t>
            </w:r>
          </w:p>
          <w:p w14:paraId="6AAEE50A">
            <w:pPr>
              <w:pStyle w:val="116"/>
              <w:rPr>
                <w:rFonts w:hint="eastAsia"/>
                <w:color w:val="auto"/>
                <w:lang w:val="en-US" w:eastAsia="zh-CN"/>
              </w:rPr>
            </w:pPr>
            <w:r>
              <w:rPr>
                <w:rFonts w:hint="eastAsia"/>
                <w:color w:val="auto"/>
                <w:lang w:val="en-US" w:eastAsia="zh-CN"/>
              </w:rPr>
              <w:t>本项目生产过程排放的颗粒物、非甲烷总烃排放执行《合成树脂工业污染物排放标准》（GB 31572-2015，含2024年修改单）表4标准，表9标准限值。</w:t>
            </w:r>
          </w:p>
          <w:p w14:paraId="3AD75D56">
            <w:pPr>
              <w:pStyle w:val="116"/>
              <w:rPr>
                <w:rFonts w:hint="eastAsia"/>
                <w:color w:val="auto"/>
                <w:lang w:val="en-US" w:eastAsia="zh-CN"/>
              </w:rPr>
            </w:pPr>
            <w:r>
              <w:rPr>
                <w:rFonts w:hint="eastAsia"/>
                <w:color w:val="auto"/>
                <w:lang w:val="en-US" w:eastAsia="zh-CN"/>
              </w:rPr>
              <w:t>有机废气（以非甲烷总烃计）厂区内监控点处浓度值执行《挥发性有机物无组织排放控制标准》（GB 37822-2019）附录A的表A.1的相应规定。</w:t>
            </w:r>
          </w:p>
          <w:p w14:paraId="500CD965">
            <w:pPr>
              <w:pStyle w:val="11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eastAsia="宋体"/>
                <w:color w:val="auto"/>
                <w:sz w:val="24"/>
                <w:szCs w:val="24"/>
                <w:lang w:val="en-US" w:eastAsia="zh-CN"/>
              </w:rPr>
            </w:pPr>
            <w:r>
              <w:rPr>
                <w:rFonts w:hint="eastAsia"/>
                <w:color w:val="auto"/>
                <w:lang w:val="en-US" w:eastAsia="zh-CN"/>
              </w:rPr>
              <w:t>项目有组织废气排放标准见</w:t>
            </w:r>
            <w:r>
              <w:rPr>
                <w:rFonts w:hint="eastAsia"/>
                <w:color w:val="auto"/>
                <w:lang w:val="en-US" w:eastAsia="zh-CN"/>
              </w:rPr>
              <w:fldChar w:fldCharType="begin"/>
            </w:r>
            <w:r>
              <w:rPr>
                <w:rFonts w:hint="eastAsia"/>
                <w:color w:val="auto"/>
                <w:lang w:val="en-US" w:eastAsia="zh-CN"/>
              </w:rPr>
              <w:instrText xml:space="preserve"> REF _Ref89767092 \r \h  \* MERGEFORMAT </w:instrText>
            </w:r>
            <w:r>
              <w:rPr>
                <w:rFonts w:hint="eastAsia"/>
                <w:color w:val="auto"/>
                <w:lang w:val="en-US" w:eastAsia="zh-CN"/>
              </w:rPr>
              <w:fldChar w:fldCharType="separate"/>
            </w:r>
            <w:r>
              <w:rPr>
                <w:rFonts w:hint="eastAsia"/>
                <w:color w:val="auto"/>
                <w:lang w:val="en-US" w:eastAsia="zh-CN"/>
              </w:rPr>
              <w:t>表3.7-1</w:t>
            </w:r>
            <w:r>
              <w:rPr>
                <w:rFonts w:hint="eastAsia"/>
                <w:color w:val="auto"/>
                <w:lang w:val="en-US" w:eastAsia="zh-CN"/>
              </w:rPr>
              <w:fldChar w:fldCharType="end"/>
            </w:r>
            <w:r>
              <w:rPr>
                <w:rFonts w:hint="eastAsia"/>
                <w:color w:val="auto"/>
                <w:lang w:val="en-US" w:eastAsia="zh-CN"/>
              </w:rPr>
              <w:t>，项目无组织废气排放标准</w:t>
            </w:r>
            <w:r>
              <w:rPr>
                <w:rFonts w:hint="eastAsia"/>
                <w:color w:val="auto"/>
              </w:rPr>
              <w:t>见</w:t>
            </w:r>
            <w:r>
              <w:rPr>
                <w:rFonts w:hint="eastAsia"/>
                <w:color w:val="auto"/>
                <w:lang w:val="en-US" w:eastAsia="zh-CN"/>
              </w:rPr>
              <w:t>表3.7-2。</w:t>
            </w:r>
          </w:p>
          <w:p w14:paraId="4F6D84C7">
            <w:pPr>
              <w:pStyle w:val="11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auto"/>
                <w:sz w:val="24"/>
                <w:szCs w:val="24"/>
                <w:highlight w:val="none"/>
              </w:rPr>
            </w:pPr>
            <w:bookmarkStart w:id="22" w:name="_Ref89767092"/>
            <w:r>
              <w:rPr>
                <w:rFonts w:hint="eastAsia" w:ascii="Times New Roman" w:hAnsi="Times New Roman" w:cs="Times New Roman"/>
                <w:b/>
                <w:bCs/>
                <w:color w:val="auto"/>
                <w:sz w:val="24"/>
                <w:szCs w:val="24"/>
                <w:highlight w:val="none"/>
                <w:lang w:val="en-US" w:eastAsia="zh-CN"/>
              </w:rPr>
              <w:t xml:space="preserve">表3.7-1  </w:t>
            </w:r>
            <w:r>
              <w:rPr>
                <w:rFonts w:hint="eastAsia" w:ascii="Times New Roman" w:hAnsi="Times New Roman" w:cs="Times New Roman"/>
                <w:b/>
                <w:bCs/>
                <w:color w:val="auto"/>
                <w:sz w:val="24"/>
                <w:szCs w:val="24"/>
                <w:highlight w:val="none"/>
              </w:rPr>
              <w:t>项目有组织废气</w:t>
            </w:r>
            <w:r>
              <w:rPr>
                <w:rFonts w:ascii="Times New Roman" w:hAnsi="Times New Roman" w:cs="Times New Roman"/>
                <w:b/>
                <w:bCs/>
                <w:color w:val="auto"/>
                <w:sz w:val="24"/>
                <w:szCs w:val="24"/>
                <w:highlight w:val="none"/>
              </w:rPr>
              <w:t>排放</w:t>
            </w:r>
            <w:r>
              <w:rPr>
                <w:rFonts w:hint="eastAsia" w:ascii="Times New Roman" w:hAnsi="Times New Roman" w:cs="Times New Roman"/>
                <w:b/>
                <w:bCs/>
                <w:color w:val="auto"/>
                <w:sz w:val="24"/>
                <w:szCs w:val="24"/>
                <w:highlight w:val="none"/>
              </w:rPr>
              <w:t>标准</w:t>
            </w:r>
            <w:bookmarkEnd w:id="22"/>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2205"/>
              <w:gridCol w:w="2685"/>
              <w:gridCol w:w="2282"/>
              <w:gridCol w:w="1332"/>
            </w:tblGrid>
            <w:tr w14:paraId="6ACB18F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296" w:type="pct"/>
                  <w:vMerge w:val="restart"/>
                  <w:noWrap w:val="0"/>
                  <w:vAlign w:val="center"/>
                </w:tcPr>
                <w:p w14:paraId="2B315D22">
                  <w:pPr>
                    <w:widowControl/>
                    <w:jc w:val="center"/>
                    <w:rPr>
                      <w:color w:val="auto"/>
                      <w:kern w:val="0"/>
                      <w:szCs w:val="21"/>
                    </w:rPr>
                  </w:pPr>
                  <w:r>
                    <w:rPr>
                      <w:color w:val="auto"/>
                      <w:kern w:val="0"/>
                      <w:szCs w:val="21"/>
                    </w:rPr>
                    <w:t>污染物</w:t>
                  </w:r>
                </w:p>
              </w:tc>
              <w:tc>
                <w:tcPr>
                  <w:tcW w:w="1578" w:type="pct"/>
                  <w:vMerge w:val="restart"/>
                  <w:noWrap w:val="0"/>
                  <w:vAlign w:val="center"/>
                </w:tcPr>
                <w:p w14:paraId="1CD6D20D">
                  <w:pPr>
                    <w:keepNext w:val="0"/>
                    <w:keepLines w:val="0"/>
                    <w:pageBreakBefore w:val="0"/>
                    <w:widowControl/>
                    <w:kinsoku/>
                    <w:wordWrap/>
                    <w:overflowPunct/>
                    <w:topLinePunct w:val="0"/>
                    <w:autoSpaceDE/>
                    <w:autoSpaceDN/>
                    <w:bidi w:val="0"/>
                    <w:adjustRightInd/>
                    <w:snapToGrid/>
                    <w:jc w:val="center"/>
                    <w:textAlignment w:val="auto"/>
                    <w:rPr>
                      <w:color w:val="auto"/>
                      <w:kern w:val="0"/>
                      <w:szCs w:val="21"/>
                    </w:rPr>
                  </w:pPr>
                  <w:r>
                    <w:rPr>
                      <w:color w:val="auto"/>
                      <w:kern w:val="0"/>
                      <w:szCs w:val="21"/>
                    </w:rPr>
                    <w:t>最高允许排放浓度（mg/m</w:t>
                  </w:r>
                  <w:r>
                    <w:rPr>
                      <w:color w:val="auto"/>
                      <w:kern w:val="0"/>
                      <w:szCs w:val="21"/>
                      <w:vertAlign w:val="superscript"/>
                    </w:rPr>
                    <w:t>3</w:t>
                  </w:r>
                  <w:r>
                    <w:rPr>
                      <w:color w:val="auto"/>
                      <w:kern w:val="0"/>
                      <w:szCs w:val="21"/>
                    </w:rPr>
                    <w:t>）</w:t>
                  </w:r>
                </w:p>
              </w:tc>
              <w:tc>
                <w:tcPr>
                  <w:tcW w:w="1341" w:type="pct"/>
                  <w:vMerge w:val="restart"/>
                  <w:noWrap w:val="0"/>
                  <w:vAlign w:val="center"/>
                </w:tcPr>
                <w:p w14:paraId="5051E17B">
                  <w:pPr>
                    <w:widowControl/>
                    <w:jc w:val="center"/>
                    <w:rPr>
                      <w:color w:val="auto"/>
                      <w:kern w:val="0"/>
                      <w:szCs w:val="21"/>
                    </w:rPr>
                  </w:pPr>
                  <w:r>
                    <w:rPr>
                      <w:rFonts w:hint="eastAsia"/>
                      <w:color w:val="auto"/>
                      <w:kern w:val="0"/>
                      <w:szCs w:val="21"/>
                    </w:rPr>
                    <w:t>污染物排放监控位置</w:t>
                  </w:r>
                </w:p>
              </w:tc>
              <w:tc>
                <w:tcPr>
                  <w:tcW w:w="783" w:type="pct"/>
                  <w:vMerge w:val="restart"/>
                  <w:noWrap w:val="0"/>
                  <w:vAlign w:val="center"/>
                </w:tcPr>
                <w:p w14:paraId="4E32984E">
                  <w:pPr>
                    <w:widowControl/>
                    <w:jc w:val="center"/>
                    <w:rPr>
                      <w:color w:val="auto"/>
                      <w:kern w:val="0"/>
                      <w:szCs w:val="21"/>
                    </w:rPr>
                  </w:pPr>
                  <w:r>
                    <w:rPr>
                      <w:rFonts w:hint="eastAsia"/>
                      <w:color w:val="auto"/>
                      <w:kern w:val="0"/>
                      <w:szCs w:val="21"/>
                    </w:rPr>
                    <w:t>排气筒编号</w:t>
                  </w:r>
                </w:p>
              </w:tc>
            </w:tr>
            <w:tr w14:paraId="2FCA38E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12" w:hRule="atLeast"/>
              </w:trPr>
              <w:tc>
                <w:tcPr>
                  <w:tcW w:w="1296" w:type="pct"/>
                  <w:vMerge w:val="continue"/>
                  <w:noWrap w:val="0"/>
                  <w:vAlign w:val="center"/>
                </w:tcPr>
                <w:p w14:paraId="2C7D73D1">
                  <w:pPr>
                    <w:widowControl/>
                    <w:jc w:val="left"/>
                    <w:rPr>
                      <w:color w:val="auto"/>
                      <w:kern w:val="0"/>
                      <w:szCs w:val="21"/>
                    </w:rPr>
                  </w:pPr>
                </w:p>
              </w:tc>
              <w:tc>
                <w:tcPr>
                  <w:tcW w:w="1578" w:type="pct"/>
                  <w:vMerge w:val="continue"/>
                  <w:noWrap w:val="0"/>
                  <w:vAlign w:val="center"/>
                </w:tcPr>
                <w:p w14:paraId="26D84BDA">
                  <w:pPr>
                    <w:keepNext w:val="0"/>
                    <w:keepLines w:val="0"/>
                    <w:pageBreakBefore w:val="0"/>
                    <w:widowControl/>
                    <w:kinsoku/>
                    <w:wordWrap/>
                    <w:overflowPunct/>
                    <w:topLinePunct w:val="0"/>
                    <w:autoSpaceDE/>
                    <w:autoSpaceDN/>
                    <w:bidi w:val="0"/>
                    <w:adjustRightInd/>
                    <w:snapToGrid/>
                    <w:jc w:val="left"/>
                    <w:textAlignment w:val="auto"/>
                    <w:rPr>
                      <w:color w:val="auto"/>
                      <w:kern w:val="0"/>
                      <w:szCs w:val="21"/>
                    </w:rPr>
                  </w:pPr>
                </w:p>
              </w:tc>
              <w:tc>
                <w:tcPr>
                  <w:tcW w:w="1341" w:type="pct"/>
                  <w:vMerge w:val="continue"/>
                  <w:noWrap w:val="0"/>
                  <w:vAlign w:val="center"/>
                </w:tcPr>
                <w:p w14:paraId="55359A6E">
                  <w:pPr>
                    <w:widowControl/>
                    <w:jc w:val="center"/>
                    <w:rPr>
                      <w:color w:val="auto"/>
                      <w:kern w:val="0"/>
                      <w:szCs w:val="21"/>
                    </w:rPr>
                  </w:pPr>
                </w:p>
              </w:tc>
              <w:tc>
                <w:tcPr>
                  <w:tcW w:w="783" w:type="pct"/>
                  <w:vMerge w:val="continue"/>
                  <w:noWrap w:val="0"/>
                  <w:vAlign w:val="center"/>
                </w:tcPr>
                <w:p w14:paraId="07B72BC6">
                  <w:pPr>
                    <w:widowControl/>
                    <w:jc w:val="center"/>
                    <w:rPr>
                      <w:color w:val="auto"/>
                      <w:kern w:val="0"/>
                      <w:szCs w:val="21"/>
                    </w:rPr>
                  </w:pPr>
                </w:p>
              </w:tc>
            </w:tr>
            <w:tr w14:paraId="4E65CDC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trPr>
              <w:tc>
                <w:tcPr>
                  <w:tcW w:w="1296" w:type="pct"/>
                  <w:noWrap w:val="0"/>
                  <w:vAlign w:val="center"/>
                </w:tcPr>
                <w:p w14:paraId="20DA16FB">
                  <w:pPr>
                    <w:widowControl/>
                    <w:jc w:val="center"/>
                    <w:rPr>
                      <w:color w:val="auto"/>
                      <w:kern w:val="0"/>
                      <w:szCs w:val="21"/>
                    </w:rPr>
                  </w:pPr>
                  <w:r>
                    <w:rPr>
                      <w:rFonts w:hint="eastAsia"/>
                      <w:color w:val="auto"/>
                      <w:kern w:val="0"/>
                      <w:szCs w:val="21"/>
                    </w:rPr>
                    <w:t>非甲烷总烃</w:t>
                  </w:r>
                </w:p>
              </w:tc>
              <w:tc>
                <w:tcPr>
                  <w:tcW w:w="1578" w:type="pct"/>
                  <w:noWrap w:val="0"/>
                  <w:vAlign w:val="center"/>
                </w:tcPr>
                <w:p w14:paraId="7EB4ED08">
                  <w:pPr>
                    <w:pStyle w:val="74"/>
                    <w:keepNext w:val="0"/>
                    <w:keepLines w:val="0"/>
                    <w:pageBreakBefore w:val="0"/>
                    <w:kinsoku/>
                    <w:wordWrap/>
                    <w:overflowPunct/>
                    <w:topLinePunct w:val="0"/>
                    <w:autoSpaceDE/>
                    <w:autoSpaceDN/>
                    <w:bidi w:val="0"/>
                    <w:adjustRightInd/>
                    <w:snapToGrid/>
                    <w:textAlignment w:val="auto"/>
                    <w:rPr>
                      <w:color w:val="auto"/>
                    </w:rPr>
                  </w:pPr>
                  <w:r>
                    <w:rPr>
                      <w:color w:val="auto"/>
                    </w:rPr>
                    <w:t>100</w:t>
                  </w:r>
                </w:p>
              </w:tc>
              <w:tc>
                <w:tcPr>
                  <w:tcW w:w="1341" w:type="pct"/>
                  <w:noWrap w:val="0"/>
                  <w:vAlign w:val="center"/>
                </w:tcPr>
                <w:p w14:paraId="558A5127">
                  <w:pPr>
                    <w:pStyle w:val="74"/>
                    <w:rPr>
                      <w:color w:val="auto"/>
                    </w:rPr>
                  </w:pPr>
                  <w:r>
                    <w:rPr>
                      <w:rFonts w:hint="eastAsia"/>
                      <w:color w:val="auto"/>
                    </w:rPr>
                    <w:t>车间或生产设施排气筒</w:t>
                  </w:r>
                </w:p>
              </w:tc>
              <w:tc>
                <w:tcPr>
                  <w:tcW w:w="783" w:type="pct"/>
                  <w:noWrap w:val="0"/>
                  <w:vAlign w:val="center"/>
                </w:tcPr>
                <w:p w14:paraId="6D8D0672">
                  <w:pPr>
                    <w:pStyle w:val="74"/>
                    <w:rPr>
                      <w:color w:val="auto"/>
                    </w:rPr>
                  </w:pPr>
                  <w:r>
                    <w:rPr>
                      <w:color w:val="auto"/>
                    </w:rPr>
                    <w:t>DA001</w:t>
                  </w:r>
                </w:p>
              </w:tc>
            </w:tr>
          </w:tbl>
          <w:p w14:paraId="25A70322">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b/>
                <w:bCs/>
                <w:color w:val="auto"/>
              </w:rPr>
            </w:pPr>
            <w:bookmarkStart w:id="23" w:name="_Ref89767087"/>
            <w:r>
              <w:rPr>
                <w:rFonts w:hint="eastAsia" w:ascii="Times New Roman" w:hAnsi="Times New Roman" w:cs="Times New Roman"/>
                <w:b/>
                <w:bCs/>
                <w:color w:val="auto"/>
                <w:sz w:val="24"/>
                <w:szCs w:val="24"/>
                <w:lang w:val="en-US" w:eastAsia="zh-CN"/>
              </w:rPr>
              <w:t xml:space="preserve">表3.7-2  </w:t>
            </w:r>
            <w:r>
              <w:rPr>
                <w:rFonts w:hint="eastAsia" w:ascii="Times New Roman" w:hAnsi="Times New Roman" w:eastAsia="宋体" w:cs="Times New Roman"/>
                <w:b/>
                <w:bCs/>
                <w:color w:val="auto"/>
                <w:sz w:val="24"/>
                <w:szCs w:val="24"/>
              </w:rPr>
              <w:t>项目无组织废气排放标准</w:t>
            </w:r>
            <w:bookmarkEnd w:id="23"/>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1265"/>
              <w:gridCol w:w="1211"/>
              <w:gridCol w:w="2873"/>
              <w:gridCol w:w="1966"/>
              <w:gridCol w:w="1189"/>
            </w:tblGrid>
            <w:tr w14:paraId="15323D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744" w:type="pct"/>
                  <w:noWrap w:val="0"/>
                  <w:vAlign w:val="center"/>
                </w:tcPr>
                <w:p w14:paraId="051F060C">
                  <w:pPr>
                    <w:pStyle w:val="30"/>
                    <w:rPr>
                      <w:color w:val="auto"/>
                    </w:rPr>
                  </w:pPr>
                  <w:r>
                    <w:rPr>
                      <w:color w:val="auto"/>
                    </w:rPr>
                    <w:t>污染物项目</w:t>
                  </w:r>
                </w:p>
              </w:tc>
              <w:tc>
                <w:tcPr>
                  <w:tcW w:w="712" w:type="pct"/>
                  <w:noWrap w:val="0"/>
                  <w:vAlign w:val="center"/>
                </w:tcPr>
                <w:p w14:paraId="767BB6FB">
                  <w:pPr>
                    <w:pStyle w:val="30"/>
                    <w:rPr>
                      <w:color w:val="auto"/>
                    </w:rPr>
                  </w:pPr>
                  <w:r>
                    <w:rPr>
                      <w:color w:val="auto"/>
                    </w:rPr>
                    <w:t>排放限值</w:t>
                  </w:r>
                </w:p>
              </w:tc>
              <w:tc>
                <w:tcPr>
                  <w:tcW w:w="1689" w:type="pct"/>
                  <w:noWrap w:val="0"/>
                  <w:vAlign w:val="center"/>
                </w:tcPr>
                <w:p w14:paraId="49CFFC76">
                  <w:pPr>
                    <w:pStyle w:val="30"/>
                    <w:rPr>
                      <w:color w:val="auto"/>
                    </w:rPr>
                  </w:pPr>
                  <w:r>
                    <w:rPr>
                      <w:color w:val="auto"/>
                    </w:rPr>
                    <w:t>限值含义</w:t>
                  </w:r>
                </w:p>
              </w:tc>
              <w:tc>
                <w:tcPr>
                  <w:tcW w:w="1156" w:type="pct"/>
                  <w:noWrap w:val="0"/>
                  <w:vAlign w:val="center"/>
                </w:tcPr>
                <w:p w14:paraId="353B7FBA">
                  <w:pPr>
                    <w:pStyle w:val="30"/>
                    <w:rPr>
                      <w:color w:val="auto"/>
                    </w:rPr>
                  </w:pPr>
                  <w:r>
                    <w:rPr>
                      <w:color w:val="auto"/>
                    </w:rPr>
                    <w:t>执行标准</w:t>
                  </w:r>
                </w:p>
              </w:tc>
              <w:tc>
                <w:tcPr>
                  <w:tcW w:w="699" w:type="pct"/>
                  <w:noWrap w:val="0"/>
                  <w:vAlign w:val="center"/>
                </w:tcPr>
                <w:p w14:paraId="6D39985A">
                  <w:pPr>
                    <w:pStyle w:val="30"/>
                    <w:rPr>
                      <w:color w:val="auto"/>
                    </w:rPr>
                  </w:pPr>
                  <w:r>
                    <w:rPr>
                      <w:color w:val="auto"/>
                    </w:rPr>
                    <w:t>无组织排放监控位置</w:t>
                  </w:r>
                </w:p>
              </w:tc>
            </w:tr>
            <w:tr w14:paraId="6CA1E6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744" w:type="pct"/>
                  <w:noWrap w:val="0"/>
                  <w:vAlign w:val="center"/>
                </w:tcPr>
                <w:p w14:paraId="483A8434">
                  <w:pPr>
                    <w:pStyle w:val="30"/>
                    <w:rPr>
                      <w:color w:val="auto"/>
                    </w:rPr>
                  </w:pPr>
                  <w:r>
                    <w:rPr>
                      <w:rFonts w:hint="eastAsia"/>
                      <w:color w:val="auto"/>
                    </w:rPr>
                    <w:t>颗粒物</w:t>
                  </w:r>
                </w:p>
              </w:tc>
              <w:tc>
                <w:tcPr>
                  <w:tcW w:w="712" w:type="pct"/>
                  <w:noWrap w:val="0"/>
                  <w:vAlign w:val="center"/>
                </w:tcPr>
                <w:p w14:paraId="315F1BA2">
                  <w:pPr>
                    <w:pStyle w:val="30"/>
                    <w:rPr>
                      <w:color w:val="auto"/>
                    </w:rPr>
                  </w:pPr>
                  <w:r>
                    <w:rPr>
                      <w:rFonts w:hint="eastAsia"/>
                      <w:color w:val="auto"/>
                    </w:rPr>
                    <w:t>1</w:t>
                  </w:r>
                  <w:r>
                    <w:rPr>
                      <w:color w:val="auto"/>
                    </w:rPr>
                    <w:t>.0</w:t>
                  </w:r>
                </w:p>
              </w:tc>
              <w:tc>
                <w:tcPr>
                  <w:tcW w:w="1689" w:type="pct"/>
                  <w:vMerge w:val="restart"/>
                  <w:noWrap w:val="0"/>
                  <w:vAlign w:val="center"/>
                </w:tcPr>
                <w:p w14:paraId="4F20F3E4">
                  <w:pPr>
                    <w:pStyle w:val="30"/>
                    <w:rPr>
                      <w:rFonts w:hint="eastAsia"/>
                      <w:color w:val="auto"/>
                    </w:rPr>
                  </w:pPr>
                  <w:r>
                    <w:rPr>
                      <w:rFonts w:hint="eastAsia"/>
                      <w:color w:val="auto"/>
                    </w:rPr>
                    <w:t>企业边界1h大气污染物平均浓度</w:t>
                  </w:r>
                </w:p>
              </w:tc>
              <w:tc>
                <w:tcPr>
                  <w:tcW w:w="1156" w:type="pct"/>
                  <w:vMerge w:val="restart"/>
                  <w:noWrap w:val="0"/>
                  <w:vAlign w:val="center"/>
                </w:tcPr>
                <w:p w14:paraId="334FBCA0">
                  <w:pPr>
                    <w:pStyle w:val="30"/>
                    <w:rPr>
                      <w:color w:val="auto"/>
                    </w:rPr>
                  </w:pPr>
                  <w:r>
                    <w:rPr>
                      <w:rFonts w:hint="eastAsia"/>
                      <w:color w:val="auto"/>
                    </w:rPr>
                    <w:t>GB31572-2015</w:t>
                  </w:r>
                  <w:r>
                    <w:rPr>
                      <w:color w:val="auto"/>
                    </w:rPr>
                    <w:t>中</w:t>
                  </w:r>
                  <w:r>
                    <w:rPr>
                      <w:rFonts w:hint="eastAsia"/>
                      <w:color w:val="auto"/>
                    </w:rPr>
                    <w:t>表9</w:t>
                  </w:r>
                </w:p>
              </w:tc>
              <w:tc>
                <w:tcPr>
                  <w:tcW w:w="699" w:type="pct"/>
                  <w:vMerge w:val="restart"/>
                  <w:noWrap w:val="0"/>
                  <w:vAlign w:val="center"/>
                </w:tcPr>
                <w:p w14:paraId="3E3302FA">
                  <w:pPr>
                    <w:pStyle w:val="30"/>
                    <w:rPr>
                      <w:color w:val="auto"/>
                    </w:rPr>
                  </w:pPr>
                  <w:r>
                    <w:rPr>
                      <w:rFonts w:hint="eastAsia"/>
                      <w:color w:val="auto"/>
                    </w:rPr>
                    <w:t>企业边界</w:t>
                  </w:r>
                </w:p>
              </w:tc>
            </w:tr>
            <w:tr w14:paraId="5815A2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744" w:type="pct"/>
                  <w:noWrap w:val="0"/>
                  <w:vAlign w:val="center"/>
                </w:tcPr>
                <w:p w14:paraId="6A0EE4E8">
                  <w:pPr>
                    <w:pStyle w:val="30"/>
                    <w:rPr>
                      <w:color w:val="auto"/>
                    </w:rPr>
                  </w:pPr>
                  <w:r>
                    <w:rPr>
                      <w:rFonts w:hint="eastAsia"/>
                      <w:color w:val="auto"/>
                    </w:rPr>
                    <w:t>非甲烷总烃</w:t>
                  </w:r>
                </w:p>
              </w:tc>
              <w:tc>
                <w:tcPr>
                  <w:tcW w:w="712" w:type="pct"/>
                  <w:noWrap w:val="0"/>
                  <w:vAlign w:val="center"/>
                </w:tcPr>
                <w:p w14:paraId="2E20ED55">
                  <w:pPr>
                    <w:pStyle w:val="30"/>
                    <w:rPr>
                      <w:color w:val="auto"/>
                    </w:rPr>
                  </w:pPr>
                  <w:r>
                    <w:rPr>
                      <w:rFonts w:hint="eastAsia"/>
                      <w:color w:val="auto"/>
                    </w:rPr>
                    <w:t>4</w:t>
                  </w:r>
                  <w:r>
                    <w:rPr>
                      <w:color w:val="auto"/>
                    </w:rPr>
                    <w:t>.0</w:t>
                  </w:r>
                </w:p>
              </w:tc>
              <w:tc>
                <w:tcPr>
                  <w:tcW w:w="1689" w:type="pct"/>
                  <w:vMerge w:val="continue"/>
                  <w:noWrap w:val="0"/>
                  <w:vAlign w:val="center"/>
                </w:tcPr>
                <w:p w14:paraId="7EC18AC1">
                  <w:pPr>
                    <w:pStyle w:val="30"/>
                    <w:rPr>
                      <w:color w:val="auto"/>
                    </w:rPr>
                  </w:pPr>
                </w:p>
              </w:tc>
              <w:tc>
                <w:tcPr>
                  <w:tcW w:w="1156" w:type="pct"/>
                  <w:vMerge w:val="continue"/>
                  <w:noWrap w:val="0"/>
                  <w:vAlign w:val="center"/>
                </w:tcPr>
                <w:p w14:paraId="69025356">
                  <w:pPr>
                    <w:pStyle w:val="30"/>
                    <w:rPr>
                      <w:color w:val="auto"/>
                    </w:rPr>
                  </w:pPr>
                </w:p>
              </w:tc>
              <w:tc>
                <w:tcPr>
                  <w:tcW w:w="699" w:type="pct"/>
                  <w:vMerge w:val="continue"/>
                  <w:noWrap w:val="0"/>
                  <w:vAlign w:val="center"/>
                </w:tcPr>
                <w:p w14:paraId="10C6A78E">
                  <w:pPr>
                    <w:pStyle w:val="30"/>
                    <w:rPr>
                      <w:color w:val="auto"/>
                    </w:rPr>
                  </w:pPr>
                </w:p>
              </w:tc>
            </w:tr>
            <w:tr w14:paraId="765B9D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744" w:type="pct"/>
                  <w:vMerge w:val="restart"/>
                  <w:noWrap w:val="0"/>
                  <w:vAlign w:val="center"/>
                </w:tcPr>
                <w:p w14:paraId="3508AE8D">
                  <w:pPr>
                    <w:pStyle w:val="30"/>
                    <w:rPr>
                      <w:color w:val="auto"/>
                    </w:rPr>
                  </w:pPr>
                  <w:r>
                    <w:rPr>
                      <w:color w:val="auto"/>
                    </w:rPr>
                    <w:t>非甲烷总烃</w:t>
                  </w:r>
                </w:p>
              </w:tc>
              <w:tc>
                <w:tcPr>
                  <w:tcW w:w="712" w:type="pct"/>
                  <w:noWrap w:val="0"/>
                  <w:vAlign w:val="center"/>
                </w:tcPr>
                <w:p w14:paraId="6E2C221A">
                  <w:pPr>
                    <w:pStyle w:val="30"/>
                    <w:rPr>
                      <w:color w:val="auto"/>
                    </w:rPr>
                  </w:pPr>
                  <w:r>
                    <w:rPr>
                      <w:color w:val="auto"/>
                    </w:rPr>
                    <w:t>30</w:t>
                  </w:r>
                </w:p>
              </w:tc>
              <w:tc>
                <w:tcPr>
                  <w:tcW w:w="1689" w:type="pct"/>
                  <w:noWrap w:val="0"/>
                  <w:vAlign w:val="center"/>
                </w:tcPr>
                <w:p w14:paraId="0A48C36F">
                  <w:pPr>
                    <w:pStyle w:val="30"/>
                    <w:rPr>
                      <w:color w:val="auto"/>
                    </w:rPr>
                  </w:pPr>
                  <w:r>
                    <w:rPr>
                      <w:color w:val="auto"/>
                    </w:rPr>
                    <w:t>监控点处任意一次浓度值</w:t>
                  </w:r>
                </w:p>
              </w:tc>
              <w:tc>
                <w:tcPr>
                  <w:tcW w:w="1156" w:type="pct"/>
                  <w:vMerge w:val="restart"/>
                  <w:noWrap w:val="0"/>
                  <w:vAlign w:val="center"/>
                </w:tcPr>
                <w:p w14:paraId="25D0DD40">
                  <w:pPr>
                    <w:pStyle w:val="30"/>
                    <w:rPr>
                      <w:color w:val="auto"/>
                    </w:rPr>
                  </w:pPr>
                  <w:r>
                    <w:rPr>
                      <w:color w:val="auto"/>
                    </w:rPr>
                    <w:t>GB37822-2019中表</w:t>
                  </w:r>
                  <w:r>
                    <w:rPr>
                      <w:rFonts w:hint="eastAsia"/>
                      <w:color w:val="auto"/>
                    </w:rPr>
                    <w:t>A</w:t>
                  </w:r>
                  <w:r>
                    <w:rPr>
                      <w:color w:val="auto"/>
                    </w:rPr>
                    <w:t>.1中排放限值</w:t>
                  </w:r>
                </w:p>
              </w:tc>
              <w:tc>
                <w:tcPr>
                  <w:tcW w:w="699" w:type="pct"/>
                  <w:vMerge w:val="restart"/>
                  <w:noWrap w:val="0"/>
                  <w:vAlign w:val="center"/>
                </w:tcPr>
                <w:p w14:paraId="05E5302A">
                  <w:pPr>
                    <w:pStyle w:val="30"/>
                    <w:rPr>
                      <w:color w:val="auto"/>
                    </w:rPr>
                  </w:pPr>
                  <w:r>
                    <w:rPr>
                      <w:color w:val="auto"/>
                    </w:rPr>
                    <w:t>在厂房外设置监控点</w:t>
                  </w:r>
                </w:p>
              </w:tc>
            </w:tr>
            <w:tr w14:paraId="51DCC1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744" w:type="pct"/>
                  <w:vMerge w:val="continue"/>
                  <w:noWrap w:val="0"/>
                  <w:vAlign w:val="center"/>
                </w:tcPr>
                <w:p w14:paraId="62804F28">
                  <w:pPr>
                    <w:pStyle w:val="30"/>
                    <w:rPr>
                      <w:color w:val="auto"/>
                    </w:rPr>
                  </w:pPr>
                </w:p>
              </w:tc>
              <w:tc>
                <w:tcPr>
                  <w:tcW w:w="712" w:type="pct"/>
                  <w:noWrap w:val="0"/>
                  <w:vAlign w:val="center"/>
                </w:tcPr>
                <w:p w14:paraId="2B345A32">
                  <w:pPr>
                    <w:pStyle w:val="30"/>
                    <w:rPr>
                      <w:color w:val="auto"/>
                    </w:rPr>
                  </w:pPr>
                  <w:r>
                    <w:rPr>
                      <w:rFonts w:hint="eastAsia"/>
                      <w:color w:val="auto"/>
                    </w:rPr>
                    <w:t>1</w:t>
                  </w:r>
                  <w:r>
                    <w:rPr>
                      <w:color w:val="auto"/>
                    </w:rPr>
                    <w:t>0</w:t>
                  </w:r>
                </w:p>
              </w:tc>
              <w:tc>
                <w:tcPr>
                  <w:tcW w:w="1689" w:type="pct"/>
                  <w:noWrap w:val="0"/>
                  <w:vAlign w:val="center"/>
                </w:tcPr>
                <w:p w14:paraId="2D21F3E7">
                  <w:pPr>
                    <w:pStyle w:val="30"/>
                    <w:rPr>
                      <w:color w:val="auto"/>
                    </w:rPr>
                  </w:pPr>
                  <w:r>
                    <w:rPr>
                      <w:color w:val="auto"/>
                    </w:rPr>
                    <w:t>监控点处任意</w:t>
                  </w:r>
                  <w:r>
                    <w:rPr>
                      <w:rFonts w:hint="eastAsia"/>
                      <w:color w:val="auto"/>
                    </w:rPr>
                    <w:t>1h平均</w:t>
                  </w:r>
                  <w:r>
                    <w:rPr>
                      <w:color w:val="auto"/>
                    </w:rPr>
                    <w:t>浓度值</w:t>
                  </w:r>
                </w:p>
              </w:tc>
              <w:tc>
                <w:tcPr>
                  <w:tcW w:w="1156" w:type="pct"/>
                  <w:vMerge w:val="continue"/>
                  <w:noWrap w:val="0"/>
                  <w:vAlign w:val="center"/>
                </w:tcPr>
                <w:p w14:paraId="7BAB226B">
                  <w:pPr>
                    <w:pStyle w:val="30"/>
                    <w:rPr>
                      <w:color w:val="auto"/>
                    </w:rPr>
                  </w:pPr>
                </w:p>
              </w:tc>
              <w:tc>
                <w:tcPr>
                  <w:tcW w:w="699" w:type="pct"/>
                  <w:vMerge w:val="continue"/>
                  <w:noWrap w:val="0"/>
                  <w:vAlign w:val="center"/>
                </w:tcPr>
                <w:p w14:paraId="35C53ABA">
                  <w:pPr>
                    <w:pStyle w:val="30"/>
                    <w:rPr>
                      <w:color w:val="auto"/>
                    </w:rPr>
                  </w:pPr>
                </w:p>
              </w:tc>
            </w:tr>
          </w:tbl>
          <w:p w14:paraId="227F5EED">
            <w:pPr>
              <w:keepNext w:val="0"/>
              <w:keepLines w:val="0"/>
              <w:pageBreakBefore w:val="0"/>
              <w:widowControl w:val="0"/>
              <w:suppressLineNumbers w:val="0"/>
              <w:kinsoku/>
              <w:wordWrap/>
              <w:overflowPunct/>
              <w:topLinePunct w:val="0"/>
              <w:autoSpaceDE/>
              <w:autoSpaceDN/>
              <w:bidi w:val="0"/>
              <w:adjustRightInd/>
              <w:snapToGrid/>
              <w:spacing w:before="164" w:beforeLines="50" w:beforeAutospacing="0" w:after="0" w:afterAutospacing="0" w:line="240" w:lineRule="atLeast"/>
              <w:ind w:left="0" w:leftChars="0" w:right="0" w:firstLine="0" w:firstLineChars="0"/>
              <w:jc w:val="center"/>
              <w:textAlignment w:val="auto"/>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表3</w:t>
            </w:r>
            <w:r>
              <w:rPr>
                <w:rFonts w:hint="eastAsia" w:ascii="Times New Roman" w:hAnsi="Times New Roman" w:eastAsia="宋体" w:cs="Times New Roman"/>
                <w:b/>
                <w:bCs/>
                <w:color w:val="auto"/>
                <w:kern w:val="0"/>
                <w:sz w:val="24"/>
                <w:szCs w:val="24"/>
                <w:lang w:val="en-US" w:eastAsia="zh-CN" w:bidi="ar-SA"/>
              </w:rPr>
              <w:t>.7</w:t>
            </w:r>
            <w:r>
              <w:rPr>
                <w:rFonts w:hint="default" w:ascii="Times New Roman" w:hAnsi="Times New Roman" w:eastAsia="宋体" w:cs="Times New Roman"/>
                <w:b/>
                <w:bCs/>
                <w:color w:val="auto"/>
                <w:kern w:val="0"/>
                <w:sz w:val="24"/>
                <w:szCs w:val="24"/>
                <w:lang w:val="en-US" w:eastAsia="zh-CN" w:bidi="ar-SA"/>
              </w:rPr>
              <w:t>-</w:t>
            </w:r>
            <w:r>
              <w:rPr>
                <w:rFonts w:hint="eastAsia" w:ascii="Times New Roman" w:hAnsi="Times New Roman" w:eastAsia="宋体" w:cs="Times New Roman"/>
                <w:b/>
                <w:bCs/>
                <w:color w:val="auto"/>
                <w:kern w:val="0"/>
                <w:sz w:val="24"/>
                <w:szCs w:val="24"/>
                <w:lang w:val="en-US" w:eastAsia="zh-CN" w:bidi="ar-SA"/>
              </w:rPr>
              <w:t>3</w:t>
            </w:r>
            <w:r>
              <w:rPr>
                <w:rFonts w:hint="default" w:ascii="Times New Roman" w:hAnsi="Times New Roman" w:eastAsia="宋体" w:cs="Times New Roman"/>
                <w:b/>
                <w:bCs/>
                <w:color w:val="auto"/>
                <w:kern w:val="0"/>
                <w:sz w:val="24"/>
                <w:szCs w:val="24"/>
                <w:lang w:val="en-US" w:eastAsia="zh-CN" w:bidi="ar-SA"/>
              </w:rPr>
              <w:t xml:space="preserve"> 《恶臭污染物排放标准》（GB14554-93）摘录</w:t>
            </w:r>
          </w:p>
          <w:tbl>
            <w:tblPr>
              <w:tblStyle w:val="2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94"/>
              <w:gridCol w:w="2475"/>
              <w:gridCol w:w="2105"/>
              <w:gridCol w:w="2730"/>
            </w:tblGrid>
            <w:tr w14:paraId="16367F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dxa"/>
                  <w:vMerge w:val="restart"/>
                  <w:tcBorders>
                    <w:tl2br w:val="nil"/>
                    <w:tr2bl w:val="nil"/>
                  </w:tcBorders>
                  <w:noWrap w:val="0"/>
                  <w:vAlign w:val="center"/>
                </w:tcPr>
                <w:p w14:paraId="6C671B24">
                  <w:pPr>
                    <w:pStyle w:val="9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zh-CN"/>
                    </w:rPr>
                  </w:pPr>
                  <w:r>
                    <w:rPr>
                      <w:rFonts w:hint="default" w:ascii="Times New Roman" w:hAnsi="Times New Roman" w:eastAsia="宋体" w:cs="Times New Roman"/>
                      <w:bCs/>
                      <w:color w:val="auto"/>
                      <w:sz w:val="21"/>
                      <w:szCs w:val="21"/>
                      <w:lang w:val="zh-CN"/>
                    </w:rPr>
                    <w:t>污染物</w:t>
                  </w:r>
                </w:p>
              </w:tc>
              <w:tc>
                <w:tcPr>
                  <w:tcW w:w="4580" w:type="dxa"/>
                  <w:gridSpan w:val="2"/>
                  <w:tcBorders>
                    <w:tl2br w:val="nil"/>
                    <w:tr2bl w:val="nil"/>
                  </w:tcBorders>
                  <w:noWrap w:val="0"/>
                  <w:vAlign w:val="center"/>
                </w:tcPr>
                <w:p w14:paraId="7C570A7B">
                  <w:pPr>
                    <w:pStyle w:val="9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zh-CN"/>
                    </w:rPr>
                  </w:pPr>
                  <w:r>
                    <w:rPr>
                      <w:rFonts w:hint="default" w:ascii="Times New Roman" w:hAnsi="Times New Roman" w:eastAsia="宋体" w:cs="Times New Roman"/>
                      <w:color w:val="auto"/>
                      <w:sz w:val="21"/>
                      <w:szCs w:val="21"/>
                      <w:lang w:val="en-US" w:eastAsia="zh-CN"/>
                    </w:rPr>
                    <w:t>有组织最高允许排放限值</w:t>
                  </w:r>
                </w:p>
              </w:tc>
              <w:tc>
                <w:tcPr>
                  <w:tcW w:w="2730" w:type="dxa"/>
                  <w:vMerge w:val="restart"/>
                  <w:tcBorders>
                    <w:tl2br w:val="nil"/>
                    <w:tr2bl w:val="nil"/>
                  </w:tcBorders>
                  <w:noWrap w:val="0"/>
                  <w:vAlign w:val="center"/>
                </w:tcPr>
                <w:p w14:paraId="4E0B323F">
                  <w:pPr>
                    <w:pStyle w:val="9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zh-CN"/>
                    </w:rPr>
                  </w:pPr>
                  <w:r>
                    <w:rPr>
                      <w:rFonts w:hint="default" w:ascii="Times New Roman" w:hAnsi="Times New Roman" w:eastAsia="宋体" w:cs="Times New Roman"/>
                      <w:bCs/>
                      <w:color w:val="auto"/>
                      <w:sz w:val="21"/>
                      <w:szCs w:val="21"/>
                      <w:lang w:val="zh-CN"/>
                    </w:rPr>
                    <w:t>厂界标准值</w:t>
                  </w:r>
                </w:p>
              </w:tc>
            </w:tr>
            <w:tr w14:paraId="56AB2C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dxa"/>
                  <w:vMerge w:val="continue"/>
                  <w:tcBorders>
                    <w:tl2br w:val="nil"/>
                    <w:tr2bl w:val="nil"/>
                  </w:tcBorders>
                  <w:noWrap w:val="0"/>
                  <w:vAlign w:val="center"/>
                </w:tcPr>
                <w:p w14:paraId="53EB6C8D">
                  <w:pPr>
                    <w:pStyle w:val="9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zh-CN"/>
                    </w:rPr>
                  </w:pPr>
                </w:p>
              </w:tc>
              <w:tc>
                <w:tcPr>
                  <w:tcW w:w="2475" w:type="dxa"/>
                  <w:tcBorders>
                    <w:tl2br w:val="nil"/>
                    <w:tr2bl w:val="nil"/>
                  </w:tcBorders>
                  <w:noWrap w:val="0"/>
                  <w:vAlign w:val="center"/>
                </w:tcPr>
                <w:p w14:paraId="1C0E1A30">
                  <w:pPr>
                    <w:pStyle w:val="9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zh-CN"/>
                    </w:rPr>
                  </w:pPr>
                  <w:r>
                    <w:rPr>
                      <w:rFonts w:hint="default" w:ascii="Times New Roman" w:hAnsi="Times New Roman" w:eastAsia="宋体" w:cs="Times New Roman"/>
                      <w:bCs/>
                      <w:color w:val="auto"/>
                      <w:sz w:val="21"/>
                      <w:szCs w:val="21"/>
                    </w:rPr>
                    <w:t>排气筒高度</w:t>
                  </w:r>
                </w:p>
              </w:tc>
              <w:tc>
                <w:tcPr>
                  <w:tcW w:w="2105" w:type="dxa"/>
                  <w:tcBorders>
                    <w:tl2br w:val="nil"/>
                    <w:tr2bl w:val="nil"/>
                  </w:tcBorders>
                  <w:noWrap w:val="0"/>
                  <w:vAlign w:val="center"/>
                </w:tcPr>
                <w:p w14:paraId="6ABD1C25">
                  <w:pPr>
                    <w:pStyle w:val="9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zh-CN"/>
                    </w:rPr>
                  </w:pPr>
                  <w:r>
                    <w:rPr>
                      <w:rFonts w:hint="default" w:ascii="Times New Roman" w:hAnsi="Times New Roman" w:eastAsia="宋体" w:cs="Times New Roman"/>
                      <w:bCs/>
                      <w:color w:val="auto"/>
                      <w:sz w:val="21"/>
                      <w:szCs w:val="21"/>
                      <w:lang w:val="zh-CN"/>
                    </w:rPr>
                    <w:t>标准值</w:t>
                  </w:r>
                </w:p>
              </w:tc>
              <w:tc>
                <w:tcPr>
                  <w:tcW w:w="2730" w:type="dxa"/>
                  <w:vMerge w:val="continue"/>
                  <w:tcBorders>
                    <w:tl2br w:val="nil"/>
                    <w:tr2bl w:val="nil"/>
                  </w:tcBorders>
                  <w:noWrap w:val="0"/>
                  <w:vAlign w:val="center"/>
                </w:tcPr>
                <w:p w14:paraId="611D31EE">
                  <w:pPr>
                    <w:pStyle w:val="9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zh-CN"/>
                    </w:rPr>
                  </w:pPr>
                </w:p>
              </w:tc>
            </w:tr>
            <w:tr w14:paraId="3AD110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94" w:type="dxa"/>
                  <w:tcBorders>
                    <w:tl2br w:val="nil"/>
                    <w:tr2bl w:val="nil"/>
                  </w:tcBorders>
                  <w:noWrap w:val="0"/>
                  <w:vAlign w:val="center"/>
                </w:tcPr>
                <w:p w14:paraId="24AF5211">
                  <w:pPr>
                    <w:pStyle w:val="9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臭气浓度</w:t>
                  </w:r>
                </w:p>
              </w:tc>
              <w:tc>
                <w:tcPr>
                  <w:tcW w:w="2475" w:type="dxa"/>
                  <w:tcBorders>
                    <w:tl2br w:val="nil"/>
                    <w:tr2bl w:val="nil"/>
                  </w:tcBorders>
                  <w:noWrap w:val="0"/>
                  <w:vAlign w:val="center"/>
                </w:tcPr>
                <w:p w14:paraId="420D94A8">
                  <w:pPr>
                    <w:pStyle w:val="9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15m</w:t>
                  </w:r>
                </w:p>
              </w:tc>
              <w:tc>
                <w:tcPr>
                  <w:tcW w:w="2105" w:type="dxa"/>
                  <w:tcBorders>
                    <w:tl2br w:val="nil"/>
                    <w:tr2bl w:val="nil"/>
                  </w:tcBorders>
                  <w:noWrap w:val="0"/>
                  <w:vAlign w:val="center"/>
                </w:tcPr>
                <w:p w14:paraId="16DDAB72">
                  <w:pPr>
                    <w:pStyle w:val="9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2000（无量纲）</w:t>
                  </w:r>
                </w:p>
              </w:tc>
              <w:tc>
                <w:tcPr>
                  <w:tcW w:w="2730" w:type="dxa"/>
                  <w:tcBorders>
                    <w:tl2br w:val="nil"/>
                    <w:tr2bl w:val="nil"/>
                  </w:tcBorders>
                  <w:noWrap w:val="0"/>
                  <w:vAlign w:val="center"/>
                </w:tcPr>
                <w:p w14:paraId="7B77E974">
                  <w:pPr>
                    <w:pStyle w:val="9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zh-CN"/>
                    </w:rPr>
                  </w:pPr>
                  <w:r>
                    <w:rPr>
                      <w:rFonts w:hint="default" w:ascii="Times New Roman" w:hAnsi="Times New Roman" w:eastAsia="宋体" w:cs="Times New Roman"/>
                      <w:bCs/>
                      <w:color w:val="auto"/>
                      <w:sz w:val="21"/>
                      <w:szCs w:val="21"/>
                      <w:lang w:val="en-US" w:eastAsia="zh-CN"/>
                    </w:rPr>
                    <w:t>20（无量纲）</w:t>
                  </w:r>
                </w:p>
              </w:tc>
            </w:tr>
          </w:tbl>
          <w:p w14:paraId="35B75191">
            <w:pPr>
              <w:pStyle w:val="62"/>
              <w:numPr>
                <w:ilvl w:val="2"/>
                <w:numId w:val="0"/>
              </w:numPr>
              <w:ind w:leftChars="0"/>
              <w:rPr>
                <w:rFonts w:eastAsia="宋体"/>
                <w:color w:val="auto"/>
                <w:sz w:val="28"/>
                <w:szCs w:val="28"/>
              </w:rPr>
            </w:pPr>
            <w:r>
              <w:rPr>
                <w:rFonts w:hint="eastAsia" w:eastAsia="宋体"/>
                <w:color w:val="auto"/>
                <w:sz w:val="28"/>
                <w:szCs w:val="28"/>
                <w:lang w:val="en-US" w:eastAsia="zh-CN"/>
              </w:rPr>
              <w:t>3.7.2</w:t>
            </w:r>
            <w:r>
              <w:rPr>
                <w:rFonts w:eastAsia="宋体"/>
                <w:color w:val="auto"/>
                <w:sz w:val="28"/>
                <w:szCs w:val="28"/>
              </w:rPr>
              <w:t>废水排放标准</w:t>
            </w:r>
          </w:p>
          <w:p w14:paraId="32F73CAE">
            <w:pPr>
              <w:pStyle w:val="112"/>
              <w:ind w:firstLine="480"/>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运营期生活污水经化粪池预处理达到《污水综合排放标准》（GB8978-1996）表4中三级标准（其中氨氮、总磷、总氮参照执行《污水排入城镇下水道水质标准》（GB/T31962-2015）B等级标准）</w:t>
            </w:r>
            <w:r>
              <w:rPr>
                <w:rFonts w:hint="eastAsia" w:cs="Times New Roman"/>
                <w:bCs w:val="0"/>
                <w:color w:val="auto"/>
                <w:kern w:val="2"/>
                <w:sz w:val="21"/>
                <w:szCs w:val="21"/>
                <w:lang w:val="en-US" w:eastAsia="zh-CN" w:bidi="ar-SA"/>
              </w:rPr>
              <w:t>并满足闽侯县污水处理厂纳管标准后</w:t>
            </w:r>
            <w:r>
              <w:rPr>
                <w:rFonts w:ascii="Times New Roman" w:hAnsi="Times New Roman" w:eastAsia="宋体" w:cs="Times New Roman"/>
                <w:bCs w:val="0"/>
                <w:color w:val="auto"/>
                <w:kern w:val="2"/>
                <w:sz w:val="21"/>
                <w:szCs w:val="21"/>
                <w:lang w:val="en-US" w:eastAsia="zh-CN" w:bidi="ar-SA"/>
              </w:rPr>
              <w:t>经市政污水管网排入</w:t>
            </w:r>
            <w:r>
              <w:rPr>
                <w:rFonts w:hint="eastAsia" w:ascii="Times New Roman" w:hAnsi="Times New Roman" w:eastAsia="宋体" w:cs="Times New Roman"/>
                <w:bCs w:val="0"/>
                <w:color w:val="auto"/>
                <w:kern w:val="2"/>
                <w:sz w:val="21"/>
                <w:szCs w:val="21"/>
                <w:lang w:val="en-US" w:eastAsia="zh-CN" w:bidi="ar-SA"/>
              </w:rPr>
              <w:t>闽侯县污水处理厂</w:t>
            </w:r>
            <w:r>
              <w:rPr>
                <w:rFonts w:ascii="Times New Roman" w:hAnsi="Times New Roman" w:eastAsia="宋体" w:cs="Times New Roman"/>
                <w:bCs w:val="0"/>
                <w:color w:val="auto"/>
                <w:kern w:val="2"/>
                <w:sz w:val="21"/>
                <w:szCs w:val="21"/>
                <w:lang w:val="en-US" w:eastAsia="zh-CN" w:bidi="ar-SA"/>
              </w:rPr>
              <w:t>统一处理。排放标准见下表。</w:t>
            </w:r>
          </w:p>
          <w:p w14:paraId="57D17F25">
            <w:pPr>
              <w:pStyle w:val="112"/>
              <w:spacing w:line="240" w:lineRule="auto"/>
              <w:ind w:firstLine="480"/>
              <w:jc w:val="center"/>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表3.7-4 水污染物排放标准  单位：mg/L</w:t>
            </w:r>
          </w:p>
          <w:tbl>
            <w:tblPr>
              <w:tblStyle w:val="2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1746"/>
              <w:gridCol w:w="1766"/>
              <w:gridCol w:w="3832"/>
            </w:tblGrid>
            <w:tr w14:paraId="5484C5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5" w:type="dxa"/>
                  <w:noWrap w:val="0"/>
                  <w:vAlign w:val="center"/>
                </w:tcPr>
                <w:p w14:paraId="7D0E72F7">
                  <w:pPr>
                    <w:pStyle w:val="30"/>
                    <w:spacing w:line="240" w:lineRule="auto"/>
                    <w:rPr>
                      <w:rFonts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类别</w:t>
                  </w:r>
                </w:p>
              </w:tc>
              <w:tc>
                <w:tcPr>
                  <w:tcW w:w="1746" w:type="dxa"/>
                  <w:noWrap w:val="0"/>
                  <w:vAlign w:val="center"/>
                </w:tcPr>
                <w:p w14:paraId="3D5123D2">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项目</w:t>
                  </w:r>
                </w:p>
              </w:tc>
              <w:tc>
                <w:tcPr>
                  <w:tcW w:w="1766" w:type="dxa"/>
                  <w:noWrap w:val="0"/>
                  <w:vAlign w:val="center"/>
                </w:tcPr>
                <w:p w14:paraId="4A3A8F3A">
                  <w:pPr>
                    <w:pStyle w:val="30"/>
                    <w:spacing w:line="240" w:lineRule="auto"/>
                    <w:rPr>
                      <w:rFonts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标准</w:t>
                  </w:r>
                  <w:r>
                    <w:rPr>
                      <w:rFonts w:ascii="Times New Roman" w:hAnsi="Times New Roman" w:eastAsia="宋体" w:cs="Times New Roman"/>
                      <w:bCs w:val="0"/>
                      <w:color w:val="auto"/>
                      <w:kern w:val="2"/>
                      <w:sz w:val="21"/>
                      <w:szCs w:val="21"/>
                      <w:lang w:val="en-US" w:eastAsia="zh-CN" w:bidi="ar-SA"/>
                    </w:rPr>
                    <w:t>限值</w:t>
                  </w:r>
                  <w:r>
                    <w:rPr>
                      <w:rFonts w:hint="eastAsia" w:cs="Times New Roman"/>
                      <w:bCs w:val="0"/>
                      <w:color w:val="auto"/>
                      <w:kern w:val="2"/>
                      <w:sz w:val="21"/>
                      <w:szCs w:val="21"/>
                      <w:lang w:val="en-US" w:eastAsia="zh-CN" w:bidi="ar-SA"/>
                    </w:rPr>
                    <w:t>（</w:t>
                  </w:r>
                  <w:r>
                    <w:rPr>
                      <w:kern w:val="18"/>
                      <w:szCs w:val="21"/>
                    </w:rPr>
                    <w:t>mg/L</w:t>
                  </w:r>
                  <w:r>
                    <w:rPr>
                      <w:rFonts w:hint="eastAsia" w:cs="Times New Roman"/>
                      <w:bCs w:val="0"/>
                      <w:color w:val="auto"/>
                      <w:kern w:val="2"/>
                      <w:sz w:val="21"/>
                      <w:szCs w:val="21"/>
                      <w:lang w:val="en-US" w:eastAsia="zh-CN" w:bidi="ar-SA"/>
                    </w:rPr>
                    <w:t>）</w:t>
                  </w:r>
                </w:p>
              </w:tc>
              <w:tc>
                <w:tcPr>
                  <w:tcW w:w="3832" w:type="dxa"/>
                  <w:noWrap w:val="0"/>
                  <w:vAlign w:val="center"/>
                </w:tcPr>
                <w:p w14:paraId="5EBB4490">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备注</w:t>
                  </w:r>
                </w:p>
              </w:tc>
            </w:tr>
            <w:tr w14:paraId="78E5D4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45" w:type="dxa"/>
                  <w:vMerge w:val="restart"/>
                  <w:noWrap w:val="0"/>
                  <w:vAlign w:val="center"/>
                </w:tcPr>
                <w:p w14:paraId="2ED892C8">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出厂</w:t>
                  </w:r>
                </w:p>
                <w:p w14:paraId="39FE554B">
                  <w:pPr>
                    <w:pStyle w:val="30"/>
                    <w:spacing w:line="240" w:lineRule="auto"/>
                    <w:rPr>
                      <w:rFonts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废水</w:t>
                  </w:r>
                </w:p>
              </w:tc>
              <w:tc>
                <w:tcPr>
                  <w:tcW w:w="1746" w:type="dxa"/>
                  <w:noWrap w:val="0"/>
                  <w:vAlign w:val="center"/>
                </w:tcPr>
                <w:p w14:paraId="0C62926E">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pH</w:t>
                  </w:r>
                </w:p>
              </w:tc>
              <w:tc>
                <w:tcPr>
                  <w:tcW w:w="1766" w:type="dxa"/>
                  <w:noWrap w:val="0"/>
                  <w:vAlign w:val="center"/>
                </w:tcPr>
                <w:p w14:paraId="5207F24B">
                  <w:pPr>
                    <w:pStyle w:val="30"/>
                    <w:spacing w:line="240" w:lineRule="auto"/>
                    <w:rPr>
                      <w:rFonts w:hint="eastAsia"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6-9（无量纲）</w:t>
                  </w:r>
                </w:p>
              </w:tc>
              <w:tc>
                <w:tcPr>
                  <w:tcW w:w="3832" w:type="dxa"/>
                  <w:vMerge w:val="restart"/>
                  <w:noWrap w:val="0"/>
                  <w:vAlign w:val="center"/>
                </w:tcPr>
                <w:p w14:paraId="5AB18329">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执行《污水综合排放标准》（GB8978-1996）表4中三级标准</w:t>
                  </w:r>
                </w:p>
              </w:tc>
            </w:tr>
            <w:tr w14:paraId="1CA37F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045" w:type="dxa"/>
                  <w:vMerge w:val="continue"/>
                  <w:noWrap w:val="0"/>
                  <w:vAlign w:val="center"/>
                </w:tcPr>
                <w:p w14:paraId="2727C8E1">
                  <w:pPr>
                    <w:pStyle w:val="30"/>
                    <w:spacing w:line="240" w:lineRule="auto"/>
                    <w:rPr>
                      <w:rFonts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2EB68093">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COD</w:t>
                  </w:r>
                </w:p>
              </w:tc>
              <w:tc>
                <w:tcPr>
                  <w:tcW w:w="1766" w:type="dxa"/>
                  <w:noWrap w:val="0"/>
                  <w:vAlign w:val="center"/>
                </w:tcPr>
                <w:p w14:paraId="3FD1A0A7">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500</w:t>
                  </w:r>
                </w:p>
              </w:tc>
              <w:tc>
                <w:tcPr>
                  <w:tcW w:w="3832" w:type="dxa"/>
                  <w:vMerge w:val="continue"/>
                  <w:noWrap w:val="0"/>
                  <w:vAlign w:val="center"/>
                </w:tcPr>
                <w:p w14:paraId="2B1AED57">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6C43F4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045" w:type="dxa"/>
                  <w:vMerge w:val="continue"/>
                  <w:noWrap w:val="0"/>
                  <w:vAlign w:val="center"/>
                </w:tcPr>
                <w:p w14:paraId="5C5956F7">
                  <w:pPr>
                    <w:pStyle w:val="30"/>
                    <w:spacing w:line="240" w:lineRule="auto"/>
                    <w:rPr>
                      <w:rFonts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08B9EC2F">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BOD</w:t>
                  </w:r>
                  <w:r>
                    <w:rPr>
                      <w:rFonts w:ascii="Times New Roman" w:hAnsi="Times New Roman" w:eastAsia="宋体" w:cs="Times New Roman"/>
                      <w:bCs w:val="0"/>
                      <w:color w:val="auto"/>
                      <w:kern w:val="2"/>
                      <w:sz w:val="21"/>
                      <w:szCs w:val="21"/>
                      <w:vertAlign w:val="subscript"/>
                      <w:lang w:val="en-US" w:eastAsia="zh-CN" w:bidi="ar-SA"/>
                    </w:rPr>
                    <w:t>5</w:t>
                  </w:r>
                </w:p>
              </w:tc>
              <w:tc>
                <w:tcPr>
                  <w:tcW w:w="1766" w:type="dxa"/>
                  <w:noWrap w:val="0"/>
                  <w:vAlign w:val="center"/>
                </w:tcPr>
                <w:p w14:paraId="2EE3B8DF">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300</w:t>
                  </w:r>
                </w:p>
              </w:tc>
              <w:tc>
                <w:tcPr>
                  <w:tcW w:w="3832" w:type="dxa"/>
                  <w:vMerge w:val="continue"/>
                  <w:noWrap w:val="0"/>
                  <w:vAlign w:val="center"/>
                </w:tcPr>
                <w:p w14:paraId="75F8A015">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36E7D0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1045" w:type="dxa"/>
                  <w:vMerge w:val="continue"/>
                  <w:noWrap w:val="0"/>
                  <w:vAlign w:val="center"/>
                </w:tcPr>
                <w:p w14:paraId="301C8728">
                  <w:pPr>
                    <w:pStyle w:val="30"/>
                    <w:spacing w:line="240" w:lineRule="auto"/>
                    <w:rPr>
                      <w:rFonts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7E908A7A">
                  <w:pPr>
                    <w:pStyle w:val="30"/>
                    <w:spacing w:line="240" w:lineRule="auto"/>
                    <w:rPr>
                      <w:rFonts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SS</w:t>
                  </w:r>
                </w:p>
              </w:tc>
              <w:tc>
                <w:tcPr>
                  <w:tcW w:w="1766" w:type="dxa"/>
                  <w:noWrap w:val="0"/>
                  <w:vAlign w:val="center"/>
                </w:tcPr>
                <w:p w14:paraId="3C29DBEA">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400</w:t>
                  </w:r>
                </w:p>
              </w:tc>
              <w:tc>
                <w:tcPr>
                  <w:tcW w:w="3832" w:type="dxa"/>
                  <w:vMerge w:val="continue"/>
                  <w:noWrap w:val="0"/>
                  <w:vAlign w:val="center"/>
                </w:tcPr>
                <w:p w14:paraId="151B0F91">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21A706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045" w:type="dxa"/>
                  <w:vMerge w:val="continue"/>
                  <w:noWrap w:val="0"/>
                  <w:vAlign w:val="center"/>
                </w:tcPr>
                <w:p w14:paraId="2B405110">
                  <w:pPr>
                    <w:pStyle w:val="30"/>
                    <w:spacing w:line="240" w:lineRule="auto"/>
                    <w:rPr>
                      <w:rFonts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4DEB57C4">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氨氮</w:t>
                  </w:r>
                </w:p>
              </w:tc>
              <w:tc>
                <w:tcPr>
                  <w:tcW w:w="1766" w:type="dxa"/>
                  <w:noWrap w:val="0"/>
                  <w:vAlign w:val="center"/>
                </w:tcPr>
                <w:p w14:paraId="27A37BC4">
                  <w:pPr>
                    <w:pStyle w:val="30"/>
                    <w:spacing w:line="240" w:lineRule="auto"/>
                    <w:rPr>
                      <w:rFonts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45</w:t>
                  </w:r>
                </w:p>
              </w:tc>
              <w:tc>
                <w:tcPr>
                  <w:tcW w:w="3832" w:type="dxa"/>
                  <w:vMerge w:val="restart"/>
                  <w:noWrap w:val="0"/>
                  <w:vAlign w:val="center"/>
                </w:tcPr>
                <w:p w14:paraId="0A4D8C1E">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执行《污水排入城镇下水道水质标准》（GB/T31962-2015）B等级标准</w:t>
                  </w:r>
                </w:p>
              </w:tc>
            </w:tr>
            <w:tr w14:paraId="277B9A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045" w:type="dxa"/>
                  <w:vMerge w:val="continue"/>
                  <w:noWrap w:val="0"/>
                  <w:vAlign w:val="center"/>
                </w:tcPr>
                <w:p w14:paraId="510910B5">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7C8C1FB0">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总磷</w:t>
                  </w:r>
                </w:p>
              </w:tc>
              <w:tc>
                <w:tcPr>
                  <w:tcW w:w="1766" w:type="dxa"/>
                  <w:noWrap w:val="0"/>
                  <w:vAlign w:val="center"/>
                </w:tcPr>
                <w:p w14:paraId="37353216">
                  <w:pPr>
                    <w:pStyle w:val="30"/>
                    <w:spacing w:line="240" w:lineRule="auto"/>
                    <w:rPr>
                      <w:rFonts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8.0</w:t>
                  </w:r>
                </w:p>
              </w:tc>
              <w:tc>
                <w:tcPr>
                  <w:tcW w:w="3832" w:type="dxa"/>
                  <w:vMerge w:val="continue"/>
                  <w:noWrap w:val="0"/>
                  <w:vAlign w:val="center"/>
                </w:tcPr>
                <w:p w14:paraId="4D539A13">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36C22F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045" w:type="dxa"/>
                  <w:vMerge w:val="continue"/>
                  <w:noWrap w:val="0"/>
                  <w:vAlign w:val="center"/>
                </w:tcPr>
                <w:p w14:paraId="303B75A4">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38546A9E">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总氮</w:t>
                  </w:r>
                </w:p>
              </w:tc>
              <w:tc>
                <w:tcPr>
                  <w:tcW w:w="1766" w:type="dxa"/>
                  <w:noWrap w:val="0"/>
                  <w:vAlign w:val="center"/>
                </w:tcPr>
                <w:p w14:paraId="5A7212BD">
                  <w:pPr>
                    <w:pStyle w:val="30"/>
                    <w:spacing w:line="240" w:lineRule="auto"/>
                    <w:rPr>
                      <w:rFonts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70</w:t>
                  </w:r>
                </w:p>
              </w:tc>
              <w:tc>
                <w:tcPr>
                  <w:tcW w:w="3832" w:type="dxa"/>
                  <w:vMerge w:val="continue"/>
                  <w:noWrap w:val="0"/>
                  <w:vAlign w:val="center"/>
                </w:tcPr>
                <w:p w14:paraId="5334DD74">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5ECC5F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045" w:type="dxa"/>
                  <w:vMerge w:val="restart"/>
                  <w:noWrap w:val="0"/>
                  <w:vAlign w:val="center"/>
                </w:tcPr>
                <w:p w14:paraId="0C902910">
                  <w:pPr>
                    <w:pStyle w:val="30"/>
                    <w:spacing w:line="240" w:lineRule="auto"/>
                    <w:rPr>
                      <w:rFonts w:hint="eastAsia"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纳管废水</w:t>
                  </w:r>
                </w:p>
              </w:tc>
              <w:tc>
                <w:tcPr>
                  <w:tcW w:w="1746" w:type="dxa"/>
                  <w:noWrap w:val="0"/>
                  <w:vAlign w:val="center"/>
                </w:tcPr>
                <w:p w14:paraId="124CCBBD">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pH</w:t>
                  </w:r>
                </w:p>
              </w:tc>
              <w:tc>
                <w:tcPr>
                  <w:tcW w:w="1766" w:type="dxa"/>
                  <w:shd w:val="clear" w:color="auto" w:fill="auto"/>
                  <w:noWrap w:val="0"/>
                  <w:vAlign w:val="center"/>
                </w:tcPr>
                <w:p w14:paraId="1812EA09">
                  <w:pPr>
                    <w:pStyle w:val="30"/>
                    <w:spacing w:line="240" w:lineRule="auto"/>
                    <w:rPr>
                      <w:rFonts w:hint="eastAsia"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6.5-9.5（无量纲）</w:t>
                  </w:r>
                </w:p>
              </w:tc>
              <w:tc>
                <w:tcPr>
                  <w:tcW w:w="3832" w:type="dxa"/>
                  <w:vMerge w:val="restart"/>
                  <w:noWrap w:val="0"/>
                  <w:vAlign w:val="center"/>
                </w:tcPr>
                <w:p w14:paraId="1DA65751">
                  <w:pPr>
                    <w:pStyle w:val="30"/>
                    <w:spacing w:line="240" w:lineRule="auto"/>
                    <w:rPr>
                      <w:rFonts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闽侯县污水处理厂纳管标准</w:t>
                  </w:r>
                </w:p>
              </w:tc>
            </w:tr>
            <w:tr w14:paraId="583968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045" w:type="dxa"/>
                  <w:vMerge w:val="continue"/>
                  <w:noWrap w:val="0"/>
                  <w:vAlign w:val="center"/>
                </w:tcPr>
                <w:p w14:paraId="1662D894">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09C4DCB5">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COD</w:t>
                  </w:r>
                </w:p>
              </w:tc>
              <w:tc>
                <w:tcPr>
                  <w:tcW w:w="1766" w:type="dxa"/>
                  <w:noWrap w:val="0"/>
                  <w:vAlign w:val="center"/>
                </w:tcPr>
                <w:p w14:paraId="4F9A9016">
                  <w:pPr>
                    <w:widowControl/>
                    <w:jc w:val="center"/>
                    <w:textAlignment w:val="center"/>
                    <w:rPr>
                      <w:rFonts w:hint="eastAsia"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250</w:t>
                  </w:r>
                </w:p>
              </w:tc>
              <w:tc>
                <w:tcPr>
                  <w:tcW w:w="3832" w:type="dxa"/>
                  <w:vMerge w:val="continue"/>
                  <w:noWrap w:val="0"/>
                  <w:vAlign w:val="center"/>
                </w:tcPr>
                <w:p w14:paraId="1C06F9F7">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313E50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045" w:type="dxa"/>
                  <w:vMerge w:val="continue"/>
                  <w:noWrap w:val="0"/>
                  <w:vAlign w:val="center"/>
                </w:tcPr>
                <w:p w14:paraId="433FF3FB">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39E7DF3C">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BOD</w:t>
                  </w:r>
                  <w:r>
                    <w:rPr>
                      <w:rFonts w:ascii="Times New Roman" w:hAnsi="Times New Roman" w:eastAsia="宋体" w:cs="Times New Roman"/>
                      <w:bCs w:val="0"/>
                      <w:color w:val="auto"/>
                      <w:kern w:val="2"/>
                      <w:sz w:val="21"/>
                      <w:szCs w:val="21"/>
                      <w:vertAlign w:val="subscript"/>
                      <w:lang w:val="en-US" w:eastAsia="zh-CN" w:bidi="ar-SA"/>
                    </w:rPr>
                    <w:t>5</w:t>
                  </w:r>
                </w:p>
              </w:tc>
              <w:tc>
                <w:tcPr>
                  <w:tcW w:w="1766" w:type="dxa"/>
                  <w:noWrap w:val="0"/>
                  <w:vAlign w:val="center"/>
                </w:tcPr>
                <w:p w14:paraId="3657EFE9">
                  <w:pPr>
                    <w:widowControl/>
                    <w:jc w:val="center"/>
                    <w:textAlignment w:val="center"/>
                    <w:rPr>
                      <w:rFonts w:hint="eastAsia"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150</w:t>
                  </w:r>
                </w:p>
              </w:tc>
              <w:tc>
                <w:tcPr>
                  <w:tcW w:w="3832" w:type="dxa"/>
                  <w:vMerge w:val="continue"/>
                  <w:noWrap w:val="0"/>
                  <w:vAlign w:val="center"/>
                </w:tcPr>
                <w:p w14:paraId="2618826A">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4D2F71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1045" w:type="dxa"/>
                  <w:vMerge w:val="continue"/>
                  <w:noWrap w:val="0"/>
                  <w:vAlign w:val="center"/>
                </w:tcPr>
                <w:p w14:paraId="301ED8A9">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0502428C">
                  <w:pPr>
                    <w:pStyle w:val="30"/>
                    <w:spacing w:line="240" w:lineRule="auto"/>
                    <w:rPr>
                      <w:rFonts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SS</w:t>
                  </w:r>
                </w:p>
              </w:tc>
              <w:tc>
                <w:tcPr>
                  <w:tcW w:w="1766" w:type="dxa"/>
                  <w:noWrap w:val="0"/>
                  <w:vAlign w:val="center"/>
                </w:tcPr>
                <w:p w14:paraId="71BEF145">
                  <w:pPr>
                    <w:widowControl/>
                    <w:jc w:val="center"/>
                    <w:textAlignment w:val="center"/>
                    <w:rPr>
                      <w:rFonts w:hint="eastAsia"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200</w:t>
                  </w:r>
                </w:p>
              </w:tc>
              <w:tc>
                <w:tcPr>
                  <w:tcW w:w="3832" w:type="dxa"/>
                  <w:vMerge w:val="continue"/>
                  <w:noWrap w:val="0"/>
                  <w:vAlign w:val="center"/>
                </w:tcPr>
                <w:p w14:paraId="2066A8D4">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6CF46A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045" w:type="dxa"/>
                  <w:vMerge w:val="continue"/>
                  <w:noWrap w:val="0"/>
                  <w:vAlign w:val="center"/>
                </w:tcPr>
                <w:p w14:paraId="3B2A302C">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720921A1">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氨氮</w:t>
                  </w:r>
                </w:p>
              </w:tc>
              <w:tc>
                <w:tcPr>
                  <w:tcW w:w="1766" w:type="dxa"/>
                  <w:noWrap w:val="0"/>
                  <w:vAlign w:val="center"/>
                </w:tcPr>
                <w:p w14:paraId="2F41028B">
                  <w:pPr>
                    <w:pStyle w:val="30"/>
                    <w:spacing w:line="240" w:lineRule="auto"/>
                    <w:rPr>
                      <w:rFonts w:hint="eastAsia"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30</w:t>
                  </w:r>
                </w:p>
              </w:tc>
              <w:tc>
                <w:tcPr>
                  <w:tcW w:w="3832" w:type="dxa"/>
                  <w:vMerge w:val="continue"/>
                  <w:noWrap w:val="0"/>
                  <w:vAlign w:val="center"/>
                </w:tcPr>
                <w:p w14:paraId="33BE6B82">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07056B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045" w:type="dxa"/>
                  <w:vMerge w:val="continue"/>
                  <w:noWrap w:val="0"/>
                  <w:vAlign w:val="center"/>
                </w:tcPr>
                <w:p w14:paraId="01ECFCBD">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7006C2DA">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总磷</w:t>
                  </w:r>
                </w:p>
              </w:tc>
              <w:tc>
                <w:tcPr>
                  <w:tcW w:w="1766" w:type="dxa"/>
                  <w:noWrap w:val="0"/>
                  <w:vAlign w:val="center"/>
                </w:tcPr>
                <w:p w14:paraId="69B58C31">
                  <w:pPr>
                    <w:pStyle w:val="30"/>
                    <w:spacing w:line="240" w:lineRule="auto"/>
                    <w:rPr>
                      <w:rFonts w:hint="eastAsia"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3.5</w:t>
                  </w:r>
                </w:p>
              </w:tc>
              <w:tc>
                <w:tcPr>
                  <w:tcW w:w="3832" w:type="dxa"/>
                  <w:vMerge w:val="continue"/>
                  <w:noWrap w:val="0"/>
                  <w:vAlign w:val="center"/>
                </w:tcPr>
                <w:p w14:paraId="140387A0">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730E7A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5" w:type="dxa"/>
                  <w:vMerge w:val="continue"/>
                  <w:noWrap w:val="0"/>
                  <w:vAlign w:val="center"/>
                </w:tcPr>
                <w:p w14:paraId="25DA00A0">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noWrap w:val="0"/>
                  <w:vAlign w:val="center"/>
                </w:tcPr>
                <w:p w14:paraId="226D3292">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总氮</w:t>
                  </w:r>
                </w:p>
              </w:tc>
              <w:tc>
                <w:tcPr>
                  <w:tcW w:w="1766" w:type="dxa"/>
                  <w:noWrap w:val="0"/>
                  <w:vAlign w:val="center"/>
                </w:tcPr>
                <w:p w14:paraId="720FD8CB">
                  <w:pPr>
                    <w:pStyle w:val="30"/>
                    <w:spacing w:line="240" w:lineRule="auto"/>
                    <w:rPr>
                      <w:rFonts w:hint="eastAsia" w:ascii="Times New Roman" w:hAnsi="Times New Roman" w:eastAsia="宋体" w:cs="Times New Roman"/>
                      <w:bCs w:val="0"/>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40</w:t>
                  </w:r>
                </w:p>
              </w:tc>
              <w:tc>
                <w:tcPr>
                  <w:tcW w:w="3832" w:type="dxa"/>
                  <w:vMerge w:val="continue"/>
                  <w:noWrap w:val="0"/>
                  <w:vAlign w:val="center"/>
                </w:tcPr>
                <w:p w14:paraId="2615F234">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2B27F3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5" w:type="dxa"/>
                  <w:vMerge w:val="restart"/>
                  <w:noWrap w:val="0"/>
                  <w:vAlign w:val="center"/>
                </w:tcPr>
                <w:p w14:paraId="3A46237E">
                  <w:pPr>
                    <w:pStyle w:val="30"/>
                    <w:spacing w:line="240" w:lineRule="auto"/>
                    <w:rPr>
                      <w:rFonts w:hint="eastAsia"/>
                      <w:color w:val="auto"/>
                      <w:sz w:val="21"/>
                      <w:szCs w:val="21"/>
                      <w:lang w:eastAsia="zh-CN"/>
                    </w:rPr>
                  </w:pPr>
                  <w:r>
                    <w:rPr>
                      <w:rFonts w:hint="eastAsia"/>
                      <w:color w:val="auto"/>
                      <w:sz w:val="21"/>
                      <w:szCs w:val="21"/>
                      <w:lang w:eastAsia="zh-CN"/>
                    </w:rPr>
                    <w:t>从严</w:t>
                  </w:r>
                </w:p>
                <w:p w14:paraId="713E879E">
                  <w:pPr>
                    <w:pStyle w:val="30"/>
                    <w:spacing w:line="240" w:lineRule="auto"/>
                    <w:rPr>
                      <w:rFonts w:hint="eastAsia"/>
                      <w:color w:val="auto"/>
                      <w:sz w:val="21"/>
                      <w:szCs w:val="21"/>
                      <w:lang w:eastAsia="zh-CN"/>
                    </w:rPr>
                  </w:pPr>
                  <w:r>
                    <w:rPr>
                      <w:rFonts w:hint="eastAsia"/>
                      <w:color w:val="auto"/>
                      <w:sz w:val="21"/>
                      <w:szCs w:val="21"/>
                      <w:lang w:eastAsia="zh-CN"/>
                    </w:rPr>
                    <w:t>执行</w:t>
                  </w:r>
                </w:p>
                <w:p w14:paraId="034955FA">
                  <w:pPr>
                    <w:pStyle w:val="30"/>
                    <w:spacing w:line="240" w:lineRule="auto"/>
                    <w:rPr>
                      <w:rFonts w:hint="eastAsia" w:ascii="Times New Roman" w:hAnsi="Times New Roman" w:eastAsia="宋体" w:cs="Times New Roman"/>
                      <w:bCs w:val="0"/>
                      <w:color w:val="auto"/>
                      <w:kern w:val="2"/>
                      <w:sz w:val="21"/>
                      <w:szCs w:val="21"/>
                      <w:lang w:val="en-US" w:eastAsia="zh-CN" w:bidi="ar-SA"/>
                    </w:rPr>
                  </w:pPr>
                  <w:r>
                    <w:rPr>
                      <w:rFonts w:hint="eastAsia"/>
                      <w:color w:val="auto"/>
                      <w:sz w:val="21"/>
                      <w:szCs w:val="21"/>
                      <w:lang w:eastAsia="zh-CN"/>
                    </w:rPr>
                    <w:t>标准</w:t>
                  </w:r>
                </w:p>
              </w:tc>
              <w:tc>
                <w:tcPr>
                  <w:tcW w:w="1746" w:type="dxa"/>
                  <w:shd w:val="clear" w:color="auto" w:fill="auto"/>
                  <w:noWrap w:val="0"/>
                  <w:vAlign w:val="center"/>
                </w:tcPr>
                <w:p w14:paraId="50738710">
                  <w:pPr>
                    <w:pStyle w:val="30"/>
                    <w:spacing w:line="240" w:lineRule="auto"/>
                    <w:rPr>
                      <w:rFonts w:ascii="Times New Roman" w:hAnsi="Times New Roman" w:eastAsia="宋体" w:cs="Times New Roman"/>
                      <w:color w:val="auto"/>
                      <w:kern w:val="2"/>
                      <w:sz w:val="21"/>
                      <w:szCs w:val="21"/>
                      <w:lang w:val="en-US" w:eastAsia="zh-CN" w:bidi="ar-SA"/>
                    </w:rPr>
                  </w:pPr>
                  <w:r>
                    <w:rPr>
                      <w:rFonts w:ascii="Times New Roman" w:hAnsi="Times New Roman"/>
                      <w:color w:val="auto"/>
                      <w:sz w:val="21"/>
                      <w:szCs w:val="21"/>
                    </w:rPr>
                    <w:t>pH</w:t>
                  </w:r>
                </w:p>
              </w:tc>
              <w:tc>
                <w:tcPr>
                  <w:tcW w:w="1766" w:type="dxa"/>
                  <w:shd w:val="clear" w:color="auto" w:fill="auto"/>
                  <w:noWrap w:val="0"/>
                  <w:vAlign w:val="center"/>
                </w:tcPr>
                <w:p w14:paraId="6669C9F4">
                  <w:pPr>
                    <w:pStyle w:val="30"/>
                    <w:spacing w:line="240" w:lineRule="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olor w:val="auto"/>
                      <w:sz w:val="21"/>
                      <w:szCs w:val="21"/>
                    </w:rPr>
                    <w:t>6-9（无量纲）</w:t>
                  </w:r>
                </w:p>
              </w:tc>
              <w:tc>
                <w:tcPr>
                  <w:tcW w:w="3832" w:type="dxa"/>
                  <w:vMerge w:val="restart"/>
                  <w:noWrap w:val="0"/>
                  <w:vAlign w:val="center"/>
                </w:tcPr>
                <w:p w14:paraId="26D00E76">
                  <w:pPr>
                    <w:pStyle w:val="30"/>
                    <w:spacing w:line="240" w:lineRule="auto"/>
                    <w:rPr>
                      <w:rFonts w:ascii="Times New Roman" w:hAnsi="Times New Roman" w:eastAsia="宋体" w:cs="Times New Roman"/>
                      <w:bCs w:val="0"/>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执行《污水综合排放标准》（GB8978-1996）表4中三级标准</w:t>
                  </w:r>
                  <w:r>
                    <w:rPr>
                      <w:rFonts w:hint="eastAsia" w:cs="Times New Roman"/>
                      <w:bCs w:val="0"/>
                      <w:color w:val="auto"/>
                      <w:kern w:val="2"/>
                      <w:sz w:val="21"/>
                      <w:szCs w:val="21"/>
                      <w:lang w:val="en-US" w:eastAsia="zh-CN" w:bidi="ar-SA"/>
                    </w:rPr>
                    <w:t>、</w:t>
                  </w:r>
                  <w:r>
                    <w:rPr>
                      <w:rFonts w:ascii="Times New Roman" w:hAnsi="Times New Roman" w:eastAsia="宋体" w:cs="Times New Roman"/>
                      <w:bCs w:val="0"/>
                      <w:color w:val="auto"/>
                      <w:kern w:val="2"/>
                      <w:sz w:val="21"/>
                      <w:szCs w:val="21"/>
                      <w:lang w:val="en-US" w:eastAsia="zh-CN" w:bidi="ar-SA"/>
                    </w:rPr>
                    <w:t>《污水排入城镇下水道水质标准》（GB/T31962-2015）B等级标准</w:t>
                  </w:r>
                  <w:r>
                    <w:rPr>
                      <w:rFonts w:hint="eastAsia" w:cs="Times New Roman"/>
                      <w:bCs w:val="0"/>
                      <w:color w:val="auto"/>
                      <w:kern w:val="2"/>
                      <w:sz w:val="21"/>
                      <w:szCs w:val="21"/>
                      <w:lang w:val="en-US" w:eastAsia="zh-CN" w:bidi="ar-SA"/>
                    </w:rPr>
                    <w:t>及</w:t>
                  </w:r>
                  <w:r>
                    <w:rPr>
                      <w:rFonts w:hint="eastAsia" w:ascii="Times New Roman" w:hAnsi="Times New Roman" w:eastAsia="宋体" w:cs="Times New Roman"/>
                      <w:bCs w:val="0"/>
                      <w:color w:val="auto"/>
                      <w:kern w:val="2"/>
                      <w:sz w:val="21"/>
                      <w:szCs w:val="21"/>
                      <w:lang w:val="en-US" w:eastAsia="zh-CN" w:bidi="ar-SA"/>
                    </w:rPr>
                    <w:t>闽侯县污水处理厂纳管标准</w:t>
                  </w:r>
                </w:p>
              </w:tc>
            </w:tr>
            <w:tr w14:paraId="7D8E17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5" w:type="dxa"/>
                  <w:vMerge w:val="continue"/>
                  <w:noWrap w:val="0"/>
                  <w:vAlign w:val="center"/>
                </w:tcPr>
                <w:p w14:paraId="1CA74B41">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shd w:val="clear" w:color="auto" w:fill="auto"/>
                  <w:noWrap w:val="0"/>
                  <w:vAlign w:val="center"/>
                </w:tcPr>
                <w:p w14:paraId="76601496">
                  <w:pPr>
                    <w:pStyle w:val="30"/>
                    <w:spacing w:line="240" w:lineRule="auto"/>
                    <w:rPr>
                      <w:rFonts w:ascii="Times New Roman" w:hAnsi="Times New Roman" w:eastAsia="宋体" w:cs="Times New Roman"/>
                      <w:color w:val="auto"/>
                      <w:kern w:val="2"/>
                      <w:sz w:val="21"/>
                      <w:szCs w:val="21"/>
                      <w:lang w:val="en-US" w:eastAsia="zh-CN" w:bidi="ar-SA"/>
                    </w:rPr>
                  </w:pPr>
                  <w:r>
                    <w:rPr>
                      <w:rFonts w:ascii="Times New Roman" w:hAnsi="Times New Roman"/>
                      <w:color w:val="auto"/>
                      <w:sz w:val="21"/>
                      <w:szCs w:val="21"/>
                    </w:rPr>
                    <w:t>C</w:t>
                  </w:r>
                  <w:r>
                    <w:rPr>
                      <w:rFonts w:hint="eastAsia" w:ascii="Times New Roman" w:hAnsi="Times New Roman"/>
                      <w:color w:val="auto"/>
                      <w:sz w:val="21"/>
                      <w:szCs w:val="21"/>
                    </w:rPr>
                    <w:t>O</w:t>
                  </w:r>
                  <w:r>
                    <w:rPr>
                      <w:rFonts w:ascii="Times New Roman" w:hAnsi="Times New Roman"/>
                      <w:color w:val="auto"/>
                      <w:sz w:val="21"/>
                      <w:szCs w:val="21"/>
                    </w:rPr>
                    <w:t>D</w:t>
                  </w:r>
                </w:p>
              </w:tc>
              <w:tc>
                <w:tcPr>
                  <w:tcW w:w="1766" w:type="dxa"/>
                  <w:shd w:val="clear" w:color="auto" w:fill="auto"/>
                  <w:noWrap w:val="0"/>
                  <w:vAlign w:val="center"/>
                </w:tcPr>
                <w:p w14:paraId="2F5CAB6E">
                  <w:pPr>
                    <w:widowControl/>
                    <w:jc w:val="center"/>
                    <w:textAlignment w:val="center"/>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250</w:t>
                  </w:r>
                </w:p>
              </w:tc>
              <w:tc>
                <w:tcPr>
                  <w:tcW w:w="3832" w:type="dxa"/>
                  <w:vMerge w:val="continue"/>
                  <w:noWrap w:val="0"/>
                  <w:vAlign w:val="center"/>
                </w:tcPr>
                <w:p w14:paraId="2E9265B6">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44F3EE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5" w:type="dxa"/>
                  <w:vMerge w:val="continue"/>
                  <w:noWrap w:val="0"/>
                  <w:vAlign w:val="center"/>
                </w:tcPr>
                <w:p w14:paraId="49D01337">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shd w:val="clear" w:color="auto" w:fill="auto"/>
                  <w:noWrap w:val="0"/>
                  <w:vAlign w:val="center"/>
                </w:tcPr>
                <w:p w14:paraId="1C2D42BF">
                  <w:pPr>
                    <w:pStyle w:val="30"/>
                    <w:spacing w:line="240" w:lineRule="auto"/>
                    <w:rPr>
                      <w:rFonts w:ascii="Times New Roman" w:hAnsi="Times New Roman" w:eastAsia="宋体" w:cs="Times New Roman"/>
                      <w:color w:val="auto"/>
                      <w:kern w:val="2"/>
                      <w:sz w:val="21"/>
                      <w:szCs w:val="21"/>
                      <w:lang w:val="en-US" w:eastAsia="zh-CN" w:bidi="ar-SA"/>
                    </w:rPr>
                  </w:pPr>
                  <w:r>
                    <w:rPr>
                      <w:rFonts w:ascii="Times New Roman" w:hAnsi="Times New Roman"/>
                      <w:color w:val="auto"/>
                      <w:sz w:val="21"/>
                      <w:szCs w:val="21"/>
                    </w:rPr>
                    <w:t>BOD</w:t>
                  </w:r>
                  <w:r>
                    <w:rPr>
                      <w:rFonts w:ascii="Times New Roman" w:hAnsi="Times New Roman"/>
                      <w:color w:val="auto"/>
                      <w:sz w:val="21"/>
                      <w:szCs w:val="21"/>
                      <w:vertAlign w:val="subscript"/>
                    </w:rPr>
                    <w:t>5</w:t>
                  </w:r>
                </w:p>
              </w:tc>
              <w:tc>
                <w:tcPr>
                  <w:tcW w:w="1766" w:type="dxa"/>
                  <w:shd w:val="clear" w:color="auto" w:fill="auto"/>
                  <w:noWrap w:val="0"/>
                  <w:vAlign w:val="center"/>
                </w:tcPr>
                <w:p w14:paraId="1334F883">
                  <w:pPr>
                    <w:widowControl/>
                    <w:jc w:val="center"/>
                    <w:textAlignment w:val="center"/>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150</w:t>
                  </w:r>
                </w:p>
              </w:tc>
              <w:tc>
                <w:tcPr>
                  <w:tcW w:w="3832" w:type="dxa"/>
                  <w:vMerge w:val="continue"/>
                  <w:noWrap w:val="0"/>
                  <w:vAlign w:val="center"/>
                </w:tcPr>
                <w:p w14:paraId="5AFED1C5">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4CCF13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5" w:type="dxa"/>
                  <w:vMerge w:val="continue"/>
                  <w:noWrap w:val="0"/>
                  <w:vAlign w:val="center"/>
                </w:tcPr>
                <w:p w14:paraId="7E17AEAC">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shd w:val="clear" w:color="auto" w:fill="auto"/>
                  <w:noWrap w:val="0"/>
                  <w:vAlign w:val="center"/>
                </w:tcPr>
                <w:p w14:paraId="457860E8">
                  <w:pPr>
                    <w:pStyle w:val="30"/>
                    <w:spacing w:line="240" w:lineRule="auto"/>
                    <w:rPr>
                      <w:rFonts w:ascii="Times New Roman" w:hAnsi="Times New Roman" w:eastAsia="宋体" w:cs="Times New Roman"/>
                      <w:color w:val="auto"/>
                      <w:kern w:val="2"/>
                      <w:sz w:val="21"/>
                      <w:szCs w:val="21"/>
                      <w:lang w:val="en-US" w:eastAsia="zh-CN" w:bidi="ar-SA"/>
                    </w:rPr>
                  </w:pPr>
                  <w:r>
                    <w:rPr>
                      <w:rFonts w:ascii="Times New Roman" w:hAnsi="Times New Roman"/>
                      <w:color w:val="auto"/>
                      <w:sz w:val="21"/>
                      <w:szCs w:val="21"/>
                    </w:rPr>
                    <w:t>SS</w:t>
                  </w:r>
                </w:p>
              </w:tc>
              <w:tc>
                <w:tcPr>
                  <w:tcW w:w="1766" w:type="dxa"/>
                  <w:shd w:val="clear" w:color="auto" w:fill="auto"/>
                  <w:noWrap w:val="0"/>
                  <w:vAlign w:val="center"/>
                </w:tcPr>
                <w:p w14:paraId="1B569D16">
                  <w:pPr>
                    <w:widowControl/>
                    <w:jc w:val="center"/>
                    <w:textAlignment w:val="center"/>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bCs w:val="0"/>
                      <w:color w:val="auto"/>
                      <w:kern w:val="2"/>
                      <w:sz w:val="21"/>
                      <w:szCs w:val="21"/>
                      <w:lang w:val="en-US" w:eastAsia="zh-CN" w:bidi="ar-SA"/>
                    </w:rPr>
                    <w:t>200</w:t>
                  </w:r>
                </w:p>
              </w:tc>
              <w:tc>
                <w:tcPr>
                  <w:tcW w:w="3832" w:type="dxa"/>
                  <w:vMerge w:val="continue"/>
                  <w:noWrap w:val="0"/>
                  <w:vAlign w:val="center"/>
                </w:tcPr>
                <w:p w14:paraId="4C92212E">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5A3B68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5" w:type="dxa"/>
                  <w:vMerge w:val="continue"/>
                  <w:noWrap w:val="0"/>
                  <w:vAlign w:val="center"/>
                </w:tcPr>
                <w:p w14:paraId="6EDD2DD8">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shd w:val="clear" w:color="auto" w:fill="auto"/>
                  <w:noWrap w:val="0"/>
                  <w:vAlign w:val="center"/>
                </w:tcPr>
                <w:p w14:paraId="2798DA86">
                  <w:pPr>
                    <w:pStyle w:val="30"/>
                    <w:spacing w:line="240" w:lineRule="auto"/>
                    <w:rPr>
                      <w:rFonts w:ascii="Times New Roman" w:hAnsi="Times New Roman" w:eastAsia="宋体" w:cs="Times New Roman"/>
                      <w:color w:val="auto"/>
                      <w:kern w:val="2"/>
                      <w:sz w:val="21"/>
                      <w:szCs w:val="21"/>
                      <w:lang w:val="en-US" w:eastAsia="zh-CN" w:bidi="ar-SA"/>
                    </w:rPr>
                  </w:pPr>
                  <w:r>
                    <w:rPr>
                      <w:rFonts w:ascii="Times New Roman" w:hAnsi="Times New Roman"/>
                      <w:color w:val="auto"/>
                      <w:sz w:val="21"/>
                      <w:szCs w:val="21"/>
                    </w:rPr>
                    <w:t>氨氮</w:t>
                  </w:r>
                </w:p>
              </w:tc>
              <w:tc>
                <w:tcPr>
                  <w:tcW w:w="1766" w:type="dxa"/>
                  <w:shd w:val="clear" w:color="auto" w:fill="auto"/>
                  <w:noWrap w:val="0"/>
                  <w:vAlign w:val="center"/>
                </w:tcPr>
                <w:p w14:paraId="44EA2619">
                  <w:pPr>
                    <w:pStyle w:val="30"/>
                    <w:spacing w:line="240" w:lineRule="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30</w:t>
                  </w:r>
                </w:p>
              </w:tc>
              <w:tc>
                <w:tcPr>
                  <w:tcW w:w="3832" w:type="dxa"/>
                  <w:vMerge w:val="continue"/>
                  <w:noWrap w:val="0"/>
                  <w:vAlign w:val="center"/>
                </w:tcPr>
                <w:p w14:paraId="158EF1AA">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104F93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5" w:type="dxa"/>
                  <w:vMerge w:val="continue"/>
                  <w:noWrap w:val="0"/>
                  <w:vAlign w:val="center"/>
                </w:tcPr>
                <w:p w14:paraId="359E48EE">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shd w:val="clear" w:color="auto" w:fill="auto"/>
                  <w:noWrap w:val="0"/>
                  <w:vAlign w:val="center"/>
                </w:tcPr>
                <w:p w14:paraId="3EDFFA1F">
                  <w:pPr>
                    <w:pStyle w:val="30"/>
                    <w:spacing w:line="240" w:lineRule="auto"/>
                    <w:rPr>
                      <w:rFonts w:ascii="Times New Roman" w:hAnsi="Times New Roman" w:eastAsia="宋体" w:cs="Times New Roman"/>
                      <w:color w:val="auto"/>
                      <w:kern w:val="2"/>
                      <w:sz w:val="21"/>
                      <w:szCs w:val="21"/>
                      <w:lang w:val="en-US" w:eastAsia="zh-CN" w:bidi="ar-SA"/>
                    </w:rPr>
                  </w:pPr>
                  <w:r>
                    <w:rPr>
                      <w:rFonts w:ascii="Times New Roman" w:hAnsi="Times New Roman"/>
                      <w:color w:val="auto"/>
                      <w:sz w:val="21"/>
                      <w:szCs w:val="21"/>
                    </w:rPr>
                    <w:t>总磷</w:t>
                  </w:r>
                </w:p>
              </w:tc>
              <w:tc>
                <w:tcPr>
                  <w:tcW w:w="1766" w:type="dxa"/>
                  <w:shd w:val="clear" w:color="auto" w:fill="auto"/>
                  <w:noWrap w:val="0"/>
                  <w:vAlign w:val="center"/>
                </w:tcPr>
                <w:p w14:paraId="1F8FAEA7">
                  <w:pPr>
                    <w:pStyle w:val="30"/>
                    <w:spacing w:line="240" w:lineRule="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3.5</w:t>
                  </w:r>
                </w:p>
              </w:tc>
              <w:tc>
                <w:tcPr>
                  <w:tcW w:w="3832" w:type="dxa"/>
                  <w:vMerge w:val="continue"/>
                  <w:noWrap w:val="0"/>
                  <w:vAlign w:val="center"/>
                </w:tcPr>
                <w:p w14:paraId="0ED9B796">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4D4778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5" w:type="dxa"/>
                  <w:vMerge w:val="continue"/>
                  <w:noWrap w:val="0"/>
                  <w:vAlign w:val="center"/>
                </w:tcPr>
                <w:p w14:paraId="78FAA052">
                  <w:pPr>
                    <w:pStyle w:val="30"/>
                    <w:spacing w:line="240" w:lineRule="auto"/>
                    <w:rPr>
                      <w:rFonts w:hint="eastAsia" w:ascii="Times New Roman" w:hAnsi="Times New Roman" w:eastAsia="宋体" w:cs="Times New Roman"/>
                      <w:bCs w:val="0"/>
                      <w:color w:val="auto"/>
                      <w:kern w:val="2"/>
                      <w:sz w:val="21"/>
                      <w:szCs w:val="21"/>
                      <w:lang w:val="en-US" w:eastAsia="zh-CN" w:bidi="ar-SA"/>
                    </w:rPr>
                  </w:pPr>
                </w:p>
              </w:tc>
              <w:tc>
                <w:tcPr>
                  <w:tcW w:w="1746" w:type="dxa"/>
                  <w:shd w:val="clear" w:color="auto" w:fill="auto"/>
                  <w:noWrap w:val="0"/>
                  <w:vAlign w:val="center"/>
                </w:tcPr>
                <w:p w14:paraId="4AFE59CE">
                  <w:pPr>
                    <w:pStyle w:val="30"/>
                    <w:spacing w:line="240" w:lineRule="auto"/>
                    <w:rPr>
                      <w:rFonts w:ascii="Times New Roman" w:hAnsi="Times New Roman" w:eastAsia="宋体" w:cs="Times New Roman"/>
                      <w:color w:val="auto"/>
                      <w:kern w:val="2"/>
                      <w:sz w:val="21"/>
                      <w:szCs w:val="21"/>
                      <w:lang w:val="en-US" w:eastAsia="zh-CN" w:bidi="ar-SA"/>
                    </w:rPr>
                  </w:pPr>
                  <w:r>
                    <w:rPr>
                      <w:rFonts w:ascii="Times New Roman" w:hAnsi="Times New Roman"/>
                      <w:color w:val="auto"/>
                      <w:sz w:val="21"/>
                      <w:szCs w:val="21"/>
                    </w:rPr>
                    <w:t>总氮</w:t>
                  </w:r>
                </w:p>
              </w:tc>
              <w:tc>
                <w:tcPr>
                  <w:tcW w:w="1766" w:type="dxa"/>
                  <w:shd w:val="clear" w:color="auto" w:fill="auto"/>
                  <w:noWrap w:val="0"/>
                  <w:vAlign w:val="center"/>
                </w:tcPr>
                <w:p w14:paraId="71AF68C6">
                  <w:pPr>
                    <w:pStyle w:val="30"/>
                    <w:spacing w:line="240" w:lineRule="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val="0"/>
                      <w:color w:val="auto"/>
                      <w:kern w:val="2"/>
                      <w:sz w:val="21"/>
                      <w:szCs w:val="21"/>
                      <w:lang w:val="en-US" w:eastAsia="zh-CN" w:bidi="ar-SA"/>
                    </w:rPr>
                    <w:t>40</w:t>
                  </w:r>
                </w:p>
              </w:tc>
              <w:tc>
                <w:tcPr>
                  <w:tcW w:w="3832" w:type="dxa"/>
                  <w:vMerge w:val="continue"/>
                  <w:noWrap w:val="0"/>
                  <w:vAlign w:val="center"/>
                </w:tcPr>
                <w:p w14:paraId="6D9900EC">
                  <w:pPr>
                    <w:pStyle w:val="30"/>
                    <w:spacing w:line="240" w:lineRule="auto"/>
                    <w:rPr>
                      <w:rFonts w:ascii="Times New Roman" w:hAnsi="Times New Roman" w:eastAsia="宋体" w:cs="Times New Roman"/>
                      <w:bCs w:val="0"/>
                      <w:color w:val="auto"/>
                      <w:kern w:val="2"/>
                      <w:sz w:val="21"/>
                      <w:szCs w:val="21"/>
                      <w:lang w:val="en-US" w:eastAsia="zh-CN" w:bidi="ar-SA"/>
                    </w:rPr>
                  </w:pPr>
                </w:p>
              </w:tc>
            </w:tr>
            <w:tr w14:paraId="080C76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045" w:type="dxa"/>
                  <w:vMerge w:val="restart"/>
                  <w:noWrap w:val="0"/>
                  <w:vAlign w:val="center"/>
                </w:tcPr>
                <w:p w14:paraId="04056A4A">
                  <w:pPr>
                    <w:pStyle w:val="30"/>
                    <w:spacing w:line="240" w:lineRule="auto"/>
                    <w:rPr>
                      <w:rFonts w:hint="eastAsia" w:ascii="Times New Roman" w:hAnsi="Times New Roman"/>
                      <w:color w:val="auto"/>
                      <w:sz w:val="21"/>
                      <w:szCs w:val="21"/>
                    </w:rPr>
                  </w:pPr>
                  <w:r>
                    <w:rPr>
                      <w:rFonts w:hint="eastAsia" w:ascii="Times New Roman" w:hAnsi="Times New Roman"/>
                      <w:color w:val="auto"/>
                      <w:sz w:val="21"/>
                      <w:szCs w:val="21"/>
                    </w:rPr>
                    <w:t>污水厂尾水</w:t>
                  </w:r>
                </w:p>
              </w:tc>
              <w:tc>
                <w:tcPr>
                  <w:tcW w:w="1746" w:type="dxa"/>
                  <w:noWrap w:val="0"/>
                  <w:vAlign w:val="center"/>
                </w:tcPr>
                <w:p w14:paraId="6E272D50">
                  <w:pPr>
                    <w:pStyle w:val="30"/>
                    <w:spacing w:line="240" w:lineRule="auto"/>
                    <w:rPr>
                      <w:rFonts w:ascii="Times New Roman" w:hAnsi="Times New Roman"/>
                      <w:color w:val="auto"/>
                      <w:sz w:val="21"/>
                      <w:szCs w:val="21"/>
                    </w:rPr>
                  </w:pPr>
                  <w:r>
                    <w:rPr>
                      <w:rFonts w:ascii="Times New Roman" w:hAnsi="Times New Roman"/>
                      <w:color w:val="auto"/>
                      <w:sz w:val="21"/>
                      <w:szCs w:val="21"/>
                    </w:rPr>
                    <w:t>pH</w:t>
                  </w:r>
                </w:p>
              </w:tc>
              <w:tc>
                <w:tcPr>
                  <w:tcW w:w="1766" w:type="dxa"/>
                  <w:noWrap w:val="0"/>
                  <w:vAlign w:val="center"/>
                </w:tcPr>
                <w:p w14:paraId="224B43CF">
                  <w:pPr>
                    <w:pStyle w:val="30"/>
                    <w:spacing w:line="240" w:lineRule="auto"/>
                    <w:rPr>
                      <w:rFonts w:hint="eastAsia" w:ascii="Times New Roman" w:hAnsi="Times New Roman"/>
                      <w:color w:val="auto"/>
                      <w:sz w:val="21"/>
                      <w:szCs w:val="21"/>
                    </w:rPr>
                  </w:pPr>
                  <w:r>
                    <w:rPr>
                      <w:rFonts w:hint="eastAsia" w:ascii="Times New Roman" w:hAnsi="Times New Roman"/>
                      <w:color w:val="auto"/>
                      <w:sz w:val="21"/>
                      <w:szCs w:val="21"/>
                    </w:rPr>
                    <w:t>6-9（无量纲）</w:t>
                  </w:r>
                </w:p>
              </w:tc>
              <w:tc>
                <w:tcPr>
                  <w:tcW w:w="3832" w:type="dxa"/>
                  <w:vMerge w:val="restart"/>
                  <w:noWrap w:val="0"/>
                  <w:vAlign w:val="center"/>
                </w:tcPr>
                <w:p w14:paraId="1C836D56">
                  <w:pPr>
                    <w:pStyle w:val="30"/>
                    <w:spacing w:line="240" w:lineRule="auto"/>
                    <w:rPr>
                      <w:rFonts w:ascii="Times New Roman" w:hAnsi="Times New Roman"/>
                      <w:color w:val="auto"/>
                      <w:sz w:val="21"/>
                      <w:szCs w:val="21"/>
                    </w:rPr>
                  </w:pPr>
                  <w:r>
                    <w:rPr>
                      <w:rFonts w:ascii="Times New Roman"/>
                      <w:color w:val="auto"/>
                      <w:sz w:val="21"/>
                      <w:szCs w:val="21"/>
                    </w:rPr>
                    <w:t>污水处理厂尾水排放标准</w:t>
                  </w:r>
                  <w:r>
                    <w:rPr>
                      <w:rFonts w:ascii="Times New Roman" w:hAnsi="Times New Roman" w:eastAsia="宋体" w:cs="Times New Roman"/>
                      <w:bCs w:val="0"/>
                      <w:color w:val="auto"/>
                      <w:kern w:val="2"/>
                      <w:sz w:val="21"/>
                      <w:szCs w:val="21"/>
                      <w:lang w:val="en-US" w:eastAsia="zh-CN" w:bidi="ar-SA"/>
                    </w:rPr>
                    <w:t>《</w:t>
                  </w:r>
                  <w:r>
                    <w:rPr>
                      <w:rFonts w:ascii="Times New Roman"/>
                      <w:color w:val="auto"/>
                      <w:sz w:val="21"/>
                      <w:szCs w:val="21"/>
                    </w:rPr>
                    <w:t>城镇污水处理厂污染物排放标准</w:t>
                  </w:r>
                  <w:r>
                    <w:rPr>
                      <w:rFonts w:ascii="Times New Roman" w:hAnsi="Times New Roman" w:eastAsia="宋体" w:cs="Times New Roman"/>
                      <w:bCs w:val="0"/>
                      <w:color w:val="auto"/>
                      <w:kern w:val="2"/>
                      <w:sz w:val="21"/>
                      <w:szCs w:val="21"/>
                      <w:lang w:val="en-US" w:eastAsia="zh-CN" w:bidi="ar-SA"/>
                    </w:rPr>
                    <w:t>》</w:t>
                  </w:r>
                  <w:r>
                    <w:rPr>
                      <w:rFonts w:ascii="Times New Roman"/>
                      <w:color w:val="auto"/>
                      <w:sz w:val="21"/>
                      <w:szCs w:val="21"/>
                    </w:rPr>
                    <w:t>（</w:t>
                  </w:r>
                  <w:r>
                    <w:rPr>
                      <w:rFonts w:ascii="Times New Roman" w:hAnsi="Times New Roman"/>
                      <w:color w:val="auto"/>
                      <w:sz w:val="21"/>
                      <w:szCs w:val="21"/>
                    </w:rPr>
                    <w:t>GB18198-2002</w:t>
                  </w:r>
                  <w:r>
                    <w:rPr>
                      <w:rFonts w:ascii="Times New Roman"/>
                      <w:color w:val="auto"/>
                      <w:sz w:val="21"/>
                      <w:szCs w:val="21"/>
                    </w:rPr>
                    <w:t>）</w:t>
                  </w:r>
                  <w:r>
                    <w:rPr>
                      <w:color w:val="auto"/>
                    </w:rPr>
                    <w:t>表1中一级A标准</w:t>
                  </w:r>
                </w:p>
              </w:tc>
            </w:tr>
            <w:tr w14:paraId="3869DB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045" w:type="dxa"/>
                  <w:vMerge w:val="continue"/>
                  <w:noWrap w:val="0"/>
                  <w:vAlign w:val="center"/>
                </w:tcPr>
                <w:p w14:paraId="6D44DADC">
                  <w:pPr>
                    <w:pStyle w:val="30"/>
                    <w:spacing w:line="240" w:lineRule="auto"/>
                    <w:rPr>
                      <w:rFonts w:ascii="Times New Roman" w:hAnsi="Times New Roman"/>
                      <w:color w:val="auto"/>
                      <w:sz w:val="21"/>
                      <w:szCs w:val="21"/>
                    </w:rPr>
                  </w:pPr>
                </w:p>
              </w:tc>
              <w:tc>
                <w:tcPr>
                  <w:tcW w:w="1746" w:type="dxa"/>
                  <w:noWrap w:val="0"/>
                  <w:vAlign w:val="center"/>
                </w:tcPr>
                <w:p w14:paraId="2A4CDC46">
                  <w:pPr>
                    <w:pStyle w:val="30"/>
                    <w:spacing w:line="240" w:lineRule="auto"/>
                    <w:rPr>
                      <w:rFonts w:ascii="Times New Roman" w:hAnsi="Times New Roman"/>
                      <w:color w:val="auto"/>
                      <w:sz w:val="21"/>
                      <w:szCs w:val="21"/>
                    </w:rPr>
                  </w:pPr>
                  <w:r>
                    <w:rPr>
                      <w:rFonts w:ascii="Times New Roman" w:hAnsi="Times New Roman"/>
                      <w:color w:val="auto"/>
                      <w:sz w:val="21"/>
                      <w:szCs w:val="21"/>
                    </w:rPr>
                    <w:t>C</w:t>
                  </w:r>
                  <w:r>
                    <w:rPr>
                      <w:rFonts w:hint="eastAsia" w:ascii="Times New Roman" w:hAnsi="Times New Roman"/>
                      <w:color w:val="auto"/>
                      <w:sz w:val="21"/>
                      <w:szCs w:val="21"/>
                    </w:rPr>
                    <w:t>O</w:t>
                  </w:r>
                  <w:r>
                    <w:rPr>
                      <w:rFonts w:ascii="Times New Roman" w:hAnsi="Times New Roman"/>
                      <w:color w:val="auto"/>
                      <w:sz w:val="21"/>
                      <w:szCs w:val="21"/>
                    </w:rPr>
                    <w:t>D</w:t>
                  </w:r>
                </w:p>
              </w:tc>
              <w:tc>
                <w:tcPr>
                  <w:tcW w:w="1766" w:type="dxa"/>
                  <w:noWrap w:val="0"/>
                  <w:vAlign w:val="center"/>
                </w:tcPr>
                <w:p w14:paraId="21691066">
                  <w:pPr>
                    <w:pStyle w:val="30"/>
                    <w:spacing w:line="240" w:lineRule="auto"/>
                    <w:rPr>
                      <w:rFonts w:ascii="Times New Roman" w:hAnsi="Times New Roman"/>
                      <w:color w:val="auto"/>
                      <w:sz w:val="21"/>
                      <w:szCs w:val="21"/>
                    </w:rPr>
                  </w:pPr>
                  <w:r>
                    <w:rPr>
                      <w:rFonts w:hint="eastAsia" w:ascii="Times New Roman" w:hAnsi="Times New Roman"/>
                      <w:color w:val="auto"/>
                      <w:sz w:val="21"/>
                      <w:szCs w:val="21"/>
                    </w:rPr>
                    <w:t>50</w:t>
                  </w:r>
                </w:p>
              </w:tc>
              <w:tc>
                <w:tcPr>
                  <w:tcW w:w="3832" w:type="dxa"/>
                  <w:vMerge w:val="continue"/>
                  <w:noWrap w:val="0"/>
                  <w:vAlign w:val="center"/>
                </w:tcPr>
                <w:p w14:paraId="49603CBA">
                  <w:pPr>
                    <w:pStyle w:val="30"/>
                    <w:spacing w:line="240" w:lineRule="auto"/>
                    <w:rPr>
                      <w:rFonts w:ascii="Times New Roman" w:hAnsi="Times New Roman"/>
                      <w:color w:val="auto"/>
                      <w:sz w:val="21"/>
                      <w:szCs w:val="21"/>
                    </w:rPr>
                  </w:pPr>
                </w:p>
              </w:tc>
            </w:tr>
            <w:tr w14:paraId="20456C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045" w:type="dxa"/>
                  <w:vMerge w:val="continue"/>
                  <w:noWrap w:val="0"/>
                  <w:vAlign w:val="center"/>
                </w:tcPr>
                <w:p w14:paraId="7609F11E">
                  <w:pPr>
                    <w:pStyle w:val="30"/>
                    <w:spacing w:line="240" w:lineRule="auto"/>
                    <w:rPr>
                      <w:rFonts w:ascii="Times New Roman" w:hAnsi="Times New Roman"/>
                      <w:color w:val="auto"/>
                      <w:sz w:val="21"/>
                      <w:szCs w:val="21"/>
                    </w:rPr>
                  </w:pPr>
                </w:p>
              </w:tc>
              <w:tc>
                <w:tcPr>
                  <w:tcW w:w="1746" w:type="dxa"/>
                  <w:noWrap w:val="0"/>
                  <w:vAlign w:val="center"/>
                </w:tcPr>
                <w:p w14:paraId="5BB5BD5E">
                  <w:pPr>
                    <w:pStyle w:val="30"/>
                    <w:spacing w:line="240" w:lineRule="auto"/>
                    <w:rPr>
                      <w:rFonts w:ascii="Times New Roman" w:hAnsi="Times New Roman"/>
                      <w:color w:val="auto"/>
                      <w:sz w:val="21"/>
                      <w:szCs w:val="21"/>
                    </w:rPr>
                  </w:pPr>
                  <w:r>
                    <w:rPr>
                      <w:rFonts w:ascii="Times New Roman" w:hAnsi="Times New Roman"/>
                      <w:color w:val="auto"/>
                      <w:sz w:val="21"/>
                      <w:szCs w:val="21"/>
                    </w:rPr>
                    <w:t>BOD</w:t>
                  </w:r>
                  <w:r>
                    <w:rPr>
                      <w:rFonts w:ascii="Times New Roman" w:hAnsi="Times New Roman"/>
                      <w:color w:val="auto"/>
                      <w:sz w:val="21"/>
                      <w:szCs w:val="21"/>
                      <w:vertAlign w:val="subscript"/>
                    </w:rPr>
                    <w:t>5</w:t>
                  </w:r>
                </w:p>
              </w:tc>
              <w:tc>
                <w:tcPr>
                  <w:tcW w:w="1766" w:type="dxa"/>
                  <w:noWrap w:val="0"/>
                  <w:vAlign w:val="center"/>
                </w:tcPr>
                <w:p w14:paraId="125D972B">
                  <w:pPr>
                    <w:pStyle w:val="30"/>
                    <w:spacing w:line="240" w:lineRule="auto"/>
                    <w:rPr>
                      <w:rFonts w:ascii="Times New Roman" w:hAnsi="Times New Roman"/>
                      <w:color w:val="auto"/>
                      <w:sz w:val="21"/>
                      <w:szCs w:val="21"/>
                    </w:rPr>
                  </w:pPr>
                  <w:r>
                    <w:rPr>
                      <w:rFonts w:hint="eastAsia" w:ascii="Times New Roman" w:hAnsi="Times New Roman"/>
                      <w:color w:val="auto"/>
                      <w:sz w:val="21"/>
                      <w:szCs w:val="21"/>
                    </w:rPr>
                    <w:t>10</w:t>
                  </w:r>
                </w:p>
              </w:tc>
              <w:tc>
                <w:tcPr>
                  <w:tcW w:w="3832" w:type="dxa"/>
                  <w:vMerge w:val="continue"/>
                  <w:noWrap w:val="0"/>
                  <w:vAlign w:val="center"/>
                </w:tcPr>
                <w:p w14:paraId="2A1A3359">
                  <w:pPr>
                    <w:pStyle w:val="30"/>
                    <w:spacing w:line="240" w:lineRule="auto"/>
                    <w:rPr>
                      <w:rFonts w:ascii="Times New Roman" w:hAnsi="Times New Roman"/>
                      <w:color w:val="auto"/>
                      <w:sz w:val="21"/>
                      <w:szCs w:val="21"/>
                    </w:rPr>
                  </w:pPr>
                </w:p>
              </w:tc>
            </w:tr>
            <w:tr w14:paraId="372151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045" w:type="dxa"/>
                  <w:vMerge w:val="continue"/>
                  <w:noWrap w:val="0"/>
                  <w:vAlign w:val="center"/>
                </w:tcPr>
                <w:p w14:paraId="52F50585">
                  <w:pPr>
                    <w:pStyle w:val="30"/>
                    <w:spacing w:line="240" w:lineRule="auto"/>
                    <w:rPr>
                      <w:rFonts w:ascii="Times New Roman" w:hAnsi="Times New Roman"/>
                      <w:color w:val="auto"/>
                      <w:sz w:val="21"/>
                      <w:szCs w:val="21"/>
                    </w:rPr>
                  </w:pPr>
                </w:p>
              </w:tc>
              <w:tc>
                <w:tcPr>
                  <w:tcW w:w="1746" w:type="dxa"/>
                  <w:noWrap w:val="0"/>
                  <w:vAlign w:val="center"/>
                </w:tcPr>
                <w:p w14:paraId="001C2652">
                  <w:pPr>
                    <w:pStyle w:val="30"/>
                    <w:spacing w:line="240" w:lineRule="auto"/>
                    <w:rPr>
                      <w:rFonts w:ascii="Times New Roman" w:hAnsi="Times New Roman"/>
                      <w:color w:val="auto"/>
                      <w:sz w:val="21"/>
                      <w:szCs w:val="21"/>
                    </w:rPr>
                  </w:pPr>
                  <w:r>
                    <w:rPr>
                      <w:rFonts w:ascii="Times New Roman" w:hAnsi="Times New Roman"/>
                      <w:color w:val="auto"/>
                      <w:sz w:val="21"/>
                      <w:szCs w:val="21"/>
                    </w:rPr>
                    <w:t>SS</w:t>
                  </w:r>
                </w:p>
              </w:tc>
              <w:tc>
                <w:tcPr>
                  <w:tcW w:w="1766" w:type="dxa"/>
                  <w:noWrap w:val="0"/>
                  <w:vAlign w:val="center"/>
                </w:tcPr>
                <w:p w14:paraId="4D14C298">
                  <w:pPr>
                    <w:pStyle w:val="30"/>
                    <w:spacing w:line="240" w:lineRule="auto"/>
                    <w:rPr>
                      <w:rFonts w:ascii="Times New Roman" w:hAnsi="Times New Roman"/>
                      <w:color w:val="auto"/>
                      <w:sz w:val="21"/>
                      <w:szCs w:val="21"/>
                    </w:rPr>
                  </w:pPr>
                  <w:r>
                    <w:rPr>
                      <w:rFonts w:hint="eastAsia" w:ascii="Times New Roman" w:hAnsi="Times New Roman"/>
                      <w:color w:val="auto"/>
                      <w:sz w:val="21"/>
                      <w:szCs w:val="21"/>
                    </w:rPr>
                    <w:t>10</w:t>
                  </w:r>
                </w:p>
              </w:tc>
              <w:tc>
                <w:tcPr>
                  <w:tcW w:w="3832" w:type="dxa"/>
                  <w:vMerge w:val="continue"/>
                  <w:noWrap w:val="0"/>
                  <w:vAlign w:val="center"/>
                </w:tcPr>
                <w:p w14:paraId="53AFE4AC">
                  <w:pPr>
                    <w:pStyle w:val="30"/>
                    <w:spacing w:line="240" w:lineRule="auto"/>
                    <w:rPr>
                      <w:rFonts w:ascii="Times New Roman" w:hAnsi="Times New Roman"/>
                      <w:color w:val="auto"/>
                      <w:sz w:val="21"/>
                      <w:szCs w:val="21"/>
                    </w:rPr>
                  </w:pPr>
                </w:p>
              </w:tc>
            </w:tr>
            <w:tr w14:paraId="5CF19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045" w:type="dxa"/>
                  <w:vMerge w:val="continue"/>
                  <w:noWrap w:val="0"/>
                  <w:vAlign w:val="center"/>
                </w:tcPr>
                <w:p w14:paraId="5E28BD55">
                  <w:pPr>
                    <w:pStyle w:val="30"/>
                    <w:spacing w:line="240" w:lineRule="auto"/>
                    <w:rPr>
                      <w:rFonts w:ascii="Times New Roman" w:hAnsi="Times New Roman"/>
                      <w:color w:val="auto"/>
                      <w:sz w:val="21"/>
                      <w:szCs w:val="21"/>
                    </w:rPr>
                  </w:pPr>
                </w:p>
              </w:tc>
              <w:tc>
                <w:tcPr>
                  <w:tcW w:w="1746" w:type="dxa"/>
                  <w:noWrap w:val="0"/>
                  <w:vAlign w:val="center"/>
                </w:tcPr>
                <w:p w14:paraId="05022B79">
                  <w:pPr>
                    <w:pStyle w:val="30"/>
                    <w:spacing w:line="240" w:lineRule="auto"/>
                    <w:rPr>
                      <w:rFonts w:ascii="Times New Roman" w:hAnsi="Times New Roman"/>
                      <w:color w:val="auto"/>
                      <w:sz w:val="21"/>
                      <w:szCs w:val="21"/>
                    </w:rPr>
                  </w:pPr>
                  <w:r>
                    <w:rPr>
                      <w:rFonts w:ascii="Times New Roman" w:hAnsi="Times New Roman"/>
                      <w:color w:val="auto"/>
                      <w:sz w:val="21"/>
                      <w:szCs w:val="21"/>
                    </w:rPr>
                    <w:t>氨氮</w:t>
                  </w:r>
                </w:p>
              </w:tc>
              <w:tc>
                <w:tcPr>
                  <w:tcW w:w="1766" w:type="dxa"/>
                  <w:noWrap w:val="0"/>
                  <w:vAlign w:val="center"/>
                </w:tcPr>
                <w:p w14:paraId="5A1FFA31">
                  <w:pPr>
                    <w:pStyle w:val="30"/>
                    <w:spacing w:line="240" w:lineRule="auto"/>
                    <w:rPr>
                      <w:rFonts w:ascii="Times New Roman" w:hAnsi="Times New Roman"/>
                      <w:color w:val="auto"/>
                      <w:sz w:val="21"/>
                      <w:szCs w:val="21"/>
                    </w:rPr>
                  </w:pPr>
                  <w:r>
                    <w:rPr>
                      <w:rFonts w:hint="eastAsia" w:ascii="Times New Roman" w:hAnsi="Times New Roman"/>
                      <w:color w:val="auto"/>
                      <w:sz w:val="21"/>
                      <w:szCs w:val="21"/>
                    </w:rPr>
                    <w:t>5</w:t>
                  </w:r>
                </w:p>
              </w:tc>
              <w:tc>
                <w:tcPr>
                  <w:tcW w:w="3832" w:type="dxa"/>
                  <w:vMerge w:val="continue"/>
                  <w:noWrap w:val="0"/>
                  <w:vAlign w:val="center"/>
                </w:tcPr>
                <w:p w14:paraId="1D116CE4">
                  <w:pPr>
                    <w:pStyle w:val="30"/>
                    <w:spacing w:line="240" w:lineRule="auto"/>
                    <w:rPr>
                      <w:rFonts w:ascii="Times New Roman" w:hAnsi="Times New Roman"/>
                      <w:color w:val="auto"/>
                      <w:sz w:val="21"/>
                      <w:szCs w:val="21"/>
                    </w:rPr>
                  </w:pPr>
                </w:p>
              </w:tc>
            </w:tr>
            <w:tr w14:paraId="022A6A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1045" w:type="dxa"/>
                  <w:vMerge w:val="continue"/>
                  <w:noWrap w:val="0"/>
                  <w:vAlign w:val="center"/>
                </w:tcPr>
                <w:p w14:paraId="24EC80FA">
                  <w:pPr>
                    <w:pStyle w:val="30"/>
                    <w:spacing w:line="240" w:lineRule="auto"/>
                    <w:rPr>
                      <w:rFonts w:hint="eastAsia" w:ascii="Times New Roman" w:hAnsi="Times New Roman"/>
                      <w:color w:val="auto"/>
                      <w:sz w:val="21"/>
                      <w:szCs w:val="21"/>
                    </w:rPr>
                  </w:pPr>
                </w:p>
              </w:tc>
              <w:tc>
                <w:tcPr>
                  <w:tcW w:w="1746" w:type="dxa"/>
                  <w:noWrap w:val="0"/>
                  <w:vAlign w:val="center"/>
                </w:tcPr>
                <w:p w14:paraId="1A624E60">
                  <w:pPr>
                    <w:pStyle w:val="30"/>
                    <w:spacing w:line="240" w:lineRule="auto"/>
                    <w:rPr>
                      <w:rFonts w:ascii="Times New Roman" w:hAnsi="Times New Roman"/>
                      <w:color w:val="auto"/>
                      <w:sz w:val="21"/>
                      <w:szCs w:val="21"/>
                    </w:rPr>
                  </w:pPr>
                  <w:r>
                    <w:rPr>
                      <w:rFonts w:ascii="Times New Roman" w:hAnsi="Times New Roman"/>
                      <w:color w:val="auto"/>
                      <w:sz w:val="21"/>
                      <w:szCs w:val="21"/>
                    </w:rPr>
                    <w:t>总磷</w:t>
                  </w:r>
                </w:p>
              </w:tc>
              <w:tc>
                <w:tcPr>
                  <w:tcW w:w="1766" w:type="dxa"/>
                  <w:noWrap w:val="0"/>
                  <w:vAlign w:val="center"/>
                </w:tcPr>
                <w:p w14:paraId="15781FFB">
                  <w:pPr>
                    <w:pStyle w:val="30"/>
                    <w:spacing w:line="240" w:lineRule="auto"/>
                    <w:rPr>
                      <w:rFonts w:hint="eastAsia" w:ascii="Times New Roman" w:hAnsi="Times New Roman"/>
                      <w:color w:val="auto"/>
                      <w:sz w:val="21"/>
                      <w:szCs w:val="21"/>
                    </w:rPr>
                  </w:pPr>
                  <w:r>
                    <w:rPr>
                      <w:rFonts w:hint="eastAsia" w:ascii="Times New Roman" w:hAnsi="Times New Roman"/>
                      <w:color w:val="auto"/>
                      <w:sz w:val="21"/>
                      <w:szCs w:val="21"/>
                    </w:rPr>
                    <w:t>0.5</w:t>
                  </w:r>
                </w:p>
              </w:tc>
              <w:tc>
                <w:tcPr>
                  <w:tcW w:w="3832" w:type="dxa"/>
                  <w:vMerge w:val="continue"/>
                  <w:noWrap w:val="0"/>
                  <w:vAlign w:val="center"/>
                </w:tcPr>
                <w:p w14:paraId="58C9D0FA">
                  <w:pPr>
                    <w:pStyle w:val="30"/>
                    <w:spacing w:line="240" w:lineRule="auto"/>
                    <w:rPr>
                      <w:rFonts w:ascii="Times New Roman" w:hAnsi="Times New Roman"/>
                      <w:color w:val="auto"/>
                      <w:sz w:val="21"/>
                      <w:szCs w:val="21"/>
                    </w:rPr>
                  </w:pPr>
                </w:p>
              </w:tc>
            </w:tr>
            <w:tr w14:paraId="4A4E6A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045" w:type="dxa"/>
                  <w:vMerge w:val="continue"/>
                  <w:noWrap w:val="0"/>
                  <w:vAlign w:val="center"/>
                </w:tcPr>
                <w:p w14:paraId="0C40A70D">
                  <w:pPr>
                    <w:pStyle w:val="30"/>
                    <w:spacing w:line="240" w:lineRule="auto"/>
                    <w:rPr>
                      <w:rFonts w:hint="eastAsia" w:ascii="Times New Roman" w:hAnsi="Times New Roman"/>
                      <w:color w:val="auto"/>
                      <w:sz w:val="21"/>
                      <w:szCs w:val="21"/>
                    </w:rPr>
                  </w:pPr>
                </w:p>
              </w:tc>
              <w:tc>
                <w:tcPr>
                  <w:tcW w:w="1746" w:type="dxa"/>
                  <w:noWrap w:val="0"/>
                  <w:vAlign w:val="center"/>
                </w:tcPr>
                <w:p w14:paraId="6F2CA11E">
                  <w:pPr>
                    <w:pStyle w:val="30"/>
                    <w:spacing w:line="240" w:lineRule="auto"/>
                    <w:rPr>
                      <w:rFonts w:ascii="Times New Roman" w:hAnsi="Times New Roman"/>
                      <w:color w:val="auto"/>
                      <w:sz w:val="21"/>
                      <w:szCs w:val="21"/>
                    </w:rPr>
                  </w:pPr>
                  <w:r>
                    <w:rPr>
                      <w:rFonts w:ascii="Times New Roman" w:hAnsi="Times New Roman"/>
                      <w:color w:val="auto"/>
                      <w:sz w:val="21"/>
                      <w:szCs w:val="21"/>
                    </w:rPr>
                    <w:t>总氮</w:t>
                  </w:r>
                </w:p>
              </w:tc>
              <w:tc>
                <w:tcPr>
                  <w:tcW w:w="1766" w:type="dxa"/>
                  <w:noWrap w:val="0"/>
                  <w:vAlign w:val="center"/>
                </w:tcPr>
                <w:p w14:paraId="60D6753F">
                  <w:pPr>
                    <w:pStyle w:val="30"/>
                    <w:spacing w:line="240" w:lineRule="auto"/>
                    <w:rPr>
                      <w:rFonts w:hint="eastAsia" w:ascii="Times New Roman" w:hAnsi="Times New Roman"/>
                      <w:color w:val="auto"/>
                      <w:sz w:val="21"/>
                      <w:szCs w:val="21"/>
                    </w:rPr>
                  </w:pPr>
                  <w:r>
                    <w:rPr>
                      <w:rFonts w:hint="eastAsia" w:ascii="Times New Roman" w:hAnsi="Times New Roman"/>
                      <w:color w:val="auto"/>
                      <w:sz w:val="21"/>
                      <w:szCs w:val="21"/>
                    </w:rPr>
                    <w:t>15</w:t>
                  </w:r>
                </w:p>
              </w:tc>
              <w:tc>
                <w:tcPr>
                  <w:tcW w:w="3832" w:type="dxa"/>
                  <w:vMerge w:val="continue"/>
                  <w:noWrap w:val="0"/>
                  <w:vAlign w:val="center"/>
                </w:tcPr>
                <w:p w14:paraId="0C18830E">
                  <w:pPr>
                    <w:pStyle w:val="30"/>
                    <w:spacing w:line="240" w:lineRule="auto"/>
                    <w:rPr>
                      <w:rFonts w:ascii="Times New Roman" w:hAnsi="Times New Roman"/>
                      <w:color w:val="auto"/>
                      <w:sz w:val="21"/>
                      <w:szCs w:val="21"/>
                    </w:rPr>
                  </w:pPr>
                </w:p>
              </w:tc>
            </w:tr>
          </w:tbl>
          <w:p w14:paraId="3B63FA71">
            <w:pPr>
              <w:pStyle w:val="62"/>
              <w:numPr>
                <w:ilvl w:val="2"/>
                <w:numId w:val="0"/>
              </w:numPr>
              <w:ind w:leftChars="0"/>
              <w:rPr>
                <w:rFonts w:eastAsia="宋体"/>
                <w:color w:val="auto"/>
                <w:sz w:val="28"/>
                <w:szCs w:val="28"/>
              </w:rPr>
            </w:pPr>
            <w:r>
              <w:rPr>
                <w:rFonts w:hint="eastAsia" w:eastAsia="宋体"/>
                <w:color w:val="auto"/>
                <w:sz w:val="28"/>
                <w:szCs w:val="28"/>
                <w:lang w:val="en-US" w:eastAsia="zh-CN"/>
              </w:rPr>
              <w:t>3.7.3</w:t>
            </w:r>
            <w:r>
              <w:rPr>
                <w:rFonts w:eastAsia="宋体"/>
                <w:color w:val="auto"/>
                <w:sz w:val="28"/>
                <w:szCs w:val="28"/>
              </w:rPr>
              <w:t>噪声排放标准</w:t>
            </w:r>
          </w:p>
          <w:p w14:paraId="6C1D8355">
            <w:pPr>
              <w:pStyle w:val="116"/>
              <w:rPr>
                <w:rFonts w:hint="eastAsia"/>
                <w:color w:val="auto"/>
              </w:rPr>
            </w:pPr>
            <w:r>
              <w:rPr>
                <w:rFonts w:hint="eastAsia"/>
                <w:color w:val="auto"/>
                <w:lang w:val="en-US" w:eastAsia="zh-CN"/>
              </w:rPr>
              <w:t>本项目所在声环境功能区划为3类区，噪声排放执行《工业企业厂界环境噪声排放标准》（GB12348-2008）表1中3类标准限值，项目运营期厂界噪声排放标准详见</w:t>
            </w:r>
            <w:r>
              <w:rPr>
                <w:rFonts w:hint="eastAsia"/>
                <w:color w:val="auto"/>
                <w:lang w:val="en-US" w:eastAsia="zh-CN"/>
              </w:rPr>
              <w:fldChar w:fldCharType="begin"/>
            </w:r>
            <w:r>
              <w:rPr>
                <w:rFonts w:hint="eastAsia"/>
                <w:color w:val="auto"/>
                <w:lang w:val="en-US" w:eastAsia="zh-CN"/>
              </w:rPr>
              <w:instrText xml:space="preserve"> REF _Ref89767372 \r \h  \* MERGEFORMAT </w:instrText>
            </w:r>
            <w:r>
              <w:rPr>
                <w:rFonts w:hint="eastAsia"/>
                <w:color w:val="auto"/>
                <w:lang w:val="en-US" w:eastAsia="zh-CN"/>
              </w:rPr>
              <w:fldChar w:fldCharType="separate"/>
            </w:r>
            <w:r>
              <w:rPr>
                <w:rFonts w:hint="eastAsia"/>
                <w:color w:val="auto"/>
                <w:lang w:val="en-US" w:eastAsia="zh-CN"/>
              </w:rPr>
              <w:t>3.7-4</w:t>
            </w:r>
            <w:r>
              <w:rPr>
                <w:rFonts w:hint="eastAsia"/>
                <w:color w:val="auto"/>
                <w:lang w:val="en-US" w:eastAsia="zh-CN"/>
              </w:rPr>
              <w:fldChar w:fldCharType="end"/>
            </w:r>
            <w:r>
              <w:rPr>
                <w:rFonts w:hint="eastAsia"/>
                <w:color w:val="auto"/>
                <w:lang w:val="en-US" w:eastAsia="zh-CN"/>
              </w:rPr>
              <w:t>。</w:t>
            </w:r>
          </w:p>
          <w:p w14:paraId="69B14058">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hint="eastAsia" w:ascii="Times New Roman" w:hAnsi="Times New Roman" w:eastAsia="宋体" w:cs="Times New Roman"/>
                <w:b/>
                <w:bCs/>
                <w:color w:val="auto"/>
                <w:sz w:val="24"/>
                <w:szCs w:val="24"/>
              </w:rPr>
            </w:pPr>
            <w:bookmarkStart w:id="24" w:name="_Ref89767372"/>
            <w:r>
              <w:rPr>
                <w:rFonts w:hint="eastAsia" w:ascii="Times New Roman" w:hAnsi="Times New Roman" w:eastAsia="宋体" w:cs="Times New Roman"/>
                <w:b/>
                <w:bCs/>
                <w:color w:val="auto"/>
                <w:sz w:val="24"/>
                <w:szCs w:val="24"/>
                <w:lang w:val="en-US" w:eastAsia="zh-CN"/>
              </w:rPr>
              <w:t>表3.7-</w:t>
            </w:r>
            <w:r>
              <w:rPr>
                <w:rFonts w:hint="eastAsia" w:cs="Times New Roman"/>
                <w:b/>
                <w:bCs/>
                <w:color w:val="auto"/>
                <w:sz w:val="24"/>
                <w:szCs w:val="24"/>
                <w:lang w:val="en-US" w:eastAsia="zh-CN"/>
              </w:rPr>
              <w:t>5</w:t>
            </w:r>
            <w:r>
              <w:rPr>
                <w:rFonts w:hint="eastAsia" w:ascii="Times New Roman" w:hAnsi="Times New Roman" w:eastAsia="宋体" w:cs="Times New Roman"/>
                <w:b/>
                <w:bCs/>
                <w:color w:val="auto"/>
                <w:sz w:val="24"/>
                <w:szCs w:val="24"/>
                <w:lang w:val="en-US" w:eastAsia="zh-CN"/>
              </w:rPr>
              <w:t xml:space="preserve">  </w:t>
            </w:r>
            <w:r>
              <w:rPr>
                <w:rFonts w:hint="eastAsia" w:ascii="Times New Roman" w:hAnsi="Times New Roman" w:eastAsia="宋体" w:cs="Times New Roman"/>
                <w:b/>
                <w:bCs/>
                <w:color w:val="auto"/>
                <w:sz w:val="24"/>
                <w:szCs w:val="24"/>
              </w:rPr>
              <w:t>工业企业厂界环境噪声排放限值</w:t>
            </w:r>
            <w:bookmarkEnd w:id="24"/>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090"/>
              <w:gridCol w:w="1883"/>
              <w:gridCol w:w="1692"/>
              <w:gridCol w:w="1839"/>
            </w:tblGrid>
            <w:tr w14:paraId="2540CA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817" w:type="pct"/>
                  <w:vMerge w:val="restart"/>
                  <w:noWrap w:val="0"/>
                  <w:vAlign w:val="center"/>
                </w:tcPr>
                <w:p w14:paraId="295B0DA6">
                  <w:pPr>
                    <w:pStyle w:val="30"/>
                    <w:rPr>
                      <w:color w:val="auto"/>
                    </w:rPr>
                  </w:pPr>
                  <w:r>
                    <w:rPr>
                      <w:color w:val="auto"/>
                    </w:rPr>
                    <w:t>厂界外声环境功能区类别</w:t>
                  </w:r>
                </w:p>
              </w:tc>
              <w:tc>
                <w:tcPr>
                  <w:tcW w:w="1107" w:type="pct"/>
                  <w:vMerge w:val="restart"/>
                  <w:noWrap w:val="0"/>
                  <w:vAlign w:val="center"/>
                </w:tcPr>
                <w:p w14:paraId="6D96537D">
                  <w:pPr>
                    <w:pStyle w:val="30"/>
                    <w:rPr>
                      <w:color w:val="auto"/>
                    </w:rPr>
                  </w:pPr>
                  <w:r>
                    <w:rPr>
                      <w:rFonts w:hint="eastAsia"/>
                      <w:color w:val="auto"/>
                    </w:rPr>
                    <w:t>厂界</w:t>
                  </w:r>
                </w:p>
              </w:tc>
              <w:tc>
                <w:tcPr>
                  <w:tcW w:w="2076" w:type="pct"/>
                  <w:gridSpan w:val="2"/>
                  <w:noWrap w:val="0"/>
                  <w:vAlign w:val="center"/>
                </w:tcPr>
                <w:p w14:paraId="6022E1C1">
                  <w:pPr>
                    <w:pStyle w:val="30"/>
                    <w:rPr>
                      <w:color w:val="auto"/>
                    </w:rPr>
                  </w:pPr>
                  <w:r>
                    <w:rPr>
                      <w:color w:val="auto"/>
                    </w:rPr>
                    <w:t>时段</w:t>
                  </w:r>
                </w:p>
              </w:tc>
            </w:tr>
            <w:tr w14:paraId="4C926C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817" w:type="pct"/>
                  <w:vMerge w:val="continue"/>
                  <w:noWrap w:val="0"/>
                  <w:vAlign w:val="center"/>
                </w:tcPr>
                <w:p w14:paraId="3C692894">
                  <w:pPr>
                    <w:pStyle w:val="30"/>
                    <w:rPr>
                      <w:color w:val="auto"/>
                    </w:rPr>
                  </w:pPr>
                </w:p>
              </w:tc>
              <w:tc>
                <w:tcPr>
                  <w:tcW w:w="1107" w:type="pct"/>
                  <w:vMerge w:val="continue"/>
                  <w:noWrap w:val="0"/>
                  <w:vAlign w:val="center"/>
                </w:tcPr>
                <w:p w14:paraId="4D3AD34C">
                  <w:pPr>
                    <w:pStyle w:val="30"/>
                    <w:rPr>
                      <w:color w:val="auto"/>
                    </w:rPr>
                  </w:pPr>
                </w:p>
              </w:tc>
              <w:tc>
                <w:tcPr>
                  <w:tcW w:w="995" w:type="pct"/>
                  <w:noWrap w:val="0"/>
                  <w:vAlign w:val="center"/>
                </w:tcPr>
                <w:p w14:paraId="08F6DD9E">
                  <w:pPr>
                    <w:pStyle w:val="30"/>
                    <w:rPr>
                      <w:color w:val="auto"/>
                    </w:rPr>
                  </w:pPr>
                  <w:r>
                    <w:rPr>
                      <w:color w:val="auto"/>
                    </w:rPr>
                    <w:t>昼间</w:t>
                  </w:r>
                </w:p>
              </w:tc>
              <w:tc>
                <w:tcPr>
                  <w:tcW w:w="1081" w:type="pct"/>
                  <w:noWrap w:val="0"/>
                  <w:vAlign w:val="center"/>
                </w:tcPr>
                <w:p w14:paraId="0EE68C22">
                  <w:pPr>
                    <w:pStyle w:val="30"/>
                    <w:rPr>
                      <w:color w:val="auto"/>
                    </w:rPr>
                  </w:pPr>
                  <w:r>
                    <w:rPr>
                      <w:color w:val="auto"/>
                    </w:rPr>
                    <w:t>夜间</w:t>
                  </w:r>
                </w:p>
              </w:tc>
            </w:tr>
            <w:tr w14:paraId="7EF54C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817" w:type="pct"/>
                  <w:noWrap w:val="0"/>
                  <w:vAlign w:val="center"/>
                </w:tcPr>
                <w:p w14:paraId="209EC6B8">
                  <w:pPr>
                    <w:pStyle w:val="30"/>
                    <w:rPr>
                      <w:color w:val="auto"/>
                    </w:rPr>
                  </w:pPr>
                  <w:r>
                    <w:rPr>
                      <w:color w:val="auto"/>
                    </w:rPr>
                    <w:t>3类</w:t>
                  </w:r>
                </w:p>
              </w:tc>
              <w:tc>
                <w:tcPr>
                  <w:tcW w:w="1107" w:type="pct"/>
                  <w:noWrap w:val="0"/>
                  <w:vAlign w:val="center"/>
                </w:tcPr>
                <w:p w14:paraId="2FC00121">
                  <w:pPr>
                    <w:pStyle w:val="30"/>
                    <w:rPr>
                      <w:color w:val="auto"/>
                    </w:rPr>
                  </w:pPr>
                  <w:r>
                    <w:rPr>
                      <w:rFonts w:hint="eastAsia"/>
                      <w:color w:val="auto"/>
                    </w:rPr>
                    <w:t>其他厂界</w:t>
                  </w:r>
                </w:p>
              </w:tc>
              <w:tc>
                <w:tcPr>
                  <w:tcW w:w="995" w:type="pct"/>
                  <w:noWrap w:val="0"/>
                  <w:vAlign w:val="center"/>
                </w:tcPr>
                <w:p w14:paraId="5FAEBC08">
                  <w:pPr>
                    <w:pStyle w:val="30"/>
                    <w:rPr>
                      <w:color w:val="auto"/>
                    </w:rPr>
                  </w:pPr>
                  <w:r>
                    <w:rPr>
                      <w:color w:val="auto"/>
                    </w:rPr>
                    <w:t>65</w:t>
                  </w:r>
                </w:p>
              </w:tc>
              <w:tc>
                <w:tcPr>
                  <w:tcW w:w="1081" w:type="pct"/>
                  <w:noWrap w:val="0"/>
                  <w:vAlign w:val="center"/>
                </w:tcPr>
                <w:p w14:paraId="4BD76828">
                  <w:pPr>
                    <w:pStyle w:val="30"/>
                    <w:rPr>
                      <w:color w:val="auto"/>
                    </w:rPr>
                  </w:pPr>
                  <w:r>
                    <w:rPr>
                      <w:color w:val="auto"/>
                    </w:rPr>
                    <w:t>55</w:t>
                  </w:r>
                </w:p>
              </w:tc>
            </w:tr>
          </w:tbl>
          <w:p w14:paraId="76011B2E">
            <w:pPr>
              <w:pStyle w:val="62"/>
              <w:numPr>
                <w:ilvl w:val="2"/>
                <w:numId w:val="0"/>
              </w:numPr>
              <w:ind w:leftChars="0"/>
              <w:rPr>
                <w:rFonts w:eastAsia="宋体"/>
                <w:color w:val="auto"/>
                <w:sz w:val="28"/>
                <w:szCs w:val="28"/>
              </w:rPr>
            </w:pPr>
            <w:r>
              <w:rPr>
                <w:rFonts w:hint="eastAsia" w:eastAsia="宋体"/>
                <w:color w:val="auto"/>
                <w:sz w:val="28"/>
                <w:szCs w:val="28"/>
                <w:lang w:val="en-US" w:eastAsia="zh-CN"/>
              </w:rPr>
              <w:t>3.7.4</w:t>
            </w:r>
            <w:r>
              <w:rPr>
                <w:rFonts w:hint="eastAsia"/>
                <w:color w:val="auto"/>
                <w:sz w:val="28"/>
                <w:szCs w:val="28"/>
                <w:lang w:eastAsia="zh-CN"/>
              </w:rPr>
              <w:t>固体废物污染</w:t>
            </w:r>
            <w:r>
              <w:rPr>
                <w:rFonts w:eastAsia="宋体"/>
                <w:color w:val="auto"/>
                <w:sz w:val="28"/>
                <w:szCs w:val="28"/>
              </w:rPr>
              <w:t>控制标准</w:t>
            </w:r>
          </w:p>
          <w:p w14:paraId="21A6FB65">
            <w:pPr>
              <w:pStyle w:val="116"/>
              <w:rPr>
                <w:rFonts w:hint="eastAsia"/>
                <w:color w:val="auto"/>
                <w:lang w:val="en-US" w:eastAsia="zh-CN"/>
              </w:rPr>
            </w:pPr>
            <w:r>
              <w:rPr>
                <w:rFonts w:hint="eastAsia"/>
                <w:color w:val="auto"/>
                <w:lang w:val="en-US" w:eastAsia="zh-CN"/>
              </w:rPr>
              <w:t>生活垃圾处置执行《中华人民共和国固体废物污染环境防治法》（2020年修订版）的相关规定；本项目一般工业固体废物执行《一般工业固体废物贮存和填埋污染控制标准》（GB 18599-2020）。危险废物按《国家危险废物名录（2025年版）》《危险废物鉴别标准通则》（GB5085.7-2019），执行《危险废物贮存污染控制标准》（GB 18597-2023）的要求。</w:t>
            </w:r>
          </w:p>
          <w:p w14:paraId="6BD7A703">
            <w:pPr>
              <w:rPr>
                <w:rFonts w:hint="eastAsia"/>
                <w:color w:val="auto"/>
                <w:lang w:val="en-US" w:eastAsia="zh-CN"/>
              </w:rPr>
            </w:pPr>
          </w:p>
          <w:p w14:paraId="0A796736">
            <w:pPr>
              <w:rPr>
                <w:rFonts w:hint="eastAsia"/>
                <w:color w:val="auto"/>
                <w:lang w:val="en-US" w:eastAsia="zh-CN"/>
              </w:rPr>
            </w:pPr>
          </w:p>
        </w:tc>
      </w:tr>
      <w:tr w14:paraId="48B219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tcMar>
              <w:left w:w="28" w:type="dxa"/>
              <w:right w:w="28" w:type="dxa"/>
            </w:tcMar>
            <w:vAlign w:val="center"/>
          </w:tcPr>
          <w:p w14:paraId="39642993">
            <w:pPr>
              <w:adjustRightInd w:val="0"/>
              <w:snapToGrid w:val="0"/>
              <w:jc w:val="center"/>
              <w:rPr>
                <w:color w:val="auto"/>
                <w:kern w:val="0"/>
                <w:szCs w:val="21"/>
              </w:rPr>
            </w:pPr>
            <w:r>
              <w:rPr>
                <w:color w:val="auto"/>
                <w:kern w:val="0"/>
                <w:szCs w:val="21"/>
              </w:rPr>
              <w:t>总量</w:t>
            </w:r>
          </w:p>
          <w:p w14:paraId="207B30E4">
            <w:pPr>
              <w:adjustRightInd w:val="0"/>
              <w:snapToGrid w:val="0"/>
              <w:jc w:val="center"/>
              <w:rPr>
                <w:color w:val="auto"/>
                <w:kern w:val="0"/>
                <w:szCs w:val="21"/>
              </w:rPr>
            </w:pPr>
            <w:r>
              <w:rPr>
                <w:color w:val="auto"/>
                <w:kern w:val="0"/>
                <w:szCs w:val="21"/>
              </w:rPr>
              <w:t>控制</w:t>
            </w:r>
          </w:p>
          <w:p w14:paraId="5814EE5A">
            <w:pPr>
              <w:adjustRightInd w:val="0"/>
              <w:snapToGrid w:val="0"/>
              <w:jc w:val="center"/>
              <w:rPr>
                <w:color w:val="auto"/>
                <w:kern w:val="0"/>
                <w:szCs w:val="21"/>
              </w:rPr>
            </w:pPr>
            <w:r>
              <w:rPr>
                <w:color w:val="auto"/>
                <w:kern w:val="0"/>
                <w:szCs w:val="21"/>
              </w:rPr>
              <w:t>指标</w:t>
            </w:r>
          </w:p>
        </w:tc>
        <w:tc>
          <w:tcPr>
            <w:tcW w:w="8190" w:type="dxa"/>
            <w:noWrap w:val="0"/>
            <w:vAlign w:val="center"/>
          </w:tcPr>
          <w:p w14:paraId="57C31D5D">
            <w:pPr>
              <w:pStyle w:val="3"/>
              <w:pageBreakBefore w:val="0"/>
              <w:widowControl w:val="0"/>
              <w:kinsoku/>
              <w:wordWrap/>
              <w:overflowPunct/>
              <w:topLinePunct w:val="0"/>
              <w:autoSpaceDE/>
              <w:autoSpaceDN/>
              <w:bidi w:val="0"/>
              <w:adjustRightInd/>
              <w:snapToGrid/>
              <w:spacing w:before="0" w:after="0" w:line="46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3.8</w:t>
            </w:r>
            <w:r>
              <w:rPr>
                <w:rFonts w:hint="default" w:ascii="Times New Roman" w:hAnsi="Times New Roman" w:eastAsia="宋体" w:cs="Times New Roman"/>
                <w:color w:val="auto"/>
                <w:sz w:val="24"/>
                <w:szCs w:val="24"/>
              </w:rPr>
              <w:t>总量控制指标</w:t>
            </w:r>
          </w:p>
          <w:p w14:paraId="065E86C9">
            <w:pPr>
              <w:pStyle w:val="62"/>
              <w:keepNext w:val="0"/>
              <w:keepLines w:val="0"/>
              <w:pageBreakBefore w:val="0"/>
              <w:widowControl w:val="0"/>
              <w:numPr>
                <w:ilvl w:val="2"/>
                <w:numId w:val="0"/>
              </w:numPr>
              <w:kinsoku/>
              <w:wordWrap/>
              <w:overflowPunct/>
              <w:topLinePunct w:val="0"/>
              <w:autoSpaceDE/>
              <w:autoSpaceDN/>
              <w:bidi w:val="0"/>
              <w:adjustRightInd/>
              <w:snapToGrid/>
              <w:spacing w:line="460" w:lineRule="exact"/>
              <w:ind w:leftChars="0"/>
              <w:textAlignment w:val="auto"/>
              <w:rPr>
                <w:rFonts w:eastAsia="宋体"/>
                <w:color w:val="auto"/>
                <w:sz w:val="24"/>
                <w:szCs w:val="24"/>
              </w:rPr>
            </w:pPr>
            <w:r>
              <w:rPr>
                <w:rFonts w:hint="eastAsia" w:eastAsia="宋体"/>
                <w:color w:val="auto"/>
                <w:sz w:val="24"/>
                <w:szCs w:val="24"/>
                <w:lang w:val="en-US" w:eastAsia="zh-CN"/>
              </w:rPr>
              <w:t>3.8.1</w:t>
            </w:r>
            <w:r>
              <w:rPr>
                <w:rFonts w:eastAsia="宋体"/>
                <w:color w:val="auto"/>
                <w:sz w:val="24"/>
                <w:szCs w:val="24"/>
              </w:rPr>
              <w:t>总量</w:t>
            </w:r>
            <w:r>
              <w:rPr>
                <w:rFonts w:hint="eastAsia" w:eastAsia="宋体"/>
                <w:color w:val="auto"/>
                <w:sz w:val="24"/>
                <w:szCs w:val="24"/>
                <w:lang w:val="en-US" w:eastAsia="zh-CN"/>
              </w:rPr>
              <w:t>控制</w:t>
            </w:r>
            <w:r>
              <w:rPr>
                <w:rFonts w:eastAsia="宋体"/>
                <w:color w:val="auto"/>
                <w:sz w:val="24"/>
                <w:szCs w:val="24"/>
              </w:rPr>
              <w:t>因子</w:t>
            </w:r>
          </w:p>
          <w:p w14:paraId="51AEE50B">
            <w:pPr>
              <w:pStyle w:val="116"/>
              <w:spacing w:line="460" w:lineRule="exact"/>
              <w:rPr>
                <w:rFonts w:hint="eastAsia"/>
                <w:color w:val="auto"/>
                <w:lang w:val="en-US" w:eastAsia="zh-CN"/>
              </w:rPr>
            </w:pPr>
            <w:r>
              <w:rPr>
                <w:rFonts w:hint="eastAsia"/>
                <w:color w:val="auto"/>
                <w:lang w:val="en-US" w:eastAsia="zh-CN"/>
              </w:rPr>
              <w:t>污染物排放总量控制对象分为两类，一类是约束性指标，另一类是预期性指标。</w:t>
            </w:r>
          </w:p>
          <w:p w14:paraId="5374FF14">
            <w:pPr>
              <w:pStyle w:val="116"/>
              <w:spacing w:line="460" w:lineRule="exact"/>
              <w:rPr>
                <w:rFonts w:hint="eastAsia"/>
                <w:color w:val="auto"/>
                <w:lang w:val="en-US" w:eastAsia="zh-CN"/>
              </w:rPr>
            </w:pPr>
            <w:r>
              <w:rPr>
                <w:rFonts w:hint="eastAsia"/>
                <w:color w:val="auto"/>
                <w:lang w:val="en-US" w:eastAsia="zh-CN"/>
              </w:rPr>
              <w:t>根据《福建省建设项目主要污染物排放总量指标管理办法（试行）的通知》（闽环发〔2014〕13号）、《福建省关于全面实施排污权有偿使用和交易工作的意见》（闽政〔2016〕54号），现阶段主</w:t>
            </w:r>
            <w:r>
              <w:rPr>
                <w:color w:val="auto"/>
                <w:sz w:val="24"/>
                <w:szCs w:val="24"/>
              </w:rPr>
              <w:t>要污染物总量控制指标包括化学需氧量（COD）、氨氮（NH</w:t>
            </w:r>
            <w:r>
              <w:rPr>
                <w:color w:val="auto"/>
                <w:sz w:val="24"/>
                <w:szCs w:val="24"/>
                <w:vertAlign w:val="subscript"/>
              </w:rPr>
              <w:t>3</w:t>
            </w:r>
            <w:r>
              <w:rPr>
                <w:color w:val="auto"/>
                <w:sz w:val="24"/>
                <w:szCs w:val="24"/>
              </w:rPr>
              <w:t>-N）、二氧化硫（SO</w:t>
            </w:r>
            <w:r>
              <w:rPr>
                <w:color w:val="auto"/>
                <w:sz w:val="24"/>
                <w:szCs w:val="24"/>
                <w:vertAlign w:val="subscript"/>
              </w:rPr>
              <w:t>2</w:t>
            </w:r>
            <w:r>
              <w:rPr>
                <w:color w:val="auto"/>
                <w:sz w:val="24"/>
                <w:szCs w:val="24"/>
              </w:rPr>
              <w:t>）、氮氧化物（NO</w:t>
            </w:r>
            <w:r>
              <w:rPr>
                <w:color w:val="auto"/>
                <w:sz w:val="24"/>
                <w:szCs w:val="24"/>
                <w:vertAlign w:val="subscript"/>
              </w:rPr>
              <w:t>x</w:t>
            </w:r>
            <w:r>
              <w:rPr>
                <w:color w:val="auto"/>
                <w:sz w:val="24"/>
                <w:szCs w:val="24"/>
              </w:rPr>
              <w:t>）</w:t>
            </w:r>
            <w:r>
              <w:rPr>
                <w:rFonts w:hint="eastAsia"/>
                <w:color w:val="auto"/>
                <w:lang w:val="en-US" w:eastAsia="zh-CN"/>
              </w:rPr>
              <w:t>。</w:t>
            </w:r>
          </w:p>
          <w:p w14:paraId="4C50D73C">
            <w:pPr>
              <w:pStyle w:val="116"/>
              <w:spacing w:line="460" w:lineRule="exact"/>
              <w:rPr>
                <w:rFonts w:hint="eastAsia" w:eastAsia="宋体"/>
                <w:color w:val="auto"/>
                <w:lang w:val="en-US" w:eastAsia="zh-CN"/>
              </w:rPr>
            </w:pPr>
            <w:r>
              <w:rPr>
                <w:rFonts w:hint="eastAsia"/>
                <w:color w:val="auto"/>
                <w:lang w:val="en-US" w:eastAsia="zh-CN"/>
              </w:rPr>
              <w:t>（1</w:t>
            </w:r>
            <w:r>
              <w:rPr>
                <w:color w:val="auto"/>
                <w:sz w:val="24"/>
                <w:szCs w:val="24"/>
              </w:rPr>
              <w:t>）约束性指标（主要污染物）：化学需氧量（COD）、氨氮（NH</w:t>
            </w:r>
            <w:r>
              <w:rPr>
                <w:color w:val="auto"/>
                <w:sz w:val="24"/>
                <w:szCs w:val="24"/>
                <w:vertAlign w:val="subscript"/>
              </w:rPr>
              <w:t>3</w:t>
            </w:r>
            <w:r>
              <w:rPr>
                <w:color w:val="auto"/>
                <w:sz w:val="24"/>
                <w:szCs w:val="24"/>
              </w:rPr>
              <w:t>-N）、二氧化硫（SO</w:t>
            </w:r>
            <w:r>
              <w:rPr>
                <w:color w:val="auto"/>
                <w:sz w:val="24"/>
                <w:szCs w:val="24"/>
                <w:vertAlign w:val="subscript"/>
              </w:rPr>
              <w:t>2</w:t>
            </w:r>
            <w:r>
              <w:rPr>
                <w:color w:val="auto"/>
                <w:sz w:val="24"/>
                <w:szCs w:val="24"/>
              </w:rPr>
              <w:t>）、氮氧化物（NO</w:t>
            </w:r>
            <w:r>
              <w:rPr>
                <w:color w:val="auto"/>
                <w:sz w:val="24"/>
                <w:szCs w:val="24"/>
                <w:vertAlign w:val="subscript"/>
              </w:rPr>
              <w:t>x</w:t>
            </w:r>
            <w:r>
              <w:rPr>
                <w:color w:val="auto"/>
                <w:sz w:val="24"/>
                <w:szCs w:val="24"/>
              </w:rPr>
              <w:t>）</w:t>
            </w:r>
            <w:r>
              <w:rPr>
                <w:rFonts w:hint="eastAsia"/>
                <w:color w:val="auto"/>
                <w:sz w:val="24"/>
                <w:szCs w:val="24"/>
                <w:lang w:eastAsia="zh-CN"/>
              </w:rPr>
              <w:t>。</w:t>
            </w:r>
          </w:p>
          <w:p w14:paraId="7B53FEEB">
            <w:pPr>
              <w:pStyle w:val="116"/>
              <w:keepNext w:val="0"/>
              <w:keepLines w:val="0"/>
              <w:pageBreakBefore w:val="0"/>
              <w:widowControl w:val="0"/>
              <w:kinsoku/>
              <w:wordWrap/>
              <w:overflowPunct/>
              <w:topLinePunct w:val="0"/>
              <w:autoSpaceDE/>
              <w:autoSpaceDN/>
              <w:bidi w:val="0"/>
              <w:spacing w:line="460" w:lineRule="exact"/>
              <w:textAlignment w:val="auto"/>
              <w:rPr>
                <w:rFonts w:hint="eastAsia"/>
                <w:color w:val="auto"/>
                <w:lang w:val="en-US" w:eastAsia="zh-CN"/>
              </w:rPr>
            </w:pPr>
            <w:r>
              <w:rPr>
                <w:rFonts w:hint="eastAsia"/>
                <w:color w:val="auto"/>
                <w:lang w:val="en-US" w:eastAsia="zh-CN"/>
              </w:rPr>
              <w:t>（2）预期性指标：挥发性有机物、颗粒物。</w:t>
            </w:r>
          </w:p>
          <w:p w14:paraId="1925D9B8">
            <w:pPr>
              <w:pStyle w:val="62"/>
              <w:keepNext w:val="0"/>
              <w:keepLines w:val="0"/>
              <w:pageBreakBefore w:val="0"/>
              <w:widowControl w:val="0"/>
              <w:numPr>
                <w:ilvl w:val="2"/>
                <w:numId w:val="0"/>
              </w:numPr>
              <w:kinsoku/>
              <w:wordWrap/>
              <w:overflowPunct/>
              <w:topLinePunct w:val="0"/>
              <w:autoSpaceDE/>
              <w:autoSpaceDN/>
              <w:bidi w:val="0"/>
              <w:adjustRightInd/>
              <w:snapToGrid/>
              <w:spacing w:line="460" w:lineRule="exact"/>
              <w:ind w:leftChars="0"/>
              <w:textAlignment w:val="auto"/>
              <w:rPr>
                <w:rFonts w:eastAsia="宋体"/>
                <w:color w:val="auto"/>
                <w:sz w:val="24"/>
                <w:szCs w:val="24"/>
              </w:rPr>
            </w:pPr>
            <w:r>
              <w:rPr>
                <w:rFonts w:hint="eastAsia" w:eastAsia="宋体"/>
                <w:color w:val="auto"/>
                <w:sz w:val="24"/>
                <w:szCs w:val="24"/>
                <w:lang w:val="en-US" w:eastAsia="zh-CN"/>
              </w:rPr>
              <w:t>3.8.2</w:t>
            </w:r>
            <w:r>
              <w:rPr>
                <w:rFonts w:hint="eastAsia" w:eastAsia="宋体"/>
                <w:color w:val="auto"/>
                <w:sz w:val="24"/>
                <w:szCs w:val="24"/>
              </w:rPr>
              <w:t>废水总量</w:t>
            </w:r>
          </w:p>
          <w:p w14:paraId="426579D8">
            <w:pPr>
              <w:pStyle w:val="116"/>
              <w:keepNext w:val="0"/>
              <w:keepLines w:val="0"/>
              <w:pageBreakBefore w:val="0"/>
              <w:widowControl w:val="0"/>
              <w:kinsoku/>
              <w:wordWrap/>
              <w:overflowPunct/>
              <w:topLinePunct w:val="0"/>
              <w:autoSpaceDE/>
              <w:autoSpaceDN/>
              <w:bidi w:val="0"/>
              <w:spacing w:line="460" w:lineRule="exact"/>
              <w:textAlignment w:val="auto"/>
              <w:rPr>
                <w:rFonts w:hint="eastAsia"/>
                <w:color w:val="auto"/>
                <w:lang w:val="en-US" w:eastAsia="zh-CN"/>
              </w:rPr>
            </w:pPr>
            <w:r>
              <w:rPr>
                <w:rFonts w:hint="eastAsia"/>
                <w:color w:val="auto"/>
                <w:lang w:val="en-US" w:eastAsia="zh-CN"/>
              </w:rPr>
              <w:t>本项目冷却水定期排放，属于间接冷却，只涉及低浓度SS，不涉及地方生态环境主管部门核定的总量控制指标；项目生活污水排放暂不需要购买相应的排污权指标，由闽侯县污水处理厂统一削减控制。</w:t>
            </w:r>
          </w:p>
          <w:p w14:paraId="2A6112D2">
            <w:pPr>
              <w:pStyle w:val="62"/>
              <w:keepNext w:val="0"/>
              <w:keepLines w:val="0"/>
              <w:pageBreakBefore w:val="0"/>
              <w:widowControl w:val="0"/>
              <w:numPr>
                <w:ilvl w:val="2"/>
                <w:numId w:val="0"/>
              </w:numPr>
              <w:kinsoku/>
              <w:wordWrap/>
              <w:overflowPunct/>
              <w:topLinePunct w:val="0"/>
              <w:autoSpaceDE/>
              <w:autoSpaceDN/>
              <w:bidi w:val="0"/>
              <w:adjustRightInd/>
              <w:snapToGrid/>
              <w:spacing w:line="460" w:lineRule="exact"/>
              <w:ind w:leftChars="0"/>
              <w:textAlignment w:val="auto"/>
              <w:rPr>
                <w:rFonts w:hint="eastAsia" w:eastAsia="宋体"/>
                <w:color w:val="auto"/>
                <w:sz w:val="24"/>
                <w:szCs w:val="24"/>
                <w:lang w:val="en-US" w:eastAsia="zh-CN"/>
              </w:rPr>
            </w:pPr>
            <w:r>
              <w:rPr>
                <w:rFonts w:hint="eastAsia" w:eastAsia="宋体"/>
                <w:color w:val="auto"/>
                <w:sz w:val="24"/>
                <w:szCs w:val="24"/>
                <w:lang w:val="en-US" w:eastAsia="zh-CN"/>
              </w:rPr>
              <w:t>3.8.3废气总量</w:t>
            </w:r>
          </w:p>
          <w:p w14:paraId="6A4F7D56">
            <w:pPr>
              <w:pStyle w:val="123"/>
              <w:keepNext w:val="0"/>
              <w:keepLines w:val="0"/>
              <w:pageBreakBefore w:val="0"/>
              <w:widowControl/>
              <w:kinsoku/>
              <w:wordWrap/>
              <w:overflowPunct/>
              <w:topLinePunct w:val="0"/>
              <w:autoSpaceDE/>
              <w:autoSpaceDN/>
              <w:bidi w:val="0"/>
              <w:adjustRightInd w:val="0"/>
              <w:snapToGrid w:val="0"/>
              <w:spacing w:line="460" w:lineRule="exact"/>
              <w:ind w:firstLine="480"/>
              <w:textAlignment w:val="auto"/>
              <w:rPr>
                <w:rFonts w:hint="eastAsia" w:ascii="Times New Roman" w:hAnsi="Times New Roman" w:eastAsia="宋体" w:cs="Times New Roman"/>
                <w:color w:val="auto"/>
                <w:sz w:val="24"/>
                <w:szCs w:val="22"/>
                <w:lang w:val="en-US" w:eastAsia="zh-CN" w:bidi="ar-SA"/>
              </w:rPr>
            </w:pPr>
            <w:r>
              <w:rPr>
                <w:rFonts w:hint="eastAsia" w:ascii="Times New Roman" w:hAnsi="Times New Roman" w:eastAsia="宋体" w:cs="Times New Roman"/>
                <w:color w:val="auto"/>
                <w:sz w:val="24"/>
                <w:szCs w:val="22"/>
                <w:lang w:val="en-US" w:eastAsia="zh-CN" w:bidi="ar-SA"/>
              </w:rPr>
              <w:t>根据《福州市环境保护局关于印发福州市大气污染</w:t>
            </w:r>
            <w:r>
              <w:rPr>
                <w:rFonts w:hint="eastAsia" w:cs="Times New Roman"/>
                <w:color w:val="auto"/>
                <w:sz w:val="24"/>
                <w:szCs w:val="22"/>
                <w:lang w:val="en-US" w:eastAsia="zh-CN" w:bidi="ar-SA"/>
              </w:rPr>
              <w:t>联防</w:t>
            </w:r>
            <w:r>
              <w:rPr>
                <w:rFonts w:hint="eastAsia" w:ascii="Times New Roman" w:hAnsi="Times New Roman" w:eastAsia="宋体" w:cs="Times New Roman"/>
                <w:color w:val="auto"/>
                <w:sz w:val="24"/>
                <w:szCs w:val="22"/>
                <w:lang w:val="en-US" w:eastAsia="zh-CN" w:bidi="ar-SA"/>
              </w:rPr>
              <w:t>联控联治工作方案的通知》榕环保综〔2018〕386号：VOCs排放实行区域内倍量替代（具体倍数按生态主管部门的要求进行调剂），新、改建涉VOCs排放项目，应从源头加强控制，使用低</w:t>
            </w:r>
            <w:r>
              <w:rPr>
                <w:rFonts w:hint="eastAsia" w:cs="Times New Roman"/>
                <w:color w:val="auto"/>
                <w:sz w:val="24"/>
                <w:szCs w:val="22"/>
                <w:lang w:val="en-US" w:eastAsia="zh-CN" w:bidi="ar-SA"/>
              </w:rPr>
              <w:t>（无）</w:t>
            </w:r>
            <w:r>
              <w:rPr>
                <w:rFonts w:hint="eastAsia" w:ascii="Times New Roman" w:hAnsi="Times New Roman" w:eastAsia="宋体" w:cs="Times New Roman"/>
                <w:color w:val="auto"/>
                <w:sz w:val="24"/>
                <w:szCs w:val="22"/>
                <w:lang w:val="en-US" w:eastAsia="zh-CN" w:bidi="ar-SA"/>
              </w:rPr>
              <w:t>VOCs含量的原辅材料，加强废气收集、安装高效治理设施。</w:t>
            </w:r>
          </w:p>
          <w:p w14:paraId="6188A32C">
            <w:pPr>
              <w:pStyle w:val="123"/>
              <w:keepNext w:val="0"/>
              <w:keepLines w:val="0"/>
              <w:pageBreakBefore w:val="0"/>
              <w:widowControl/>
              <w:kinsoku/>
              <w:wordWrap/>
              <w:overflowPunct/>
              <w:topLinePunct w:val="0"/>
              <w:autoSpaceDE/>
              <w:autoSpaceDN/>
              <w:bidi w:val="0"/>
              <w:adjustRightInd w:val="0"/>
              <w:snapToGrid w:val="0"/>
              <w:spacing w:line="460" w:lineRule="exact"/>
              <w:ind w:firstLine="480"/>
              <w:textAlignment w:val="auto"/>
              <w:rPr>
                <w:rFonts w:hint="eastAsia" w:ascii="Times New Roman" w:hAnsi="Times New Roman" w:eastAsia="宋体" w:cs="Times New Roman"/>
                <w:color w:val="auto"/>
                <w:sz w:val="24"/>
                <w:szCs w:val="22"/>
                <w:lang w:val="en-US" w:eastAsia="zh-CN" w:bidi="ar-SA"/>
              </w:rPr>
            </w:pPr>
            <w:r>
              <w:rPr>
                <w:rFonts w:hint="eastAsia" w:ascii="Times New Roman" w:hAnsi="Times New Roman" w:eastAsia="宋体" w:cs="Times New Roman"/>
                <w:color w:val="auto"/>
                <w:sz w:val="24"/>
                <w:szCs w:val="22"/>
                <w:lang w:val="en-US" w:eastAsia="zh-CN" w:bidi="ar-SA"/>
              </w:rPr>
              <w:t>本项目废气总量控制指标为VOCs，</w:t>
            </w:r>
            <w:r>
              <w:rPr>
                <w:rFonts w:hint="eastAsia" w:cs="Times New Roman"/>
                <w:color w:val="auto"/>
                <w:sz w:val="24"/>
                <w:szCs w:val="22"/>
                <w:lang w:val="en-US" w:eastAsia="zh-CN" w:bidi="ar-SA"/>
              </w:rPr>
              <w:t>原有项目批复量为0.504</w:t>
            </w:r>
            <w:r>
              <w:rPr>
                <w:rFonts w:hint="eastAsia" w:ascii="Times New Roman" w:hAnsi="Times New Roman" w:eastAsia="宋体" w:cs="Times New Roman"/>
                <w:color w:val="auto"/>
                <w:sz w:val="24"/>
                <w:szCs w:val="22"/>
                <w:lang w:val="en-US" w:eastAsia="zh-CN" w:bidi="ar-SA"/>
              </w:rPr>
              <w:t>t/a</w:t>
            </w:r>
            <w:r>
              <w:rPr>
                <w:rFonts w:hint="eastAsia" w:cs="Times New Roman"/>
                <w:color w:val="auto"/>
                <w:sz w:val="24"/>
                <w:szCs w:val="22"/>
                <w:lang w:val="en-US" w:eastAsia="zh-CN" w:bidi="ar-SA"/>
              </w:rPr>
              <w:t>，</w:t>
            </w:r>
            <w:r>
              <w:rPr>
                <w:rFonts w:hint="eastAsia" w:ascii="Times New Roman" w:hAnsi="Times New Roman" w:eastAsia="宋体" w:cs="Times New Roman"/>
                <w:color w:val="auto"/>
                <w:sz w:val="24"/>
                <w:szCs w:val="22"/>
                <w:lang w:val="en-US" w:eastAsia="zh-CN" w:bidi="ar-SA"/>
              </w:rPr>
              <w:t>根据污染源核算，本项目非甲烷总烃排放量</w:t>
            </w:r>
            <w:r>
              <w:rPr>
                <w:rFonts w:hint="eastAsia" w:cs="Times New Roman"/>
                <w:color w:val="auto"/>
                <w:sz w:val="24"/>
                <w:szCs w:val="22"/>
                <w:lang w:val="en-US" w:eastAsia="zh-CN" w:bidi="ar-SA"/>
              </w:rPr>
              <w:t>1.26</w:t>
            </w:r>
            <w:r>
              <w:rPr>
                <w:rFonts w:hint="eastAsia" w:ascii="Times New Roman" w:hAnsi="Times New Roman" w:eastAsia="宋体" w:cs="Times New Roman"/>
                <w:color w:val="auto"/>
                <w:sz w:val="24"/>
                <w:szCs w:val="22"/>
                <w:lang w:val="en-US" w:eastAsia="zh-CN" w:bidi="ar-SA"/>
              </w:rPr>
              <w:t>t/a（有组织排放量为0.</w:t>
            </w:r>
            <w:r>
              <w:rPr>
                <w:rFonts w:hint="eastAsia" w:cs="Times New Roman"/>
                <w:color w:val="auto"/>
                <w:sz w:val="24"/>
                <w:szCs w:val="22"/>
                <w:lang w:val="en-US" w:eastAsia="zh-CN" w:bidi="ar-SA"/>
              </w:rPr>
              <w:t>63</w:t>
            </w:r>
            <w:r>
              <w:rPr>
                <w:rFonts w:hint="eastAsia" w:ascii="Times New Roman" w:hAnsi="Times New Roman" w:eastAsia="宋体" w:cs="Times New Roman"/>
                <w:color w:val="auto"/>
                <w:sz w:val="24"/>
                <w:szCs w:val="22"/>
                <w:lang w:val="en-US" w:eastAsia="zh-CN" w:bidi="ar-SA"/>
              </w:rPr>
              <w:t>t/a+无组织排放量0.</w:t>
            </w:r>
            <w:r>
              <w:rPr>
                <w:rFonts w:hint="eastAsia" w:cs="Times New Roman"/>
                <w:color w:val="auto"/>
                <w:sz w:val="24"/>
                <w:szCs w:val="22"/>
                <w:lang w:val="en-US" w:eastAsia="zh-CN" w:bidi="ar-SA"/>
              </w:rPr>
              <w:t>63</w:t>
            </w:r>
            <w:r>
              <w:rPr>
                <w:rFonts w:hint="eastAsia" w:ascii="Times New Roman" w:hAnsi="Times New Roman" w:eastAsia="宋体" w:cs="Times New Roman"/>
                <w:color w:val="auto"/>
                <w:sz w:val="24"/>
                <w:szCs w:val="22"/>
                <w:lang w:val="en-US" w:eastAsia="zh-CN" w:bidi="ar-SA"/>
              </w:rPr>
              <w:t>t/a），由建设单位向生态环境主管部门申请区域削减替代。废气污染物排放总量指标见下表3</w:t>
            </w:r>
            <w:r>
              <w:rPr>
                <w:rFonts w:hint="eastAsia" w:cs="Times New Roman"/>
                <w:color w:val="auto"/>
                <w:sz w:val="24"/>
                <w:szCs w:val="22"/>
                <w:lang w:val="en-US" w:eastAsia="zh-CN" w:bidi="ar-SA"/>
              </w:rPr>
              <w:t>.8-1</w:t>
            </w:r>
            <w:r>
              <w:rPr>
                <w:rFonts w:hint="eastAsia" w:ascii="Times New Roman" w:hAnsi="Times New Roman" w:eastAsia="宋体" w:cs="Times New Roman"/>
                <w:color w:val="auto"/>
                <w:sz w:val="24"/>
                <w:szCs w:val="22"/>
                <w:lang w:val="en-US" w:eastAsia="zh-CN" w:bidi="ar-SA"/>
              </w:rPr>
              <w:t>。</w:t>
            </w:r>
          </w:p>
          <w:p w14:paraId="2C80893C">
            <w:pPr>
              <w:pStyle w:val="124"/>
              <w:spacing w:line="240" w:lineRule="auto"/>
              <w:ind w:firstLine="482"/>
              <w:jc w:val="center"/>
              <w:rPr>
                <w:b/>
                <w:bCs/>
                <w:color w:val="auto"/>
                <w:szCs w:val="24"/>
                <w:highlight w:val="none"/>
              </w:rPr>
            </w:pPr>
            <w:r>
              <w:rPr>
                <w:rFonts w:hint="eastAsia"/>
                <w:b/>
                <w:bCs/>
                <w:color w:val="auto"/>
                <w:szCs w:val="24"/>
                <w:highlight w:val="none"/>
              </w:rPr>
              <w:t>表</w:t>
            </w:r>
            <w:r>
              <w:rPr>
                <w:rFonts w:hint="eastAsia"/>
                <w:b/>
                <w:bCs/>
                <w:color w:val="auto"/>
                <w:szCs w:val="24"/>
                <w:highlight w:val="none"/>
                <w:lang w:val="en-US" w:eastAsia="zh-CN"/>
              </w:rPr>
              <w:t>3.8-1</w:t>
            </w:r>
            <w:r>
              <w:rPr>
                <w:rFonts w:hint="eastAsia"/>
                <w:b/>
                <w:bCs/>
                <w:color w:val="auto"/>
                <w:szCs w:val="24"/>
                <w:highlight w:val="none"/>
              </w:rPr>
              <w:t xml:space="preserve">  项目废气污染物排放总量指标一览表</w:t>
            </w:r>
          </w:p>
          <w:tbl>
            <w:tblPr>
              <w:tblStyle w:val="127"/>
              <w:tblW w:w="8504" w:type="dxa"/>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214"/>
              <w:gridCol w:w="1028"/>
              <w:gridCol w:w="1265"/>
              <w:gridCol w:w="1061"/>
              <w:gridCol w:w="1860"/>
              <w:gridCol w:w="2076"/>
            </w:tblGrid>
            <w:tr w14:paraId="74A4BD5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214" w:type="dxa"/>
                  <w:tcBorders>
                    <w:tl2br w:val="nil"/>
                    <w:tr2bl w:val="nil"/>
                  </w:tcBorders>
                  <w:noWrap w:val="0"/>
                  <w:vAlign w:val="center"/>
                </w:tcPr>
                <w:p w14:paraId="3C23E56E">
                  <w:pPr>
                    <w:pStyle w:val="125"/>
                    <w:rPr>
                      <w:color w:val="auto"/>
                      <w:szCs w:val="21"/>
                      <w:highlight w:val="none"/>
                    </w:rPr>
                  </w:pPr>
                  <w:r>
                    <w:rPr>
                      <w:color w:val="auto"/>
                      <w:szCs w:val="21"/>
                      <w:highlight w:val="none"/>
                    </w:rPr>
                    <w:t>污染源</w:t>
                  </w:r>
                </w:p>
              </w:tc>
              <w:tc>
                <w:tcPr>
                  <w:tcW w:w="1028" w:type="dxa"/>
                  <w:tcBorders>
                    <w:tl2br w:val="nil"/>
                    <w:tr2bl w:val="nil"/>
                  </w:tcBorders>
                  <w:noWrap w:val="0"/>
                  <w:vAlign w:val="center"/>
                </w:tcPr>
                <w:p w14:paraId="33AA1836">
                  <w:pPr>
                    <w:pStyle w:val="125"/>
                    <w:rPr>
                      <w:color w:val="auto"/>
                      <w:szCs w:val="21"/>
                      <w:highlight w:val="none"/>
                    </w:rPr>
                  </w:pPr>
                  <w:r>
                    <w:rPr>
                      <w:color w:val="auto"/>
                      <w:szCs w:val="21"/>
                      <w:highlight w:val="none"/>
                    </w:rPr>
                    <w:t>污染物</w:t>
                  </w:r>
                </w:p>
              </w:tc>
              <w:tc>
                <w:tcPr>
                  <w:tcW w:w="1265" w:type="dxa"/>
                  <w:tcBorders>
                    <w:tl2br w:val="nil"/>
                    <w:tr2bl w:val="nil"/>
                  </w:tcBorders>
                  <w:noWrap w:val="0"/>
                  <w:vAlign w:val="center"/>
                </w:tcPr>
                <w:p w14:paraId="2DB34D1E">
                  <w:pPr>
                    <w:pStyle w:val="125"/>
                    <w:rPr>
                      <w:rFonts w:hint="eastAsia"/>
                      <w:color w:val="auto"/>
                      <w:szCs w:val="21"/>
                      <w:highlight w:val="none"/>
                      <w:lang w:eastAsia="zh-CN"/>
                    </w:rPr>
                  </w:pPr>
                  <w:r>
                    <w:rPr>
                      <w:rFonts w:hint="eastAsia"/>
                      <w:color w:val="auto"/>
                      <w:szCs w:val="21"/>
                      <w:highlight w:val="none"/>
                      <w:lang w:eastAsia="zh-CN"/>
                    </w:rPr>
                    <w:t>原有项目</w:t>
                  </w:r>
                </w:p>
                <w:p w14:paraId="1E754939">
                  <w:pPr>
                    <w:pStyle w:val="125"/>
                    <w:rPr>
                      <w:color w:val="auto"/>
                      <w:szCs w:val="21"/>
                      <w:highlight w:val="none"/>
                    </w:rPr>
                  </w:pPr>
                  <w:r>
                    <w:rPr>
                      <w:rFonts w:hint="eastAsia"/>
                      <w:color w:val="auto"/>
                      <w:szCs w:val="21"/>
                      <w:highlight w:val="none"/>
                      <w:lang w:eastAsia="zh-CN"/>
                    </w:rPr>
                    <w:t>批复总</w:t>
                  </w:r>
                  <w:r>
                    <w:rPr>
                      <w:color w:val="auto"/>
                      <w:szCs w:val="21"/>
                      <w:highlight w:val="none"/>
                    </w:rPr>
                    <w:t>量</w:t>
                  </w:r>
                </w:p>
              </w:tc>
              <w:tc>
                <w:tcPr>
                  <w:tcW w:w="1061" w:type="dxa"/>
                  <w:tcBorders>
                    <w:tl2br w:val="nil"/>
                    <w:tr2bl w:val="nil"/>
                  </w:tcBorders>
                  <w:noWrap w:val="0"/>
                  <w:vAlign w:val="center"/>
                </w:tcPr>
                <w:p w14:paraId="6D73F1EB">
                  <w:pPr>
                    <w:pStyle w:val="125"/>
                    <w:ind w:right="0" w:rightChars="0"/>
                    <w:rPr>
                      <w:color w:val="auto"/>
                      <w:szCs w:val="21"/>
                      <w:highlight w:val="none"/>
                    </w:rPr>
                  </w:pPr>
                  <w:r>
                    <w:rPr>
                      <w:rFonts w:hint="eastAsia"/>
                      <w:color w:val="auto"/>
                      <w:szCs w:val="21"/>
                      <w:highlight w:val="none"/>
                      <w:lang w:eastAsia="zh-CN"/>
                    </w:rPr>
                    <w:t>本项目</w:t>
                  </w:r>
                  <w:r>
                    <w:rPr>
                      <w:color w:val="auto"/>
                      <w:szCs w:val="21"/>
                      <w:highlight w:val="none"/>
                    </w:rPr>
                    <w:t>预测排放量</w:t>
                  </w:r>
                </w:p>
              </w:tc>
              <w:tc>
                <w:tcPr>
                  <w:tcW w:w="1860" w:type="dxa"/>
                  <w:tcBorders>
                    <w:tl2br w:val="nil"/>
                    <w:tr2bl w:val="nil"/>
                  </w:tcBorders>
                  <w:noWrap w:val="0"/>
                  <w:vAlign w:val="center"/>
                </w:tcPr>
                <w:p w14:paraId="6A8B4B67">
                  <w:pPr>
                    <w:pStyle w:val="125"/>
                    <w:rPr>
                      <w:color w:val="auto"/>
                      <w:szCs w:val="21"/>
                      <w:highlight w:val="none"/>
                    </w:rPr>
                  </w:pPr>
                  <w:r>
                    <w:rPr>
                      <w:rFonts w:hint="eastAsia"/>
                      <w:color w:val="auto"/>
                      <w:szCs w:val="21"/>
                      <w:highlight w:val="none"/>
                      <w:lang w:eastAsia="zh-CN"/>
                    </w:rPr>
                    <w:t>新申</w:t>
                  </w:r>
                  <w:r>
                    <w:rPr>
                      <w:color w:val="auto"/>
                      <w:szCs w:val="21"/>
                      <w:highlight w:val="none"/>
                    </w:rPr>
                    <w:t>总量核算指标</w:t>
                  </w:r>
                </w:p>
              </w:tc>
              <w:tc>
                <w:tcPr>
                  <w:tcW w:w="2076" w:type="dxa"/>
                  <w:tcBorders>
                    <w:tl2br w:val="nil"/>
                    <w:tr2bl w:val="nil"/>
                  </w:tcBorders>
                  <w:noWrap w:val="0"/>
                  <w:vAlign w:val="center"/>
                </w:tcPr>
                <w:p w14:paraId="11FFB823">
                  <w:pPr>
                    <w:pStyle w:val="125"/>
                    <w:rPr>
                      <w:color w:val="auto"/>
                      <w:szCs w:val="21"/>
                      <w:highlight w:val="none"/>
                    </w:rPr>
                  </w:pPr>
                  <w:r>
                    <w:rPr>
                      <w:color w:val="auto"/>
                      <w:szCs w:val="21"/>
                      <w:highlight w:val="none"/>
                    </w:rPr>
                    <w:t>总量来源</w:t>
                  </w:r>
                </w:p>
              </w:tc>
            </w:tr>
            <w:tr w14:paraId="085F72A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1214" w:type="dxa"/>
                  <w:tcBorders>
                    <w:tl2br w:val="nil"/>
                    <w:tr2bl w:val="nil"/>
                  </w:tcBorders>
                  <w:noWrap w:val="0"/>
                  <w:vAlign w:val="center"/>
                </w:tcPr>
                <w:p w14:paraId="3A3DA409">
                  <w:pPr>
                    <w:pStyle w:val="125"/>
                    <w:rPr>
                      <w:color w:val="auto"/>
                      <w:szCs w:val="21"/>
                      <w:highlight w:val="none"/>
                    </w:rPr>
                  </w:pPr>
                  <w:r>
                    <w:rPr>
                      <w:color w:val="auto"/>
                      <w:szCs w:val="21"/>
                      <w:highlight w:val="none"/>
                    </w:rPr>
                    <w:t>废气</w:t>
                  </w:r>
                </w:p>
              </w:tc>
              <w:tc>
                <w:tcPr>
                  <w:tcW w:w="1028" w:type="dxa"/>
                  <w:tcBorders>
                    <w:tl2br w:val="nil"/>
                    <w:tr2bl w:val="nil"/>
                  </w:tcBorders>
                  <w:noWrap w:val="0"/>
                  <w:vAlign w:val="center"/>
                </w:tcPr>
                <w:p w14:paraId="4DE78B9C">
                  <w:pPr>
                    <w:pStyle w:val="125"/>
                    <w:rPr>
                      <w:color w:val="auto"/>
                      <w:szCs w:val="21"/>
                      <w:highlight w:val="none"/>
                    </w:rPr>
                  </w:pPr>
                  <w:r>
                    <w:rPr>
                      <w:color w:val="auto"/>
                      <w:szCs w:val="21"/>
                      <w:highlight w:val="none"/>
                    </w:rPr>
                    <w:t>非甲烷总烃</w:t>
                  </w:r>
                </w:p>
              </w:tc>
              <w:tc>
                <w:tcPr>
                  <w:tcW w:w="1265" w:type="dxa"/>
                  <w:tcBorders>
                    <w:tl2br w:val="nil"/>
                    <w:tr2bl w:val="nil"/>
                  </w:tcBorders>
                  <w:noWrap w:val="0"/>
                  <w:vAlign w:val="center"/>
                </w:tcPr>
                <w:p w14:paraId="5ACCC22A">
                  <w:pPr>
                    <w:pStyle w:val="125"/>
                    <w:rPr>
                      <w:rFonts w:ascii="Times New Roman" w:hAnsi="Times New Roman" w:eastAsia="宋体" w:cs="Times New Roman"/>
                      <w:color w:val="auto"/>
                      <w:szCs w:val="21"/>
                      <w:highlight w:val="none"/>
                    </w:rPr>
                  </w:pPr>
                  <w:r>
                    <w:rPr>
                      <w:rFonts w:hint="eastAsia" w:cs="Times New Roman"/>
                      <w:color w:val="auto"/>
                      <w:szCs w:val="21"/>
                      <w:highlight w:val="none"/>
                      <w:lang w:val="en-US" w:eastAsia="zh-CN"/>
                    </w:rPr>
                    <w:t>0.504</w:t>
                  </w:r>
                  <w:r>
                    <w:rPr>
                      <w:rFonts w:ascii="Times New Roman" w:hAnsi="Times New Roman" w:eastAsia="宋体" w:cs="Times New Roman"/>
                      <w:color w:val="auto"/>
                      <w:szCs w:val="21"/>
                      <w:highlight w:val="none"/>
                    </w:rPr>
                    <w:t>t/a</w:t>
                  </w:r>
                </w:p>
              </w:tc>
              <w:tc>
                <w:tcPr>
                  <w:tcW w:w="1061" w:type="dxa"/>
                  <w:tcBorders>
                    <w:tl2br w:val="nil"/>
                    <w:tr2bl w:val="nil"/>
                  </w:tcBorders>
                  <w:noWrap w:val="0"/>
                  <w:vAlign w:val="center"/>
                </w:tcPr>
                <w:p w14:paraId="64E7E98D">
                  <w:pPr>
                    <w:pStyle w:val="125"/>
                    <w:ind w:right="0" w:rightChars="0"/>
                    <w:rPr>
                      <w:rFonts w:hint="eastAsia" w:cs="Times New Roman"/>
                      <w:color w:val="auto"/>
                      <w:szCs w:val="21"/>
                      <w:highlight w:val="none"/>
                      <w:lang w:val="en-US" w:eastAsia="zh-CN"/>
                    </w:rPr>
                  </w:pPr>
                  <w:r>
                    <w:rPr>
                      <w:rFonts w:hint="eastAsia" w:cs="Times New Roman"/>
                      <w:color w:val="auto"/>
                      <w:szCs w:val="21"/>
                      <w:highlight w:val="none"/>
                      <w:lang w:val="en-US" w:eastAsia="zh-CN"/>
                    </w:rPr>
                    <w:t>1.26</w:t>
                  </w:r>
                  <w:r>
                    <w:rPr>
                      <w:rFonts w:ascii="Times New Roman" w:hAnsi="Times New Roman" w:eastAsia="宋体" w:cs="Times New Roman"/>
                      <w:color w:val="auto"/>
                      <w:szCs w:val="21"/>
                      <w:highlight w:val="none"/>
                    </w:rPr>
                    <w:t>t/a</w:t>
                  </w:r>
                </w:p>
              </w:tc>
              <w:tc>
                <w:tcPr>
                  <w:tcW w:w="1860" w:type="dxa"/>
                  <w:tcBorders>
                    <w:tl2br w:val="nil"/>
                    <w:tr2bl w:val="nil"/>
                  </w:tcBorders>
                  <w:noWrap w:val="0"/>
                  <w:vAlign w:val="center"/>
                </w:tcPr>
                <w:p w14:paraId="702258E7">
                  <w:pPr>
                    <w:pStyle w:val="125"/>
                    <w:rPr>
                      <w:rFonts w:ascii="Times New Roman" w:hAnsi="Times New Roman" w:eastAsia="宋体" w:cs="Times New Roman"/>
                      <w:color w:val="auto"/>
                      <w:szCs w:val="21"/>
                      <w:highlight w:val="none"/>
                    </w:rPr>
                  </w:pPr>
                  <w:r>
                    <w:rPr>
                      <w:rFonts w:hint="eastAsia" w:cs="Times New Roman"/>
                      <w:color w:val="auto"/>
                      <w:szCs w:val="21"/>
                      <w:highlight w:val="none"/>
                      <w:lang w:val="en-US" w:eastAsia="zh-CN"/>
                    </w:rPr>
                    <w:t>0.756</w:t>
                  </w:r>
                  <w:r>
                    <w:rPr>
                      <w:rFonts w:ascii="Times New Roman" w:hAnsi="Times New Roman" w:eastAsia="宋体" w:cs="Times New Roman"/>
                      <w:color w:val="auto"/>
                      <w:szCs w:val="21"/>
                      <w:highlight w:val="none"/>
                    </w:rPr>
                    <w:t>t/a</w:t>
                  </w:r>
                </w:p>
              </w:tc>
              <w:tc>
                <w:tcPr>
                  <w:tcW w:w="2076" w:type="dxa"/>
                  <w:tcBorders>
                    <w:tl2br w:val="nil"/>
                    <w:tr2bl w:val="nil"/>
                  </w:tcBorders>
                  <w:noWrap w:val="0"/>
                  <w:vAlign w:val="center"/>
                </w:tcPr>
                <w:p w14:paraId="7265AD18">
                  <w:pPr>
                    <w:pStyle w:val="125"/>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由福州市</w:t>
                  </w:r>
                  <w:r>
                    <w:rPr>
                      <w:rFonts w:hint="eastAsia" w:ascii="Times New Roman" w:hAnsi="Times New Roman" w:eastAsia="宋体" w:cs="Times New Roman"/>
                      <w:color w:val="auto"/>
                      <w:szCs w:val="21"/>
                      <w:highlight w:val="none"/>
                      <w:lang w:eastAsia="zh-CN"/>
                    </w:rPr>
                    <w:t>闽侯</w:t>
                  </w:r>
                  <w:r>
                    <w:rPr>
                      <w:rFonts w:ascii="Times New Roman" w:hAnsi="Times New Roman" w:eastAsia="宋体" w:cs="Times New Roman"/>
                      <w:color w:val="auto"/>
                      <w:szCs w:val="21"/>
                      <w:highlight w:val="none"/>
                    </w:rPr>
                    <w:t>生态环境局</w:t>
                  </w:r>
                  <w:r>
                    <w:rPr>
                      <w:rFonts w:hint="eastAsia" w:ascii="Times New Roman" w:hAnsi="Times New Roman" w:eastAsia="宋体" w:cs="Times New Roman"/>
                      <w:color w:val="auto"/>
                      <w:szCs w:val="21"/>
                      <w:highlight w:val="none"/>
                    </w:rPr>
                    <w:t>进行倍量</w:t>
                  </w:r>
                  <w:r>
                    <w:rPr>
                      <w:rFonts w:ascii="Times New Roman" w:hAnsi="Times New Roman" w:eastAsia="宋体" w:cs="Times New Roman"/>
                      <w:color w:val="auto"/>
                      <w:szCs w:val="21"/>
                      <w:highlight w:val="none"/>
                    </w:rPr>
                    <w:t>调剂</w:t>
                  </w:r>
                </w:p>
              </w:tc>
            </w:tr>
          </w:tbl>
          <w:p w14:paraId="4D20FB92">
            <w:pPr>
              <w:rPr>
                <w:color w:val="auto"/>
              </w:rPr>
            </w:pPr>
          </w:p>
        </w:tc>
      </w:tr>
    </w:tbl>
    <w:p w14:paraId="34808CB8">
      <w:pPr>
        <w:pStyle w:val="61"/>
        <w:rPr>
          <w:rFonts w:ascii="Times New Roman" w:hAnsi="Times New Roman"/>
          <w:color w:val="auto"/>
        </w:rPr>
      </w:pPr>
      <w:r>
        <w:rPr>
          <w:rFonts w:ascii="Times New Roman" w:hAnsi="Times New Roman"/>
          <w:color w:val="auto"/>
          <w:sz w:val="36"/>
          <w:szCs w:val="36"/>
        </w:rPr>
        <w:br w:type="page"/>
      </w:r>
      <w:r>
        <w:rPr>
          <w:rFonts w:ascii="Times New Roman" w:hAnsi="Times New Roman"/>
          <w:color w:val="auto"/>
        </w:rPr>
        <w:t>主要环境影响和保护措施</w:t>
      </w:r>
    </w:p>
    <w:tbl>
      <w:tblPr>
        <w:tblStyle w:val="23"/>
        <w:tblpPr w:leftFromText="180" w:rightFromText="180" w:vertAnchor="text" w:tblpXSpec="center" w:tblpY="1"/>
        <w:tblOverlap w:val="never"/>
        <w:tblW w:w="4865"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65"/>
        <w:gridCol w:w="8693"/>
      </w:tblGrid>
      <w:tr w14:paraId="3512E0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5" w:hRule="atLeast"/>
        </w:trPr>
        <w:tc>
          <w:tcPr>
            <w:tcW w:w="148" w:type="pct"/>
            <w:noWrap w:val="0"/>
            <w:tcMar>
              <w:left w:w="28" w:type="dxa"/>
              <w:right w:w="28" w:type="dxa"/>
            </w:tcMar>
            <w:vAlign w:val="center"/>
          </w:tcPr>
          <w:p w14:paraId="74390AC9">
            <w:pPr>
              <w:pStyle w:val="20"/>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施工</w:t>
            </w:r>
          </w:p>
          <w:p w14:paraId="1FF32D8D">
            <w:pPr>
              <w:pStyle w:val="20"/>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期环</w:t>
            </w:r>
          </w:p>
          <w:p w14:paraId="4EB367AA">
            <w:pPr>
              <w:pStyle w:val="20"/>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境保</w:t>
            </w:r>
          </w:p>
          <w:p w14:paraId="1A9E1637">
            <w:pPr>
              <w:pStyle w:val="20"/>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护措</w:t>
            </w:r>
          </w:p>
          <w:p w14:paraId="427BBC87">
            <w:pPr>
              <w:pStyle w:val="20"/>
              <w:adjustRightInd w:val="0"/>
              <w:snapToGrid w:val="0"/>
              <w:spacing w:before="0" w:beforeAutospacing="0" w:after="0" w:afterAutospacing="0"/>
              <w:jc w:val="center"/>
              <w:rPr>
                <w:rFonts w:ascii="Times New Roman" w:hAnsi="Times New Roman"/>
                <w:bCs/>
                <w:color w:val="auto"/>
                <w:kern w:val="2"/>
                <w:sz w:val="21"/>
                <w:szCs w:val="21"/>
              </w:rPr>
            </w:pPr>
            <w:r>
              <w:rPr>
                <w:rFonts w:ascii="Times New Roman" w:hAnsi="Times New Roman"/>
                <w:color w:val="auto"/>
                <w:kern w:val="2"/>
                <w:sz w:val="21"/>
                <w:szCs w:val="21"/>
              </w:rPr>
              <w:t>施</w:t>
            </w:r>
          </w:p>
        </w:tc>
        <w:tc>
          <w:tcPr>
            <w:tcW w:w="4852" w:type="pct"/>
            <w:noWrap w:val="0"/>
            <w:vAlign w:val="center"/>
          </w:tcPr>
          <w:p w14:paraId="51F62531">
            <w:pPr>
              <w:pStyle w:val="116"/>
              <w:keepNext w:val="0"/>
              <w:keepLines w:val="0"/>
              <w:pageBreakBefore w:val="0"/>
              <w:widowControl w:val="0"/>
              <w:kinsoku/>
              <w:wordWrap/>
              <w:overflowPunct/>
              <w:topLinePunct w:val="0"/>
              <w:autoSpaceDE/>
              <w:autoSpaceDN/>
              <w:bidi w:val="0"/>
              <w:adjustRightInd w:val="0"/>
              <w:snapToGrid w:val="0"/>
              <w:spacing w:before="152" w:beforeLines="50"/>
              <w:textAlignment w:val="auto"/>
              <w:rPr>
                <w:rFonts w:hint="eastAsia"/>
                <w:color w:val="auto"/>
                <w:lang w:val="en-US" w:eastAsia="zh-CN"/>
              </w:rPr>
            </w:pPr>
            <w:r>
              <w:rPr>
                <w:rFonts w:hint="eastAsia"/>
                <w:color w:val="auto"/>
                <w:lang w:val="en-US" w:eastAsia="zh-CN"/>
              </w:rPr>
              <w:t>本项目在现有厂房内进行生产，无土建施工，不产生土建施工的相关环境影响。</w:t>
            </w:r>
          </w:p>
          <w:p w14:paraId="3D069334">
            <w:pPr>
              <w:pStyle w:val="116"/>
              <w:keepNext w:val="0"/>
              <w:keepLines w:val="0"/>
              <w:pageBreakBefore w:val="0"/>
              <w:widowControl w:val="0"/>
              <w:kinsoku/>
              <w:wordWrap/>
              <w:overflowPunct/>
              <w:topLinePunct w:val="0"/>
              <w:autoSpaceDE/>
              <w:autoSpaceDN/>
              <w:bidi w:val="0"/>
              <w:adjustRightInd w:val="0"/>
              <w:snapToGrid w:val="0"/>
              <w:spacing w:before="152" w:beforeLines="50"/>
              <w:textAlignment w:val="auto"/>
              <w:rPr>
                <w:color w:val="auto"/>
              </w:rPr>
            </w:pPr>
            <w:r>
              <w:rPr>
                <w:rFonts w:hint="eastAsia"/>
                <w:color w:val="auto"/>
                <w:lang w:val="en-US" w:eastAsia="zh-CN"/>
              </w:rPr>
              <w:t>设备安装过程中会产生一些机械噪声，源强峰值可达85-100dB。因此为控制设备安装期间的噪声污染，施工单位拟采用低噪声的器械，并且夜间不施工，从而减轻对周围声环境的影响。设备安装期间产生的生活污水经化粪池处理后接管纳入闽侯县污水处理厂处理。生活垃圾及时收集处理；设备安装产生的固废妥善处理。设备安装期的影响较短，随着安装调试的结束，环境影响随即停止。因此本评价不对施工期环境影响做进一步分析。</w:t>
            </w:r>
          </w:p>
        </w:tc>
      </w:tr>
      <w:tr w14:paraId="095607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8" w:type="pct"/>
            <w:noWrap w:val="0"/>
            <w:tcMar>
              <w:left w:w="28" w:type="dxa"/>
              <w:right w:w="28" w:type="dxa"/>
            </w:tcMar>
            <w:vAlign w:val="center"/>
          </w:tcPr>
          <w:p w14:paraId="0CE7A223">
            <w:pPr>
              <w:adjustRightInd w:val="0"/>
              <w:snapToGrid w:val="0"/>
              <w:jc w:val="center"/>
              <w:rPr>
                <w:bCs/>
                <w:color w:val="auto"/>
                <w:szCs w:val="21"/>
              </w:rPr>
            </w:pPr>
            <w:r>
              <w:rPr>
                <w:bCs/>
                <w:color w:val="auto"/>
                <w:szCs w:val="21"/>
              </w:rPr>
              <w:t>运营</w:t>
            </w:r>
          </w:p>
          <w:p w14:paraId="629E0DDC">
            <w:pPr>
              <w:adjustRightInd w:val="0"/>
              <w:snapToGrid w:val="0"/>
              <w:jc w:val="center"/>
              <w:rPr>
                <w:bCs/>
                <w:color w:val="auto"/>
                <w:szCs w:val="21"/>
              </w:rPr>
            </w:pPr>
            <w:r>
              <w:rPr>
                <w:bCs/>
                <w:color w:val="auto"/>
                <w:szCs w:val="21"/>
              </w:rPr>
              <w:t>期环</w:t>
            </w:r>
          </w:p>
          <w:p w14:paraId="14E24D23">
            <w:pPr>
              <w:adjustRightInd w:val="0"/>
              <w:snapToGrid w:val="0"/>
              <w:jc w:val="center"/>
              <w:rPr>
                <w:bCs/>
                <w:color w:val="auto"/>
                <w:szCs w:val="21"/>
              </w:rPr>
            </w:pPr>
            <w:r>
              <w:rPr>
                <w:bCs/>
                <w:color w:val="auto"/>
                <w:szCs w:val="21"/>
              </w:rPr>
              <w:t>境影</w:t>
            </w:r>
          </w:p>
          <w:p w14:paraId="0B780D02">
            <w:pPr>
              <w:adjustRightInd w:val="0"/>
              <w:snapToGrid w:val="0"/>
              <w:jc w:val="center"/>
              <w:rPr>
                <w:bCs/>
                <w:color w:val="auto"/>
                <w:szCs w:val="21"/>
              </w:rPr>
            </w:pPr>
            <w:r>
              <w:rPr>
                <w:bCs/>
                <w:color w:val="auto"/>
                <w:szCs w:val="21"/>
              </w:rPr>
              <w:t>响和</w:t>
            </w:r>
          </w:p>
          <w:p w14:paraId="3060F859">
            <w:pPr>
              <w:adjustRightInd w:val="0"/>
              <w:snapToGrid w:val="0"/>
              <w:jc w:val="center"/>
              <w:rPr>
                <w:bCs/>
                <w:color w:val="auto"/>
                <w:szCs w:val="21"/>
              </w:rPr>
            </w:pPr>
            <w:r>
              <w:rPr>
                <w:bCs/>
                <w:color w:val="auto"/>
                <w:szCs w:val="21"/>
              </w:rPr>
              <w:t>保护</w:t>
            </w:r>
          </w:p>
          <w:p w14:paraId="747879A7">
            <w:pPr>
              <w:adjustRightInd w:val="0"/>
              <w:snapToGrid w:val="0"/>
              <w:jc w:val="center"/>
              <w:rPr>
                <w:bCs/>
                <w:color w:val="auto"/>
                <w:szCs w:val="21"/>
              </w:rPr>
            </w:pPr>
            <w:r>
              <w:rPr>
                <w:bCs/>
                <w:color w:val="auto"/>
                <w:szCs w:val="21"/>
              </w:rPr>
              <w:t>措施</w:t>
            </w:r>
          </w:p>
        </w:tc>
        <w:tc>
          <w:tcPr>
            <w:tcW w:w="4852" w:type="pct"/>
            <w:noWrap w:val="0"/>
            <w:vAlign w:val="center"/>
          </w:tcPr>
          <w:p w14:paraId="55427FEC">
            <w:pPr>
              <w:pStyle w:val="54"/>
              <w:keepNext w:val="0"/>
              <w:keepLines w:val="0"/>
              <w:pageBreakBefore w:val="0"/>
              <w:widowControl w:val="0"/>
              <w:kinsoku/>
              <w:wordWrap/>
              <w:overflowPunct/>
              <w:topLinePunct w:val="0"/>
              <w:autoSpaceDE/>
              <w:autoSpaceDN/>
              <w:bidi w:val="0"/>
              <w:textAlignment w:val="auto"/>
              <w:rPr>
                <w:rFonts w:cs="Times New Roman"/>
                <w:color w:val="auto"/>
              </w:rPr>
            </w:pPr>
            <w:r>
              <w:rPr>
                <w:rFonts w:cs="Times New Roman"/>
                <w:color w:val="auto"/>
              </w:rPr>
              <w:t>废气</w:t>
            </w:r>
          </w:p>
          <w:p w14:paraId="10BD0B14">
            <w:pPr>
              <w:pStyle w:val="62"/>
              <w:keepNext w:val="0"/>
              <w:keepLines w:val="0"/>
              <w:pageBreakBefore w:val="0"/>
              <w:widowControl w:val="0"/>
              <w:kinsoku/>
              <w:wordWrap/>
              <w:overflowPunct/>
              <w:topLinePunct w:val="0"/>
              <w:autoSpaceDE/>
              <w:autoSpaceDN/>
              <w:bidi w:val="0"/>
              <w:ind w:left="210"/>
              <w:textAlignment w:val="auto"/>
              <w:rPr>
                <w:rFonts w:ascii="Times New Roman" w:hAnsi="Times New Roman" w:cs="Times New Roman"/>
                <w:color w:val="auto"/>
                <w:sz w:val="24"/>
                <w:szCs w:val="24"/>
              </w:rPr>
            </w:pPr>
            <w:r>
              <w:rPr>
                <w:rFonts w:ascii="Times New Roman" w:hAnsi="Times New Roman" w:cs="Times New Roman"/>
                <w:color w:val="auto"/>
                <w:sz w:val="24"/>
                <w:szCs w:val="24"/>
              </w:rPr>
              <w:t>污染源强分析</w:t>
            </w:r>
          </w:p>
          <w:p w14:paraId="5EE53F0C">
            <w:pPr>
              <w:pStyle w:val="116"/>
              <w:keepNext w:val="0"/>
              <w:keepLines w:val="0"/>
              <w:pageBreakBefore w:val="0"/>
              <w:widowControl w:val="0"/>
              <w:numPr>
                <w:ilvl w:val="0"/>
                <w:numId w:val="6"/>
              </w:numPr>
              <w:kinsoku/>
              <w:wordWrap/>
              <w:overflowPunct/>
              <w:topLinePunct w:val="0"/>
              <w:autoSpaceDE/>
              <w:autoSpaceDN/>
              <w:bidi w:val="0"/>
              <w:adjustRightInd w:val="0"/>
              <w:snapToGrid w:val="0"/>
              <w:textAlignment w:val="auto"/>
              <w:rPr>
                <w:rFonts w:hint="eastAsia"/>
                <w:b/>
                <w:bCs/>
                <w:color w:val="auto"/>
                <w:sz w:val="24"/>
                <w:szCs w:val="24"/>
              </w:rPr>
            </w:pPr>
            <w:r>
              <w:rPr>
                <w:rFonts w:hint="eastAsia"/>
                <w:b/>
                <w:bCs/>
                <w:color w:val="auto"/>
                <w:sz w:val="24"/>
                <w:szCs w:val="24"/>
              </w:rPr>
              <w:t>熔融</w:t>
            </w:r>
            <w:r>
              <w:rPr>
                <w:rFonts w:hint="eastAsia"/>
                <w:b/>
                <w:bCs/>
                <w:color w:val="auto"/>
                <w:sz w:val="24"/>
                <w:szCs w:val="24"/>
                <w:lang w:eastAsia="zh-CN"/>
              </w:rPr>
              <w:t>挤出</w:t>
            </w:r>
            <w:r>
              <w:rPr>
                <w:rFonts w:hint="eastAsia"/>
                <w:b/>
                <w:bCs/>
                <w:color w:val="auto"/>
                <w:sz w:val="24"/>
                <w:szCs w:val="24"/>
              </w:rPr>
              <w:t>废气</w:t>
            </w:r>
          </w:p>
          <w:p w14:paraId="54132667">
            <w:pPr>
              <w:pStyle w:val="116"/>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color w:val="auto"/>
                <w:lang w:val="en-US" w:eastAsia="zh-CN"/>
              </w:rPr>
            </w:pPr>
            <w:r>
              <w:rPr>
                <w:rFonts w:hint="eastAsia"/>
                <w:color w:val="auto"/>
                <w:lang w:val="en-US" w:eastAsia="zh-CN"/>
              </w:rPr>
              <w:t>本项目熔融挤出工序会产生一定的有机废气，当热型塑料在加热软化时将挥发少量的有机废气，如乙烯、不饱和烃等非甲烷总烃。项目使用的是高密度聚乙烯，其分解温度为300℃，本项目加热温度为190℃，低于分解温度，因此项目在熔融过程中不会导致其分解，但是由于加热，分子键在挤压下会发生断裂，产生</w:t>
            </w:r>
            <w:r>
              <w:rPr>
                <w:rFonts w:hint="eastAsia" w:ascii="Times New Roman" w:hAnsi="Times New Roman" w:eastAsia="宋体" w:cs="Times New Roman"/>
                <w:color w:val="auto"/>
                <w:lang w:val="en-US" w:eastAsia="zh-CN"/>
              </w:rPr>
              <w:t>游离单体，以非甲烷总体计。</w:t>
            </w:r>
          </w:p>
          <w:p w14:paraId="76CDCCEF">
            <w:pPr>
              <w:pStyle w:val="116"/>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熔融</w:t>
            </w:r>
            <w:r>
              <w:rPr>
                <w:rFonts w:hint="eastAsia" w:cs="Times New Roman"/>
                <w:color w:val="auto"/>
                <w:lang w:val="en-US" w:eastAsia="zh-CN"/>
              </w:rPr>
              <w:t>挤出</w:t>
            </w:r>
            <w:r>
              <w:rPr>
                <w:rFonts w:hint="eastAsia" w:ascii="Times New Roman" w:hAnsi="Times New Roman" w:eastAsia="宋体" w:cs="Times New Roman"/>
                <w:color w:val="auto"/>
                <w:lang w:val="en-US" w:eastAsia="zh-CN"/>
              </w:rPr>
              <w:t>废气参照《排放源统计调查产排污核算方法和系数手册》2922塑料板、管、型材制造行业的挥发性有机物产污系数，详见</w:t>
            </w:r>
            <w:r>
              <w:rPr>
                <w:rFonts w:hint="eastAsia" w:ascii="Times New Roman" w:hAnsi="Times New Roman" w:eastAsia="宋体" w:cs="Times New Roman"/>
                <w:color w:val="auto"/>
                <w:lang w:val="en-US" w:eastAsia="zh-CN"/>
              </w:rPr>
              <w:fldChar w:fldCharType="begin"/>
            </w:r>
            <w:r>
              <w:rPr>
                <w:rFonts w:hint="eastAsia" w:ascii="Times New Roman" w:hAnsi="Times New Roman" w:eastAsia="宋体" w:cs="Times New Roman"/>
                <w:color w:val="auto"/>
                <w:lang w:val="en-US" w:eastAsia="zh-CN"/>
              </w:rPr>
              <w:instrText xml:space="preserve"> REF _Ref89880883 \r \h  \* MERGEFORMAT </w:instrText>
            </w:r>
            <w:r>
              <w:rPr>
                <w:rFonts w:hint="eastAsia" w:ascii="Times New Roman" w:hAnsi="Times New Roman" w:eastAsia="宋体" w:cs="Times New Roman"/>
                <w:color w:val="auto"/>
                <w:lang w:val="en-US" w:eastAsia="zh-CN"/>
              </w:rPr>
              <w:fldChar w:fldCharType="separate"/>
            </w:r>
            <w:r>
              <w:rPr>
                <w:rFonts w:hint="eastAsia" w:ascii="Times New Roman" w:hAnsi="Times New Roman" w:eastAsia="宋体" w:cs="Times New Roman"/>
                <w:color w:val="auto"/>
                <w:lang w:val="en-US" w:eastAsia="zh-CN"/>
              </w:rPr>
              <w:t>表4.1-1</w:t>
            </w:r>
            <w:r>
              <w:rPr>
                <w:rFonts w:hint="eastAsia" w:ascii="Times New Roman" w:hAnsi="Times New Roman" w:eastAsia="宋体" w:cs="Times New Roman"/>
                <w:color w:val="auto"/>
                <w:lang w:val="en-US" w:eastAsia="zh-CN"/>
              </w:rPr>
              <w:fldChar w:fldCharType="end"/>
            </w:r>
            <w:r>
              <w:rPr>
                <w:rFonts w:hint="eastAsia" w:ascii="Times New Roman" w:hAnsi="Times New Roman" w:eastAsia="宋体" w:cs="Times New Roman"/>
                <w:color w:val="auto"/>
                <w:lang w:val="en-US" w:eastAsia="zh-CN"/>
              </w:rPr>
              <w:t>。</w:t>
            </w:r>
          </w:p>
          <w:p w14:paraId="2E7B4989">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 xml:space="preserve">表4.1-1  </w:t>
            </w:r>
            <w:r>
              <w:rPr>
                <w:rFonts w:ascii="Times New Roman" w:hAnsi="Times New Roman" w:cs="Times New Roman"/>
                <w:b/>
                <w:bCs/>
                <w:color w:val="auto"/>
                <w:sz w:val="24"/>
                <w:szCs w:val="24"/>
              </w:rPr>
              <w:t>产排污系数表（摘录）</w:t>
            </w:r>
          </w:p>
          <w:tbl>
            <w:tblPr>
              <w:tblStyle w:val="23"/>
              <w:tblW w:w="847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209"/>
              <w:gridCol w:w="1267"/>
              <w:gridCol w:w="666"/>
              <w:gridCol w:w="909"/>
              <w:gridCol w:w="1226"/>
              <w:gridCol w:w="1129"/>
              <w:gridCol w:w="1029"/>
            </w:tblGrid>
            <w:tr w14:paraId="510934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5" w:type="pct"/>
                  <w:noWrap w:val="0"/>
                  <w:vAlign w:val="center"/>
                </w:tcPr>
                <w:p w14:paraId="1EE8794F">
                  <w:pPr>
                    <w:pStyle w:val="74"/>
                    <w:rPr>
                      <w:color w:val="auto"/>
                    </w:rPr>
                  </w:pPr>
                  <w:r>
                    <w:rPr>
                      <w:rFonts w:hint="eastAsia"/>
                      <w:color w:val="auto"/>
                    </w:rPr>
                    <w:t>产品名称</w:t>
                  </w:r>
                </w:p>
              </w:tc>
              <w:tc>
                <w:tcPr>
                  <w:tcW w:w="713" w:type="pct"/>
                  <w:noWrap w:val="0"/>
                  <w:vAlign w:val="center"/>
                </w:tcPr>
                <w:p w14:paraId="70D28394">
                  <w:pPr>
                    <w:pStyle w:val="74"/>
                    <w:rPr>
                      <w:rFonts w:hint="eastAsia"/>
                      <w:color w:val="auto"/>
                    </w:rPr>
                  </w:pPr>
                  <w:r>
                    <w:rPr>
                      <w:rFonts w:hint="eastAsia"/>
                      <w:color w:val="auto"/>
                    </w:rPr>
                    <w:t>原料名称</w:t>
                  </w:r>
                </w:p>
              </w:tc>
              <w:tc>
                <w:tcPr>
                  <w:tcW w:w="747" w:type="pct"/>
                  <w:noWrap w:val="0"/>
                  <w:vAlign w:val="center"/>
                </w:tcPr>
                <w:p w14:paraId="04F2B809">
                  <w:pPr>
                    <w:pStyle w:val="74"/>
                    <w:rPr>
                      <w:rFonts w:hint="eastAsia"/>
                      <w:color w:val="auto"/>
                    </w:rPr>
                  </w:pPr>
                  <w:r>
                    <w:rPr>
                      <w:rFonts w:hint="eastAsia"/>
                      <w:color w:val="auto"/>
                    </w:rPr>
                    <w:t>工艺名称</w:t>
                  </w:r>
                </w:p>
              </w:tc>
              <w:tc>
                <w:tcPr>
                  <w:tcW w:w="393" w:type="pct"/>
                  <w:noWrap w:val="0"/>
                  <w:vAlign w:val="center"/>
                </w:tcPr>
                <w:p w14:paraId="6C5E5EE9">
                  <w:pPr>
                    <w:pStyle w:val="74"/>
                    <w:rPr>
                      <w:rFonts w:hint="eastAsia"/>
                      <w:color w:val="auto"/>
                    </w:rPr>
                  </w:pPr>
                  <w:r>
                    <w:rPr>
                      <w:rFonts w:hint="eastAsia"/>
                      <w:color w:val="auto"/>
                    </w:rPr>
                    <w:t>规模等级</w:t>
                  </w:r>
                </w:p>
              </w:tc>
              <w:tc>
                <w:tcPr>
                  <w:tcW w:w="536" w:type="pct"/>
                  <w:noWrap w:val="0"/>
                  <w:vAlign w:val="center"/>
                </w:tcPr>
                <w:p w14:paraId="1FD938BA">
                  <w:pPr>
                    <w:pStyle w:val="74"/>
                    <w:rPr>
                      <w:rFonts w:hint="eastAsia"/>
                      <w:color w:val="auto"/>
                    </w:rPr>
                  </w:pPr>
                  <w:r>
                    <w:rPr>
                      <w:rFonts w:hint="eastAsia"/>
                      <w:color w:val="auto"/>
                    </w:rPr>
                    <w:t>污染物类别</w:t>
                  </w:r>
                </w:p>
              </w:tc>
              <w:tc>
                <w:tcPr>
                  <w:tcW w:w="723" w:type="pct"/>
                  <w:noWrap w:val="0"/>
                  <w:vAlign w:val="center"/>
                </w:tcPr>
                <w:p w14:paraId="0400C359">
                  <w:pPr>
                    <w:pStyle w:val="74"/>
                    <w:rPr>
                      <w:rFonts w:hint="eastAsia"/>
                      <w:color w:val="auto"/>
                    </w:rPr>
                  </w:pPr>
                  <w:r>
                    <w:rPr>
                      <w:rFonts w:hint="eastAsia"/>
                      <w:color w:val="auto"/>
                    </w:rPr>
                    <w:t>污染物指标</w:t>
                  </w:r>
                </w:p>
              </w:tc>
              <w:tc>
                <w:tcPr>
                  <w:tcW w:w="666" w:type="pct"/>
                  <w:noWrap w:val="0"/>
                  <w:vAlign w:val="center"/>
                </w:tcPr>
                <w:p w14:paraId="25D23143">
                  <w:pPr>
                    <w:pStyle w:val="74"/>
                    <w:rPr>
                      <w:rFonts w:hint="eastAsia"/>
                      <w:color w:val="auto"/>
                    </w:rPr>
                  </w:pPr>
                  <w:r>
                    <w:rPr>
                      <w:rFonts w:hint="eastAsia"/>
                      <w:color w:val="auto"/>
                    </w:rPr>
                    <w:t>单位</w:t>
                  </w:r>
                </w:p>
              </w:tc>
              <w:tc>
                <w:tcPr>
                  <w:tcW w:w="606" w:type="pct"/>
                  <w:noWrap w:val="0"/>
                  <w:vAlign w:val="center"/>
                </w:tcPr>
                <w:p w14:paraId="0B19A236">
                  <w:pPr>
                    <w:pStyle w:val="74"/>
                    <w:rPr>
                      <w:rFonts w:hint="eastAsia"/>
                      <w:color w:val="auto"/>
                    </w:rPr>
                  </w:pPr>
                  <w:r>
                    <w:rPr>
                      <w:rFonts w:hint="eastAsia"/>
                      <w:color w:val="auto"/>
                    </w:rPr>
                    <w:t>产污系数</w:t>
                  </w:r>
                </w:p>
              </w:tc>
            </w:tr>
            <w:tr w14:paraId="5CAFFD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8"/>
                  <w:noWrap w:val="0"/>
                  <w:vAlign w:val="center"/>
                </w:tcPr>
                <w:p w14:paraId="09FECF4E">
                  <w:pPr>
                    <w:pStyle w:val="74"/>
                    <w:jc w:val="both"/>
                    <w:rPr>
                      <w:rFonts w:hint="eastAsia"/>
                      <w:color w:val="auto"/>
                    </w:rPr>
                  </w:pPr>
                  <w:r>
                    <w:rPr>
                      <w:color w:val="auto"/>
                    </w:rPr>
                    <w:t>2922</w:t>
                  </w:r>
                  <w:r>
                    <w:rPr>
                      <w:rFonts w:hint="eastAsia"/>
                      <w:color w:val="auto"/>
                    </w:rPr>
                    <w:t>塑料板、管、型材制造行业</w:t>
                  </w:r>
                </w:p>
              </w:tc>
            </w:tr>
            <w:tr w14:paraId="0CBA61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5" w:type="pct"/>
                  <w:noWrap w:val="0"/>
                  <w:vAlign w:val="center"/>
                </w:tcPr>
                <w:p w14:paraId="61616F65">
                  <w:pPr>
                    <w:pStyle w:val="74"/>
                    <w:rPr>
                      <w:color w:val="auto"/>
                    </w:rPr>
                  </w:pPr>
                  <w:r>
                    <w:rPr>
                      <w:rFonts w:hint="eastAsia"/>
                      <w:color w:val="auto"/>
                    </w:rPr>
                    <w:t>塑料板、管、型材</w:t>
                  </w:r>
                </w:p>
              </w:tc>
              <w:tc>
                <w:tcPr>
                  <w:tcW w:w="713" w:type="pct"/>
                  <w:noWrap w:val="0"/>
                  <w:vAlign w:val="center"/>
                </w:tcPr>
                <w:p w14:paraId="2166576B">
                  <w:pPr>
                    <w:pStyle w:val="74"/>
                    <w:rPr>
                      <w:rFonts w:hint="eastAsia"/>
                      <w:color w:val="auto"/>
                    </w:rPr>
                  </w:pPr>
                  <w:r>
                    <w:rPr>
                      <w:rFonts w:hint="eastAsia"/>
                      <w:color w:val="auto"/>
                    </w:rPr>
                    <w:t>树脂、助剂</w:t>
                  </w:r>
                </w:p>
              </w:tc>
              <w:tc>
                <w:tcPr>
                  <w:tcW w:w="747" w:type="pct"/>
                  <w:noWrap w:val="0"/>
                  <w:vAlign w:val="center"/>
                </w:tcPr>
                <w:p w14:paraId="33577E80">
                  <w:pPr>
                    <w:pStyle w:val="74"/>
                    <w:rPr>
                      <w:rFonts w:hint="eastAsia"/>
                      <w:color w:val="auto"/>
                    </w:rPr>
                  </w:pPr>
                  <w:r>
                    <w:rPr>
                      <w:rFonts w:hint="eastAsia"/>
                      <w:color w:val="auto"/>
                    </w:rPr>
                    <w:t>配料</w:t>
                  </w:r>
                  <w:r>
                    <w:rPr>
                      <w:color w:val="auto"/>
                    </w:rPr>
                    <w:t>-</w:t>
                  </w:r>
                  <w:r>
                    <w:rPr>
                      <w:rFonts w:hint="eastAsia"/>
                      <w:color w:val="auto"/>
                    </w:rPr>
                    <w:t>混合</w:t>
                  </w:r>
                  <w:r>
                    <w:rPr>
                      <w:color w:val="auto"/>
                    </w:rPr>
                    <w:t>-</w:t>
                  </w:r>
                  <w:r>
                    <w:rPr>
                      <w:rFonts w:hint="eastAsia"/>
                      <w:color w:val="auto"/>
                    </w:rPr>
                    <w:t>挤出</w:t>
                  </w:r>
                </w:p>
              </w:tc>
              <w:tc>
                <w:tcPr>
                  <w:tcW w:w="393" w:type="pct"/>
                  <w:noWrap w:val="0"/>
                  <w:vAlign w:val="center"/>
                </w:tcPr>
                <w:p w14:paraId="4AF2330F">
                  <w:pPr>
                    <w:pStyle w:val="74"/>
                    <w:rPr>
                      <w:color w:val="auto"/>
                    </w:rPr>
                  </w:pPr>
                  <w:r>
                    <w:rPr>
                      <w:rFonts w:hint="eastAsia"/>
                      <w:color w:val="auto"/>
                    </w:rPr>
                    <w:t>所有规模</w:t>
                  </w:r>
                </w:p>
              </w:tc>
              <w:tc>
                <w:tcPr>
                  <w:tcW w:w="536" w:type="pct"/>
                  <w:noWrap w:val="0"/>
                  <w:vAlign w:val="center"/>
                </w:tcPr>
                <w:p w14:paraId="1290155A">
                  <w:pPr>
                    <w:pStyle w:val="74"/>
                    <w:rPr>
                      <w:rFonts w:hint="eastAsia"/>
                      <w:color w:val="auto"/>
                    </w:rPr>
                  </w:pPr>
                  <w:r>
                    <w:rPr>
                      <w:rFonts w:hint="eastAsia"/>
                      <w:color w:val="auto"/>
                    </w:rPr>
                    <w:t>废气</w:t>
                  </w:r>
                </w:p>
              </w:tc>
              <w:tc>
                <w:tcPr>
                  <w:tcW w:w="723" w:type="pct"/>
                  <w:noWrap w:val="0"/>
                  <w:vAlign w:val="center"/>
                </w:tcPr>
                <w:p w14:paraId="3502A06D">
                  <w:pPr>
                    <w:pStyle w:val="74"/>
                    <w:rPr>
                      <w:rFonts w:hint="eastAsia"/>
                      <w:color w:val="auto"/>
                    </w:rPr>
                  </w:pPr>
                  <w:r>
                    <w:rPr>
                      <w:rFonts w:hint="eastAsia"/>
                      <w:color w:val="auto"/>
                    </w:rPr>
                    <w:t>挥发性有机物*</w:t>
                  </w:r>
                </w:p>
              </w:tc>
              <w:tc>
                <w:tcPr>
                  <w:tcW w:w="666" w:type="pct"/>
                  <w:noWrap w:val="0"/>
                  <w:vAlign w:val="center"/>
                </w:tcPr>
                <w:p w14:paraId="4BCE3A05">
                  <w:pPr>
                    <w:pStyle w:val="74"/>
                    <w:rPr>
                      <w:color w:val="auto"/>
                    </w:rPr>
                  </w:pPr>
                  <w:r>
                    <w:rPr>
                      <w:rFonts w:hint="eastAsia"/>
                      <w:color w:val="auto"/>
                    </w:rPr>
                    <w:t>千克</w:t>
                  </w:r>
                  <w:r>
                    <w:rPr>
                      <w:color w:val="auto"/>
                    </w:rPr>
                    <w:t>/</w:t>
                  </w:r>
                  <w:r>
                    <w:rPr>
                      <w:rFonts w:hint="eastAsia"/>
                      <w:color w:val="auto"/>
                    </w:rPr>
                    <w:t>吨</w:t>
                  </w:r>
                  <w:r>
                    <w:rPr>
                      <w:color w:val="auto"/>
                    </w:rPr>
                    <w:t>-</w:t>
                  </w:r>
                  <w:r>
                    <w:rPr>
                      <w:rFonts w:hint="eastAsia"/>
                      <w:color w:val="auto"/>
                    </w:rPr>
                    <w:t>产品</w:t>
                  </w:r>
                </w:p>
              </w:tc>
              <w:tc>
                <w:tcPr>
                  <w:tcW w:w="606" w:type="pct"/>
                  <w:noWrap w:val="0"/>
                  <w:vAlign w:val="center"/>
                </w:tcPr>
                <w:p w14:paraId="2423A2EB">
                  <w:pPr>
                    <w:pStyle w:val="74"/>
                    <w:rPr>
                      <w:rFonts w:hint="eastAsia"/>
                      <w:color w:val="auto"/>
                    </w:rPr>
                  </w:pPr>
                  <w:r>
                    <w:rPr>
                      <w:color w:val="auto"/>
                    </w:rPr>
                    <w:t>1.5</w:t>
                  </w:r>
                </w:p>
              </w:tc>
            </w:tr>
          </w:tbl>
          <w:p w14:paraId="29DD11F4">
            <w:pPr>
              <w:pStyle w:val="69"/>
              <w:jc w:val="both"/>
              <w:rPr>
                <w:rFonts w:hint="eastAsia"/>
                <w:color w:val="auto"/>
              </w:rPr>
            </w:pPr>
            <w:r>
              <w:rPr>
                <w:rFonts w:hint="eastAsia"/>
                <w:color w:val="auto"/>
              </w:rPr>
              <w:t>注：*挥发性有机物以非甲烷总烃计</w:t>
            </w:r>
          </w:p>
          <w:p w14:paraId="0B1F5CAA">
            <w:pPr>
              <w:widowControl w:val="0"/>
              <w:numPr>
                <w:ilvl w:val="0"/>
                <w:numId w:val="0"/>
              </w:numPr>
              <w:jc w:val="both"/>
              <w:rPr>
                <w:color w:val="auto"/>
              </w:rPr>
            </w:pPr>
          </w:p>
          <w:p w14:paraId="07AEB535">
            <w:pPr>
              <w:pStyle w:val="128"/>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宋体" w:cs="Times New Roman"/>
                <w:color w:val="auto"/>
                <w:sz w:val="24"/>
                <w:szCs w:val="22"/>
                <w:lang w:val="en-US" w:eastAsia="zh-CN" w:bidi="ar-SA"/>
              </w:rPr>
            </w:pPr>
            <w:r>
              <w:rPr>
                <w:rFonts w:hint="default" w:ascii="Times New Roman" w:hAnsi="Times New Roman" w:eastAsia="宋体" w:cs="Times New Roman"/>
                <w:color w:val="auto"/>
                <w:sz w:val="24"/>
                <w:szCs w:val="22"/>
                <w:lang w:val="en-US" w:eastAsia="zh-CN" w:bidi="ar-SA"/>
              </w:rPr>
              <w:t>项目集气罩设置于熔融挤出上方，集气罩规格为0.6m×0.6m（集气面积0.36㎡，大于投料口面积，符合要求），经集气罩收集后采用二级活性炭吸附装置处理达标后通过15m排气筒排放（DA001）。</w:t>
            </w:r>
          </w:p>
          <w:p w14:paraId="05AF1EA3">
            <w:pPr>
              <w:pStyle w:val="128"/>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宋体" w:cs="Times New Roman"/>
                <w:color w:val="auto"/>
                <w:sz w:val="24"/>
                <w:szCs w:val="22"/>
                <w:lang w:val="en-US" w:eastAsia="zh-CN" w:bidi="ar-SA"/>
              </w:rPr>
            </w:pPr>
            <w:r>
              <w:rPr>
                <w:rFonts w:hint="default" w:ascii="Times New Roman" w:hAnsi="Times New Roman" w:eastAsia="宋体" w:cs="Times New Roman"/>
                <w:color w:val="auto"/>
                <w:sz w:val="24"/>
                <w:szCs w:val="22"/>
                <w:lang w:val="en-US" w:eastAsia="zh-CN" w:bidi="ar-SA"/>
              </w:rPr>
              <w:t>项目熔融挤出设置在车间内，其长度6.6m，宽度3.41m，高度为4.5m，本报告取换气次数</w:t>
            </w:r>
            <w:r>
              <w:rPr>
                <w:rFonts w:hint="eastAsia" w:cs="Times New Roman"/>
                <w:color w:val="auto"/>
                <w:sz w:val="24"/>
                <w:szCs w:val="22"/>
                <w:lang w:val="en-US" w:eastAsia="zh-CN" w:bidi="ar-SA"/>
              </w:rPr>
              <w:t>12</w:t>
            </w:r>
            <w:r>
              <w:rPr>
                <w:rFonts w:hint="default" w:ascii="Times New Roman" w:hAnsi="Times New Roman" w:eastAsia="宋体" w:cs="Times New Roman"/>
                <w:color w:val="auto"/>
                <w:sz w:val="24"/>
                <w:szCs w:val="22"/>
                <w:lang w:val="en-US" w:eastAsia="zh-CN" w:bidi="ar-SA"/>
              </w:rPr>
              <w:t>次/h，则集气区域送风量为607.662m³/h，根据《简明通风设计手册》（孙一坚主编，中国建筑工业出版社，1997），一般送风量需为排风量的</w:t>
            </w:r>
            <w:r>
              <w:rPr>
                <w:rFonts w:hint="eastAsia" w:cs="Times New Roman"/>
                <w:color w:val="auto"/>
                <w:sz w:val="24"/>
                <w:szCs w:val="22"/>
                <w:lang w:val="en-US" w:eastAsia="zh-CN" w:bidi="ar-SA"/>
              </w:rPr>
              <w:t>80%～90%</w:t>
            </w:r>
            <w:r>
              <w:rPr>
                <w:rFonts w:hint="default" w:ascii="Times New Roman" w:hAnsi="Times New Roman" w:eastAsia="宋体" w:cs="Times New Roman"/>
                <w:color w:val="auto"/>
                <w:sz w:val="24"/>
                <w:szCs w:val="22"/>
                <w:lang w:val="en-US" w:eastAsia="zh-CN" w:bidi="ar-SA"/>
              </w:rPr>
              <w:t>，本项目取</w:t>
            </w:r>
            <w:r>
              <w:rPr>
                <w:rFonts w:hint="eastAsia" w:cs="Times New Roman"/>
                <w:color w:val="auto"/>
                <w:sz w:val="24"/>
                <w:szCs w:val="22"/>
                <w:lang w:val="en-US" w:eastAsia="zh-CN" w:bidi="ar-SA"/>
              </w:rPr>
              <w:t>8</w:t>
            </w:r>
            <w:r>
              <w:rPr>
                <w:rFonts w:hint="default" w:ascii="Times New Roman" w:hAnsi="Times New Roman" w:eastAsia="宋体" w:cs="Times New Roman"/>
                <w:color w:val="auto"/>
                <w:sz w:val="24"/>
                <w:szCs w:val="22"/>
                <w:lang w:val="en-US" w:eastAsia="zh-CN" w:bidi="ar-SA"/>
              </w:rPr>
              <w:t>0%，则集气罩需要的抽风量为675.18m³/h。本项目设计风量为5000m³/h，满足理论抽风量要求。</w:t>
            </w:r>
          </w:p>
          <w:p w14:paraId="0783D2D1">
            <w:pPr>
              <w:pStyle w:val="128"/>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imes New Roman" w:hAnsi="Times New Roman" w:eastAsia="宋体" w:cs="Times New Roman"/>
                <w:color w:val="auto"/>
                <w:sz w:val="24"/>
                <w:szCs w:val="22"/>
                <w:lang w:val="en-US" w:eastAsia="zh-CN" w:bidi="ar-SA"/>
              </w:rPr>
            </w:pPr>
            <w:r>
              <w:rPr>
                <w:rFonts w:hint="default" w:ascii="Times New Roman" w:hAnsi="Times New Roman" w:eastAsia="宋体" w:cs="Times New Roman"/>
                <w:color w:val="auto"/>
                <w:sz w:val="24"/>
                <w:szCs w:val="22"/>
                <w:lang w:val="en-US" w:eastAsia="zh-CN" w:bidi="ar-SA"/>
              </w:rPr>
              <w:t>参照《环境工程》2016年第34卷增刊中《工业源重点行业VOCs治理技术处理效果的研究》，“活性炭吸附法”对有机废气的平均处理效率为73.11%，本项目“一次活性炭吸附装置”处理效率按50%保守计，则二级活性炭吸附装置处理效率为：1-（1-50%）×（1-50%）=75%。</w:t>
            </w:r>
          </w:p>
          <w:p w14:paraId="354FDD6A">
            <w:pPr>
              <w:pStyle w:val="116"/>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color w:val="auto"/>
                <w:sz w:val="24"/>
                <w:szCs w:val="24"/>
              </w:rPr>
            </w:pPr>
            <w:r>
              <w:rPr>
                <w:rFonts w:hint="eastAsia"/>
                <w:color w:val="auto"/>
                <w:sz w:val="24"/>
                <w:szCs w:val="24"/>
                <w:lang w:val="en-US" w:eastAsia="zh-CN"/>
              </w:rPr>
              <w:t>产品总量为2100吨，熔融挤出</w:t>
            </w:r>
            <w:r>
              <w:rPr>
                <w:rFonts w:hint="eastAsia"/>
                <w:color w:val="auto"/>
                <w:sz w:val="24"/>
                <w:szCs w:val="24"/>
              </w:rPr>
              <w:t>工序每天工作8h，年工作3</w:t>
            </w:r>
            <w:r>
              <w:rPr>
                <w:color w:val="auto"/>
                <w:sz w:val="24"/>
                <w:szCs w:val="24"/>
              </w:rPr>
              <w:t>30</w:t>
            </w:r>
            <w:r>
              <w:rPr>
                <w:rFonts w:hint="eastAsia"/>
                <w:color w:val="auto"/>
                <w:sz w:val="24"/>
                <w:szCs w:val="24"/>
              </w:rPr>
              <w:t>天，熔融</w:t>
            </w:r>
            <w:r>
              <w:rPr>
                <w:rFonts w:hint="eastAsia"/>
                <w:color w:val="auto"/>
                <w:sz w:val="24"/>
                <w:szCs w:val="24"/>
                <w:lang w:eastAsia="zh-CN"/>
              </w:rPr>
              <w:t>挤出</w:t>
            </w:r>
            <w:r>
              <w:rPr>
                <w:rFonts w:hint="eastAsia"/>
                <w:color w:val="auto"/>
                <w:sz w:val="24"/>
                <w:szCs w:val="24"/>
              </w:rPr>
              <w:t>废气产生情况</w:t>
            </w:r>
            <w:r>
              <w:rPr>
                <w:rFonts w:hint="eastAsia"/>
                <w:color w:val="auto"/>
                <w:sz w:val="24"/>
                <w:szCs w:val="24"/>
                <w:lang w:eastAsia="zh-CN"/>
              </w:rPr>
              <w:t>见</w:t>
            </w:r>
            <w:r>
              <w:rPr>
                <w:color w:val="auto"/>
                <w:sz w:val="24"/>
                <w:szCs w:val="24"/>
              </w:rPr>
              <w:fldChar w:fldCharType="begin"/>
            </w:r>
            <w:r>
              <w:rPr>
                <w:color w:val="auto"/>
                <w:sz w:val="24"/>
                <w:szCs w:val="24"/>
              </w:rPr>
              <w:instrText xml:space="preserve"> </w:instrText>
            </w:r>
            <w:r>
              <w:rPr>
                <w:rFonts w:hint="eastAsia"/>
                <w:color w:val="auto"/>
                <w:sz w:val="24"/>
                <w:szCs w:val="24"/>
              </w:rPr>
              <w:instrText xml:space="preserve">REF _Ref89880843 \r \h</w:instrText>
            </w:r>
            <w:r>
              <w:rPr>
                <w:color w:val="auto"/>
                <w:sz w:val="24"/>
                <w:szCs w:val="24"/>
              </w:rPr>
              <w:instrText xml:space="preserve">  \* MERGEFORMAT </w:instrText>
            </w:r>
            <w:r>
              <w:rPr>
                <w:color w:val="auto"/>
                <w:sz w:val="24"/>
                <w:szCs w:val="24"/>
              </w:rPr>
              <w:fldChar w:fldCharType="separate"/>
            </w:r>
            <w:r>
              <w:rPr>
                <w:rFonts w:hint="eastAsia"/>
                <w:color w:val="auto"/>
                <w:sz w:val="24"/>
                <w:szCs w:val="24"/>
              </w:rPr>
              <w:t>表4.1-2</w:t>
            </w:r>
            <w:r>
              <w:rPr>
                <w:color w:val="auto"/>
                <w:sz w:val="24"/>
                <w:szCs w:val="24"/>
              </w:rPr>
              <w:fldChar w:fldCharType="end"/>
            </w:r>
            <w:r>
              <w:rPr>
                <w:rFonts w:hint="eastAsia"/>
                <w:color w:val="auto"/>
                <w:sz w:val="24"/>
                <w:szCs w:val="24"/>
              </w:rPr>
              <w:t>、</w:t>
            </w:r>
            <w:r>
              <w:rPr>
                <w:color w:val="auto"/>
                <w:sz w:val="24"/>
                <w:szCs w:val="24"/>
              </w:rPr>
              <w:fldChar w:fldCharType="begin"/>
            </w:r>
            <w:r>
              <w:rPr>
                <w:color w:val="auto"/>
                <w:sz w:val="24"/>
                <w:szCs w:val="24"/>
              </w:rPr>
              <w:instrText xml:space="preserve"> REF _Ref89880845 \r \h  \* MERGEFORMAT </w:instrText>
            </w:r>
            <w:r>
              <w:rPr>
                <w:color w:val="auto"/>
                <w:sz w:val="24"/>
                <w:szCs w:val="24"/>
              </w:rPr>
              <w:fldChar w:fldCharType="separate"/>
            </w:r>
            <w:r>
              <w:rPr>
                <w:rFonts w:hint="eastAsia"/>
                <w:color w:val="auto"/>
                <w:sz w:val="24"/>
                <w:szCs w:val="24"/>
              </w:rPr>
              <w:t>表4.1-3</w:t>
            </w:r>
            <w:r>
              <w:rPr>
                <w:color w:val="auto"/>
                <w:sz w:val="24"/>
                <w:szCs w:val="24"/>
              </w:rPr>
              <w:fldChar w:fldCharType="end"/>
            </w:r>
            <w:r>
              <w:rPr>
                <w:color w:val="auto"/>
                <w:sz w:val="24"/>
                <w:szCs w:val="24"/>
              </w:rPr>
              <w:t>。</w:t>
            </w:r>
          </w:p>
          <w:p w14:paraId="68FEBCCB">
            <w:pPr>
              <w:pStyle w:val="11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b/>
                <w:bCs/>
                <w:color w:val="auto"/>
                <w:sz w:val="24"/>
                <w:szCs w:val="24"/>
              </w:rPr>
            </w:pPr>
            <w:bookmarkStart w:id="25" w:name="_Ref89880843"/>
            <w:r>
              <w:rPr>
                <w:rFonts w:hint="eastAsia" w:ascii="Times New Roman" w:hAnsi="Times New Roman" w:cs="Times New Roman"/>
                <w:b/>
                <w:bCs/>
                <w:color w:val="auto"/>
                <w:sz w:val="24"/>
                <w:szCs w:val="24"/>
                <w:lang w:val="en-US" w:eastAsia="zh-CN"/>
              </w:rPr>
              <w:t>表4.1-</w:t>
            </w:r>
            <w:r>
              <w:rPr>
                <w:rFonts w:hint="eastAsia" w:cs="Times New Roman"/>
                <w:b/>
                <w:bCs/>
                <w:color w:val="auto"/>
                <w:sz w:val="24"/>
                <w:szCs w:val="24"/>
                <w:lang w:val="en-US" w:eastAsia="zh-CN"/>
              </w:rPr>
              <w:t>2</w:t>
            </w:r>
            <w:r>
              <w:rPr>
                <w:rFonts w:hint="eastAsia"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auto"/>
                <w:sz w:val="24"/>
                <w:szCs w:val="24"/>
              </w:rPr>
              <w:t>熔融废气产生</w:t>
            </w:r>
            <w:r>
              <w:rPr>
                <w:rFonts w:ascii="Times New Roman" w:hAnsi="Times New Roman" w:cs="Times New Roman"/>
                <w:b/>
                <w:bCs/>
                <w:color w:val="auto"/>
                <w:sz w:val="24"/>
                <w:szCs w:val="24"/>
              </w:rPr>
              <w:t>情况</w:t>
            </w:r>
            <w:bookmarkEnd w:id="25"/>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82"/>
              <w:gridCol w:w="1051"/>
              <w:gridCol w:w="1053"/>
              <w:gridCol w:w="1053"/>
              <w:gridCol w:w="1053"/>
              <w:gridCol w:w="1053"/>
              <w:gridCol w:w="1051"/>
            </w:tblGrid>
            <w:tr w14:paraId="29C275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8" w:type="pct"/>
                  <w:vMerge w:val="restart"/>
                  <w:noWrap w:val="0"/>
                  <w:vAlign w:val="center"/>
                </w:tcPr>
                <w:p w14:paraId="02F9F0ED">
                  <w:pPr>
                    <w:pStyle w:val="74"/>
                    <w:rPr>
                      <w:rFonts w:hint="eastAsia"/>
                      <w:color w:val="auto"/>
                    </w:rPr>
                  </w:pPr>
                  <w:r>
                    <w:rPr>
                      <w:rFonts w:hint="eastAsia"/>
                      <w:color w:val="auto"/>
                    </w:rPr>
                    <w:t>产污环节</w:t>
                  </w:r>
                </w:p>
              </w:tc>
              <w:tc>
                <w:tcPr>
                  <w:tcW w:w="638" w:type="pct"/>
                  <w:vMerge w:val="restart"/>
                  <w:noWrap w:val="0"/>
                  <w:vAlign w:val="center"/>
                </w:tcPr>
                <w:p w14:paraId="5C9C5644">
                  <w:pPr>
                    <w:pStyle w:val="74"/>
                    <w:rPr>
                      <w:rFonts w:hint="eastAsia"/>
                      <w:color w:val="auto"/>
                    </w:rPr>
                  </w:pPr>
                  <w:r>
                    <w:rPr>
                      <w:rFonts w:hint="eastAsia"/>
                      <w:color w:val="auto"/>
                    </w:rPr>
                    <w:t>污染物</w:t>
                  </w:r>
                </w:p>
              </w:tc>
              <w:tc>
                <w:tcPr>
                  <w:tcW w:w="1241" w:type="pct"/>
                  <w:gridSpan w:val="2"/>
                  <w:noWrap w:val="0"/>
                  <w:vAlign w:val="center"/>
                </w:tcPr>
                <w:p w14:paraId="006AA83A">
                  <w:pPr>
                    <w:pStyle w:val="74"/>
                    <w:rPr>
                      <w:rFonts w:hint="eastAsia"/>
                      <w:color w:val="auto"/>
                    </w:rPr>
                  </w:pPr>
                  <w:r>
                    <w:rPr>
                      <w:rFonts w:hint="eastAsia"/>
                      <w:color w:val="auto"/>
                    </w:rPr>
                    <w:t>产生量</w:t>
                  </w:r>
                </w:p>
              </w:tc>
              <w:tc>
                <w:tcPr>
                  <w:tcW w:w="1242" w:type="pct"/>
                  <w:gridSpan w:val="2"/>
                  <w:noWrap w:val="0"/>
                  <w:vAlign w:val="center"/>
                </w:tcPr>
                <w:p w14:paraId="629D5F21">
                  <w:pPr>
                    <w:pStyle w:val="74"/>
                    <w:rPr>
                      <w:rFonts w:hint="eastAsia" w:eastAsia="宋体"/>
                      <w:color w:val="auto"/>
                      <w:lang w:eastAsia="zh-CN"/>
                    </w:rPr>
                  </w:pPr>
                  <w:r>
                    <w:rPr>
                      <w:rFonts w:hint="eastAsia"/>
                      <w:color w:val="auto"/>
                    </w:rPr>
                    <w:t>有组织产生</w:t>
                  </w:r>
                  <w:r>
                    <w:rPr>
                      <w:rFonts w:hint="eastAsia"/>
                      <w:color w:val="auto"/>
                      <w:lang w:val="en-US" w:eastAsia="zh-CN"/>
                    </w:rPr>
                    <w:t>情况</w:t>
                  </w:r>
                </w:p>
              </w:tc>
              <w:tc>
                <w:tcPr>
                  <w:tcW w:w="1241" w:type="pct"/>
                  <w:gridSpan w:val="2"/>
                  <w:noWrap w:val="0"/>
                  <w:vAlign w:val="center"/>
                </w:tcPr>
                <w:p w14:paraId="323C16FE">
                  <w:pPr>
                    <w:pStyle w:val="74"/>
                    <w:rPr>
                      <w:rFonts w:hint="eastAsia"/>
                      <w:color w:val="auto"/>
                    </w:rPr>
                  </w:pPr>
                  <w:r>
                    <w:rPr>
                      <w:rFonts w:hint="eastAsia"/>
                      <w:color w:val="auto"/>
                    </w:rPr>
                    <w:t>无组织产生</w:t>
                  </w:r>
                  <w:r>
                    <w:rPr>
                      <w:rFonts w:hint="eastAsia"/>
                      <w:color w:val="auto"/>
                      <w:lang w:eastAsia="zh-CN"/>
                    </w:rPr>
                    <w:t>情况</w:t>
                  </w:r>
                </w:p>
              </w:tc>
            </w:tr>
            <w:tr w14:paraId="7FCAA2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jc w:val="center"/>
              </w:trPr>
              <w:tc>
                <w:tcPr>
                  <w:tcW w:w="638" w:type="pct"/>
                  <w:vMerge w:val="continue"/>
                  <w:noWrap w:val="0"/>
                  <w:vAlign w:val="center"/>
                </w:tcPr>
                <w:p w14:paraId="4EB541F8">
                  <w:pPr>
                    <w:pStyle w:val="74"/>
                    <w:rPr>
                      <w:rFonts w:hint="eastAsia"/>
                      <w:color w:val="auto"/>
                    </w:rPr>
                  </w:pPr>
                </w:p>
              </w:tc>
              <w:tc>
                <w:tcPr>
                  <w:tcW w:w="638" w:type="pct"/>
                  <w:vMerge w:val="continue"/>
                  <w:noWrap w:val="0"/>
                  <w:vAlign w:val="center"/>
                </w:tcPr>
                <w:p w14:paraId="21A883A0">
                  <w:pPr>
                    <w:pStyle w:val="74"/>
                    <w:rPr>
                      <w:rFonts w:hint="eastAsia"/>
                      <w:color w:val="auto"/>
                    </w:rPr>
                  </w:pPr>
                </w:p>
              </w:tc>
              <w:tc>
                <w:tcPr>
                  <w:tcW w:w="620" w:type="pct"/>
                  <w:noWrap w:val="0"/>
                  <w:vAlign w:val="center"/>
                </w:tcPr>
                <w:p w14:paraId="14C054AE">
                  <w:pPr>
                    <w:pStyle w:val="74"/>
                    <w:rPr>
                      <w:rFonts w:hint="eastAsia"/>
                      <w:color w:val="auto"/>
                    </w:rPr>
                  </w:pPr>
                  <w:r>
                    <w:rPr>
                      <w:rFonts w:hint="eastAsia"/>
                      <w:color w:val="auto"/>
                    </w:rPr>
                    <w:t>t</w:t>
                  </w:r>
                  <w:r>
                    <w:rPr>
                      <w:color w:val="auto"/>
                    </w:rPr>
                    <w:t>/a</w:t>
                  </w:r>
                </w:p>
              </w:tc>
              <w:tc>
                <w:tcPr>
                  <w:tcW w:w="621" w:type="pct"/>
                  <w:noWrap w:val="0"/>
                  <w:vAlign w:val="center"/>
                </w:tcPr>
                <w:p w14:paraId="4E0CB286">
                  <w:pPr>
                    <w:pStyle w:val="74"/>
                    <w:rPr>
                      <w:rFonts w:hint="eastAsia"/>
                      <w:color w:val="auto"/>
                    </w:rPr>
                  </w:pPr>
                  <w:r>
                    <w:rPr>
                      <w:rFonts w:hint="eastAsia"/>
                      <w:color w:val="auto"/>
                    </w:rPr>
                    <w:t>k</w:t>
                  </w:r>
                  <w:r>
                    <w:rPr>
                      <w:color w:val="auto"/>
                    </w:rPr>
                    <w:t>g/h</w:t>
                  </w:r>
                </w:p>
              </w:tc>
              <w:tc>
                <w:tcPr>
                  <w:tcW w:w="621" w:type="pct"/>
                  <w:noWrap w:val="0"/>
                  <w:vAlign w:val="center"/>
                </w:tcPr>
                <w:p w14:paraId="1427B009">
                  <w:pPr>
                    <w:pStyle w:val="74"/>
                    <w:rPr>
                      <w:rFonts w:hint="eastAsia"/>
                      <w:color w:val="auto"/>
                    </w:rPr>
                  </w:pPr>
                  <w:r>
                    <w:rPr>
                      <w:rFonts w:hint="eastAsia"/>
                      <w:color w:val="auto"/>
                    </w:rPr>
                    <w:t>t</w:t>
                  </w:r>
                  <w:r>
                    <w:rPr>
                      <w:color w:val="auto"/>
                    </w:rPr>
                    <w:t>/a</w:t>
                  </w:r>
                </w:p>
              </w:tc>
              <w:tc>
                <w:tcPr>
                  <w:tcW w:w="621" w:type="pct"/>
                  <w:noWrap w:val="0"/>
                  <w:vAlign w:val="center"/>
                </w:tcPr>
                <w:p w14:paraId="7A53D018">
                  <w:pPr>
                    <w:pStyle w:val="74"/>
                    <w:rPr>
                      <w:rFonts w:hint="eastAsia"/>
                      <w:color w:val="auto"/>
                    </w:rPr>
                  </w:pPr>
                  <w:r>
                    <w:rPr>
                      <w:rFonts w:hint="eastAsia"/>
                      <w:color w:val="auto"/>
                    </w:rPr>
                    <w:t>k</w:t>
                  </w:r>
                  <w:r>
                    <w:rPr>
                      <w:color w:val="auto"/>
                    </w:rPr>
                    <w:t>g/h</w:t>
                  </w:r>
                </w:p>
              </w:tc>
              <w:tc>
                <w:tcPr>
                  <w:tcW w:w="621" w:type="pct"/>
                  <w:noWrap w:val="0"/>
                  <w:vAlign w:val="center"/>
                </w:tcPr>
                <w:p w14:paraId="52C833AA">
                  <w:pPr>
                    <w:pStyle w:val="74"/>
                    <w:rPr>
                      <w:rFonts w:hint="eastAsia"/>
                      <w:color w:val="auto"/>
                    </w:rPr>
                  </w:pPr>
                  <w:r>
                    <w:rPr>
                      <w:rFonts w:hint="eastAsia"/>
                      <w:color w:val="auto"/>
                    </w:rPr>
                    <w:t>t</w:t>
                  </w:r>
                  <w:r>
                    <w:rPr>
                      <w:color w:val="auto"/>
                    </w:rPr>
                    <w:t>/a</w:t>
                  </w:r>
                </w:p>
              </w:tc>
              <w:tc>
                <w:tcPr>
                  <w:tcW w:w="620" w:type="pct"/>
                  <w:noWrap w:val="0"/>
                  <w:vAlign w:val="center"/>
                </w:tcPr>
                <w:p w14:paraId="52073E0A">
                  <w:pPr>
                    <w:pStyle w:val="74"/>
                    <w:rPr>
                      <w:rFonts w:hint="eastAsia"/>
                      <w:color w:val="auto"/>
                    </w:rPr>
                  </w:pPr>
                  <w:r>
                    <w:rPr>
                      <w:rFonts w:hint="eastAsia"/>
                      <w:color w:val="auto"/>
                    </w:rPr>
                    <w:t>k</w:t>
                  </w:r>
                  <w:r>
                    <w:rPr>
                      <w:color w:val="auto"/>
                    </w:rPr>
                    <w:t>g/h</w:t>
                  </w:r>
                </w:p>
              </w:tc>
            </w:tr>
            <w:tr w14:paraId="71B400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81" w:type="dxa"/>
                  <w:noWrap w:val="0"/>
                  <w:vAlign w:val="center"/>
                </w:tcPr>
                <w:p w14:paraId="527A3459">
                  <w:pPr>
                    <w:pStyle w:val="74"/>
                    <w:rPr>
                      <w:rFonts w:hint="eastAsia"/>
                      <w:color w:val="auto"/>
                    </w:rPr>
                  </w:pPr>
                  <w:r>
                    <w:rPr>
                      <w:rFonts w:hint="eastAsia"/>
                      <w:color w:val="auto"/>
                    </w:rPr>
                    <w:t>熔融挤出</w:t>
                  </w:r>
                </w:p>
              </w:tc>
              <w:tc>
                <w:tcPr>
                  <w:tcW w:w="1082" w:type="dxa"/>
                  <w:noWrap w:val="0"/>
                  <w:vAlign w:val="center"/>
                </w:tcPr>
                <w:p w14:paraId="2A9A3138">
                  <w:pPr>
                    <w:pStyle w:val="74"/>
                    <w:rPr>
                      <w:rFonts w:hint="eastAsia"/>
                      <w:color w:val="auto"/>
                    </w:rPr>
                  </w:pPr>
                  <w:r>
                    <w:rPr>
                      <w:rFonts w:hint="eastAsia"/>
                      <w:color w:val="auto"/>
                    </w:rPr>
                    <w:t>非甲烷</w:t>
                  </w:r>
                </w:p>
                <w:p w14:paraId="480EBC72">
                  <w:pPr>
                    <w:pStyle w:val="74"/>
                    <w:rPr>
                      <w:rFonts w:hint="eastAsia"/>
                      <w:color w:val="auto"/>
                    </w:rPr>
                  </w:pPr>
                  <w:r>
                    <w:rPr>
                      <w:rFonts w:hint="eastAsia"/>
                      <w:color w:val="auto"/>
                    </w:rPr>
                    <w:t>总烃</w:t>
                  </w:r>
                </w:p>
              </w:tc>
              <w:tc>
                <w:tcPr>
                  <w:tcW w:w="1051" w:type="dxa"/>
                  <w:noWrap w:val="0"/>
                  <w:vAlign w:val="center"/>
                </w:tcPr>
                <w:p w14:paraId="547A5C13">
                  <w:pPr>
                    <w:keepNext w:val="0"/>
                    <w:keepLines w:val="0"/>
                    <w:widowControl/>
                    <w:suppressLineNumbers w:val="0"/>
                    <w:jc w:val="center"/>
                    <w:textAlignment w:val="bottom"/>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3.15</w:t>
                  </w:r>
                </w:p>
              </w:tc>
              <w:tc>
                <w:tcPr>
                  <w:tcW w:w="1053" w:type="dxa"/>
                  <w:noWrap w:val="0"/>
                  <w:vAlign w:val="center"/>
                </w:tcPr>
                <w:p w14:paraId="47B2B15F">
                  <w:pPr>
                    <w:keepNext w:val="0"/>
                    <w:keepLines w:val="0"/>
                    <w:widowControl/>
                    <w:suppressLineNumbers w:val="0"/>
                    <w:jc w:val="center"/>
                    <w:textAlignment w:val="bottom"/>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1.19</w:t>
                  </w:r>
                  <w:r>
                    <w:rPr>
                      <w:rFonts w:hint="eastAsia" w:cs="Times New Roman"/>
                      <w:i w:val="0"/>
                      <w:iCs w:val="0"/>
                      <w:color w:val="auto"/>
                      <w:kern w:val="0"/>
                      <w:sz w:val="21"/>
                      <w:szCs w:val="21"/>
                      <w:u w:val="none"/>
                      <w:lang w:val="en-US" w:eastAsia="zh-CN" w:bidi="ar"/>
                    </w:rPr>
                    <w:t>3</w:t>
                  </w:r>
                </w:p>
              </w:tc>
              <w:tc>
                <w:tcPr>
                  <w:tcW w:w="1053" w:type="dxa"/>
                  <w:noWrap w:val="0"/>
                  <w:vAlign w:val="center"/>
                </w:tcPr>
                <w:p w14:paraId="7EE81436">
                  <w:pPr>
                    <w:keepNext w:val="0"/>
                    <w:keepLines w:val="0"/>
                    <w:widowControl/>
                    <w:suppressLineNumbers w:val="0"/>
                    <w:jc w:val="center"/>
                    <w:textAlignment w:val="bottom"/>
                    <w:rPr>
                      <w:rFonts w:hint="default"/>
                      <w:color w:val="auto"/>
                    </w:rPr>
                  </w:pPr>
                  <w:r>
                    <w:rPr>
                      <w:rFonts w:hint="default"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52</w:t>
                  </w:r>
                </w:p>
              </w:tc>
              <w:tc>
                <w:tcPr>
                  <w:tcW w:w="1053" w:type="dxa"/>
                  <w:noWrap w:val="0"/>
                  <w:vAlign w:val="center"/>
                </w:tcPr>
                <w:p w14:paraId="505516FB">
                  <w:pPr>
                    <w:keepNext w:val="0"/>
                    <w:keepLines w:val="0"/>
                    <w:widowControl/>
                    <w:suppressLineNumbers w:val="0"/>
                    <w:jc w:val="center"/>
                    <w:textAlignment w:val="bottom"/>
                    <w:rPr>
                      <w:rFonts w:hint="default"/>
                      <w:color w:val="auto"/>
                      <w:lang w:val="en-US"/>
                    </w:rPr>
                  </w:pPr>
                  <w:r>
                    <w:rPr>
                      <w:rFonts w:hint="eastAsia" w:cs="Times New Roman"/>
                      <w:i w:val="0"/>
                      <w:iCs w:val="0"/>
                      <w:color w:val="auto"/>
                      <w:kern w:val="0"/>
                      <w:sz w:val="21"/>
                      <w:szCs w:val="21"/>
                      <w:u w:val="none"/>
                      <w:lang w:val="en-US" w:eastAsia="zh-CN" w:bidi="ar"/>
                    </w:rPr>
                    <w:t>0.9545</w:t>
                  </w:r>
                </w:p>
              </w:tc>
              <w:tc>
                <w:tcPr>
                  <w:tcW w:w="1053" w:type="dxa"/>
                  <w:noWrap w:val="0"/>
                  <w:vAlign w:val="center"/>
                </w:tcPr>
                <w:p w14:paraId="3463BA54">
                  <w:pPr>
                    <w:keepNext w:val="0"/>
                    <w:keepLines w:val="0"/>
                    <w:widowControl/>
                    <w:suppressLineNumbers w:val="0"/>
                    <w:jc w:val="center"/>
                    <w:textAlignment w:val="bottom"/>
                    <w:rPr>
                      <w:rFonts w:hint="default"/>
                      <w:color w:val="auto"/>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63</w:t>
                  </w:r>
                </w:p>
              </w:tc>
              <w:tc>
                <w:tcPr>
                  <w:tcW w:w="1051" w:type="dxa"/>
                  <w:noWrap w:val="0"/>
                  <w:vAlign w:val="center"/>
                </w:tcPr>
                <w:p w14:paraId="6A3DBE71">
                  <w:pPr>
                    <w:keepNext w:val="0"/>
                    <w:keepLines w:val="0"/>
                    <w:widowControl/>
                    <w:suppressLineNumbers w:val="0"/>
                    <w:jc w:val="center"/>
                    <w:textAlignment w:val="bottom"/>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2386</w:t>
                  </w:r>
                  <w:r>
                    <w:rPr>
                      <w:rFonts w:hint="default" w:ascii="Times New Roman" w:hAnsi="Times New Roman" w:eastAsia="宋体" w:cs="Times New Roman"/>
                      <w:i w:val="0"/>
                      <w:iCs w:val="0"/>
                      <w:color w:val="auto"/>
                      <w:kern w:val="0"/>
                      <w:sz w:val="21"/>
                      <w:szCs w:val="21"/>
                      <w:u w:val="none"/>
                      <w:lang w:val="en-US" w:eastAsia="zh-CN" w:bidi="ar"/>
                    </w:rPr>
                    <w:t xml:space="preserve"> </w:t>
                  </w:r>
                </w:p>
              </w:tc>
            </w:tr>
          </w:tbl>
          <w:p w14:paraId="71A8029C">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color w:val="auto"/>
                <w:sz w:val="24"/>
                <w:szCs w:val="24"/>
              </w:rPr>
            </w:pPr>
            <w:bookmarkStart w:id="26" w:name="_Ref89880845"/>
            <w:r>
              <w:rPr>
                <w:rFonts w:hint="eastAsia" w:ascii="Times New Roman" w:hAnsi="Times New Roman" w:cs="Times New Roman"/>
                <w:b/>
                <w:bCs/>
                <w:color w:val="auto"/>
                <w:sz w:val="24"/>
                <w:szCs w:val="24"/>
                <w:lang w:val="en-US" w:eastAsia="zh-CN"/>
              </w:rPr>
              <w:t>表4.1-</w:t>
            </w:r>
            <w:r>
              <w:rPr>
                <w:rFonts w:hint="eastAsia"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 xml:space="preserve">  </w:t>
            </w:r>
            <w:r>
              <w:rPr>
                <w:rFonts w:hint="eastAsia" w:ascii="Times New Roman" w:hAnsi="Times New Roman" w:eastAsia="宋体" w:cs="Times New Roman"/>
                <w:b/>
                <w:bCs/>
                <w:color w:val="auto"/>
                <w:sz w:val="24"/>
                <w:szCs w:val="24"/>
              </w:rPr>
              <w:t>熔融</w:t>
            </w:r>
            <w:r>
              <w:rPr>
                <w:rFonts w:hint="eastAsia" w:ascii="Times New Roman" w:hAnsi="Times New Roman" w:cs="Times New Roman"/>
                <w:b/>
                <w:bCs/>
                <w:color w:val="auto"/>
                <w:sz w:val="24"/>
                <w:szCs w:val="24"/>
              </w:rPr>
              <w:t>废气</w:t>
            </w:r>
            <w:r>
              <w:rPr>
                <w:rFonts w:ascii="Times New Roman" w:hAnsi="Times New Roman" w:cs="Times New Roman"/>
                <w:b/>
                <w:bCs/>
                <w:color w:val="auto"/>
                <w:sz w:val="24"/>
                <w:szCs w:val="24"/>
              </w:rPr>
              <w:t>排放情况</w:t>
            </w:r>
            <w:bookmarkEnd w:id="26"/>
          </w:p>
          <w:tbl>
            <w:tblPr>
              <w:tblStyle w:val="23"/>
              <w:tblW w:w="847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6"/>
              <w:gridCol w:w="644"/>
              <w:gridCol w:w="653"/>
              <w:gridCol w:w="2327"/>
              <w:gridCol w:w="751"/>
              <w:gridCol w:w="714"/>
              <w:gridCol w:w="756"/>
              <w:gridCol w:w="799"/>
              <w:gridCol w:w="702"/>
              <w:gridCol w:w="697"/>
            </w:tblGrid>
            <w:tr w14:paraId="5FBBED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257" w:type="pct"/>
                  <w:vMerge w:val="restart"/>
                  <w:noWrap w:val="0"/>
                  <w:vAlign w:val="center"/>
                </w:tcPr>
                <w:p w14:paraId="5E4DD1CB">
                  <w:pPr>
                    <w:pStyle w:val="30"/>
                    <w:rPr>
                      <w:color w:val="auto"/>
                    </w:rPr>
                  </w:pPr>
                  <w:r>
                    <w:rPr>
                      <w:color w:val="auto"/>
                    </w:rPr>
                    <w:t>污染物</w:t>
                  </w:r>
                </w:p>
              </w:tc>
              <w:tc>
                <w:tcPr>
                  <w:tcW w:w="764" w:type="pct"/>
                  <w:gridSpan w:val="2"/>
                  <w:vMerge w:val="restart"/>
                  <w:noWrap w:val="0"/>
                  <w:vAlign w:val="center"/>
                </w:tcPr>
                <w:p w14:paraId="3D4B3BD3">
                  <w:pPr>
                    <w:pStyle w:val="30"/>
                    <w:rPr>
                      <w:color w:val="auto"/>
                    </w:rPr>
                  </w:pPr>
                  <w:r>
                    <w:rPr>
                      <w:color w:val="auto"/>
                    </w:rPr>
                    <w:t>产生量</w:t>
                  </w:r>
                </w:p>
              </w:tc>
              <w:tc>
                <w:tcPr>
                  <w:tcW w:w="1372" w:type="pct"/>
                  <w:vMerge w:val="restart"/>
                  <w:noWrap w:val="0"/>
                  <w:vAlign w:val="center"/>
                </w:tcPr>
                <w:p w14:paraId="6DC91C95">
                  <w:pPr>
                    <w:pStyle w:val="30"/>
                    <w:rPr>
                      <w:color w:val="auto"/>
                    </w:rPr>
                  </w:pPr>
                  <w:r>
                    <w:rPr>
                      <w:color w:val="auto"/>
                    </w:rPr>
                    <w:t>环保设施</w:t>
                  </w:r>
                </w:p>
              </w:tc>
              <w:tc>
                <w:tcPr>
                  <w:tcW w:w="1780" w:type="pct"/>
                  <w:gridSpan w:val="4"/>
                  <w:noWrap w:val="0"/>
                  <w:vAlign w:val="center"/>
                </w:tcPr>
                <w:p w14:paraId="24FB1CC4">
                  <w:pPr>
                    <w:pStyle w:val="30"/>
                    <w:rPr>
                      <w:color w:val="auto"/>
                    </w:rPr>
                  </w:pPr>
                  <w:r>
                    <w:rPr>
                      <w:rFonts w:hint="eastAsia"/>
                      <w:color w:val="auto"/>
                    </w:rPr>
                    <w:t>有组织</w:t>
                  </w:r>
                </w:p>
              </w:tc>
              <w:tc>
                <w:tcPr>
                  <w:tcW w:w="824" w:type="pct"/>
                  <w:gridSpan w:val="2"/>
                  <w:vMerge w:val="restart"/>
                  <w:noWrap w:val="0"/>
                  <w:vAlign w:val="center"/>
                </w:tcPr>
                <w:p w14:paraId="237DBA65">
                  <w:pPr>
                    <w:pStyle w:val="30"/>
                    <w:rPr>
                      <w:color w:val="auto"/>
                    </w:rPr>
                  </w:pPr>
                  <w:r>
                    <w:rPr>
                      <w:rFonts w:hint="eastAsia"/>
                      <w:color w:val="auto"/>
                    </w:rPr>
                    <w:t>无组织排放</w:t>
                  </w:r>
                </w:p>
              </w:tc>
            </w:tr>
            <w:tr w14:paraId="244F5E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257" w:type="pct"/>
                  <w:vMerge w:val="continue"/>
                  <w:noWrap w:val="0"/>
                  <w:vAlign w:val="center"/>
                </w:tcPr>
                <w:p w14:paraId="5F2F7BDA">
                  <w:pPr>
                    <w:pStyle w:val="30"/>
                    <w:rPr>
                      <w:color w:val="auto"/>
                    </w:rPr>
                  </w:pPr>
                </w:p>
              </w:tc>
              <w:tc>
                <w:tcPr>
                  <w:tcW w:w="764" w:type="pct"/>
                  <w:gridSpan w:val="2"/>
                  <w:vMerge w:val="continue"/>
                  <w:noWrap w:val="0"/>
                  <w:vAlign w:val="center"/>
                </w:tcPr>
                <w:p w14:paraId="5441ED22">
                  <w:pPr>
                    <w:pStyle w:val="30"/>
                    <w:rPr>
                      <w:color w:val="auto"/>
                    </w:rPr>
                  </w:pPr>
                </w:p>
              </w:tc>
              <w:tc>
                <w:tcPr>
                  <w:tcW w:w="1372" w:type="pct"/>
                  <w:vMerge w:val="continue"/>
                  <w:noWrap w:val="0"/>
                  <w:vAlign w:val="center"/>
                </w:tcPr>
                <w:p w14:paraId="0F5B6B45">
                  <w:pPr>
                    <w:pStyle w:val="30"/>
                    <w:rPr>
                      <w:color w:val="auto"/>
                    </w:rPr>
                  </w:pPr>
                </w:p>
              </w:tc>
              <w:tc>
                <w:tcPr>
                  <w:tcW w:w="863" w:type="pct"/>
                  <w:gridSpan w:val="2"/>
                  <w:noWrap w:val="0"/>
                  <w:vAlign w:val="center"/>
                </w:tcPr>
                <w:p w14:paraId="2823AE4B">
                  <w:pPr>
                    <w:pStyle w:val="30"/>
                    <w:rPr>
                      <w:rFonts w:hint="eastAsia"/>
                      <w:color w:val="auto"/>
                    </w:rPr>
                  </w:pPr>
                  <w:r>
                    <w:rPr>
                      <w:rFonts w:hint="eastAsia"/>
                      <w:color w:val="auto"/>
                    </w:rPr>
                    <w:t>排放速率</w:t>
                  </w:r>
                </w:p>
              </w:tc>
              <w:tc>
                <w:tcPr>
                  <w:tcW w:w="445" w:type="pct"/>
                  <w:noWrap w:val="0"/>
                  <w:vAlign w:val="center"/>
                </w:tcPr>
                <w:p w14:paraId="0A243373">
                  <w:pPr>
                    <w:pStyle w:val="30"/>
                    <w:rPr>
                      <w:color w:val="auto"/>
                    </w:rPr>
                  </w:pPr>
                  <w:r>
                    <w:rPr>
                      <w:rFonts w:hint="eastAsia"/>
                      <w:color w:val="auto"/>
                    </w:rPr>
                    <w:t>风量</w:t>
                  </w:r>
                </w:p>
              </w:tc>
              <w:tc>
                <w:tcPr>
                  <w:tcW w:w="471" w:type="pct"/>
                  <w:noWrap w:val="0"/>
                  <w:vAlign w:val="center"/>
                </w:tcPr>
                <w:p w14:paraId="7A6FF741">
                  <w:pPr>
                    <w:pStyle w:val="30"/>
                    <w:rPr>
                      <w:color w:val="auto"/>
                    </w:rPr>
                  </w:pPr>
                  <w:r>
                    <w:rPr>
                      <w:rFonts w:hint="eastAsia"/>
                      <w:color w:val="auto"/>
                    </w:rPr>
                    <w:t>浓度</w:t>
                  </w:r>
                </w:p>
              </w:tc>
              <w:tc>
                <w:tcPr>
                  <w:tcW w:w="824" w:type="pct"/>
                  <w:gridSpan w:val="2"/>
                  <w:vMerge w:val="continue"/>
                  <w:noWrap w:val="0"/>
                  <w:vAlign w:val="center"/>
                </w:tcPr>
                <w:p w14:paraId="048BCE65">
                  <w:pPr>
                    <w:pStyle w:val="30"/>
                    <w:rPr>
                      <w:color w:val="auto"/>
                    </w:rPr>
                  </w:pPr>
                </w:p>
              </w:tc>
            </w:tr>
            <w:tr w14:paraId="4EB5EA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Merge w:val="continue"/>
                  <w:noWrap w:val="0"/>
                  <w:vAlign w:val="center"/>
                </w:tcPr>
                <w:p w14:paraId="3BEF58FB">
                  <w:pPr>
                    <w:pStyle w:val="30"/>
                    <w:rPr>
                      <w:color w:val="auto"/>
                    </w:rPr>
                  </w:pPr>
                </w:p>
              </w:tc>
              <w:tc>
                <w:tcPr>
                  <w:tcW w:w="379" w:type="pct"/>
                  <w:noWrap w:val="0"/>
                  <w:vAlign w:val="center"/>
                </w:tcPr>
                <w:p w14:paraId="4BD132C4">
                  <w:pPr>
                    <w:pStyle w:val="74"/>
                    <w:rPr>
                      <w:color w:val="auto"/>
                    </w:rPr>
                  </w:pPr>
                  <w:r>
                    <w:rPr>
                      <w:rFonts w:hint="eastAsia"/>
                      <w:color w:val="auto"/>
                    </w:rPr>
                    <w:t>t</w:t>
                  </w:r>
                  <w:r>
                    <w:rPr>
                      <w:color w:val="auto"/>
                    </w:rPr>
                    <w:t>/a</w:t>
                  </w:r>
                </w:p>
              </w:tc>
              <w:tc>
                <w:tcPr>
                  <w:tcW w:w="385" w:type="pct"/>
                  <w:noWrap w:val="0"/>
                  <w:vAlign w:val="center"/>
                </w:tcPr>
                <w:p w14:paraId="6B66A51F">
                  <w:pPr>
                    <w:pStyle w:val="74"/>
                    <w:rPr>
                      <w:color w:val="auto"/>
                    </w:rPr>
                  </w:pPr>
                  <w:r>
                    <w:rPr>
                      <w:rFonts w:hint="eastAsia"/>
                      <w:color w:val="auto"/>
                    </w:rPr>
                    <w:t>k</w:t>
                  </w:r>
                  <w:r>
                    <w:rPr>
                      <w:color w:val="auto"/>
                    </w:rPr>
                    <w:t>g/h</w:t>
                  </w:r>
                </w:p>
              </w:tc>
              <w:tc>
                <w:tcPr>
                  <w:tcW w:w="1372" w:type="pct"/>
                  <w:vMerge w:val="continue"/>
                  <w:noWrap w:val="0"/>
                  <w:vAlign w:val="center"/>
                </w:tcPr>
                <w:p w14:paraId="2FFFA8AF">
                  <w:pPr>
                    <w:pStyle w:val="30"/>
                    <w:rPr>
                      <w:color w:val="auto"/>
                    </w:rPr>
                  </w:pPr>
                </w:p>
              </w:tc>
              <w:tc>
                <w:tcPr>
                  <w:tcW w:w="442" w:type="pct"/>
                  <w:noWrap w:val="0"/>
                  <w:vAlign w:val="center"/>
                </w:tcPr>
                <w:p w14:paraId="42E08D28">
                  <w:pPr>
                    <w:pStyle w:val="30"/>
                    <w:rPr>
                      <w:color w:val="auto"/>
                    </w:rPr>
                  </w:pPr>
                  <w:r>
                    <w:rPr>
                      <w:rFonts w:hint="eastAsia"/>
                      <w:color w:val="auto"/>
                    </w:rPr>
                    <w:t>t</w:t>
                  </w:r>
                  <w:r>
                    <w:rPr>
                      <w:color w:val="auto"/>
                    </w:rPr>
                    <w:t>/a</w:t>
                  </w:r>
                </w:p>
              </w:tc>
              <w:tc>
                <w:tcPr>
                  <w:tcW w:w="421" w:type="pct"/>
                  <w:noWrap w:val="0"/>
                  <w:vAlign w:val="center"/>
                </w:tcPr>
                <w:p w14:paraId="7DB495A1">
                  <w:pPr>
                    <w:pStyle w:val="30"/>
                    <w:rPr>
                      <w:color w:val="auto"/>
                    </w:rPr>
                  </w:pPr>
                  <w:r>
                    <w:rPr>
                      <w:rFonts w:hint="eastAsia"/>
                      <w:color w:val="auto"/>
                    </w:rPr>
                    <w:t>k</w:t>
                  </w:r>
                  <w:r>
                    <w:rPr>
                      <w:color w:val="auto"/>
                    </w:rPr>
                    <w:t>g/h</w:t>
                  </w:r>
                </w:p>
              </w:tc>
              <w:tc>
                <w:tcPr>
                  <w:tcW w:w="445" w:type="pct"/>
                  <w:noWrap w:val="0"/>
                  <w:vAlign w:val="center"/>
                </w:tcPr>
                <w:p w14:paraId="77DA4958">
                  <w:pPr>
                    <w:pStyle w:val="30"/>
                    <w:rPr>
                      <w:color w:val="auto"/>
                    </w:rPr>
                  </w:pPr>
                  <w:r>
                    <w:rPr>
                      <w:color w:val="auto"/>
                    </w:rPr>
                    <w:t>m</w:t>
                  </w:r>
                  <w:r>
                    <w:rPr>
                      <w:color w:val="auto"/>
                      <w:vertAlign w:val="superscript"/>
                    </w:rPr>
                    <w:t>3</w:t>
                  </w:r>
                  <w:r>
                    <w:rPr>
                      <w:color w:val="auto"/>
                    </w:rPr>
                    <w:t>/h</w:t>
                  </w:r>
                </w:p>
              </w:tc>
              <w:tc>
                <w:tcPr>
                  <w:tcW w:w="471" w:type="pct"/>
                  <w:noWrap w:val="0"/>
                  <w:vAlign w:val="center"/>
                </w:tcPr>
                <w:p w14:paraId="7DDBDB01">
                  <w:pPr>
                    <w:pStyle w:val="30"/>
                    <w:rPr>
                      <w:color w:val="auto"/>
                    </w:rPr>
                  </w:pPr>
                  <w:r>
                    <w:rPr>
                      <w:color w:val="auto"/>
                    </w:rPr>
                    <w:t>mg/m</w:t>
                  </w:r>
                  <w:r>
                    <w:rPr>
                      <w:color w:val="auto"/>
                      <w:vertAlign w:val="superscript"/>
                    </w:rPr>
                    <w:t>3</w:t>
                  </w:r>
                </w:p>
              </w:tc>
              <w:tc>
                <w:tcPr>
                  <w:tcW w:w="413" w:type="pct"/>
                  <w:noWrap w:val="0"/>
                  <w:vAlign w:val="center"/>
                </w:tcPr>
                <w:p w14:paraId="1D89602D">
                  <w:pPr>
                    <w:pStyle w:val="30"/>
                    <w:rPr>
                      <w:color w:val="auto"/>
                    </w:rPr>
                  </w:pPr>
                  <w:r>
                    <w:rPr>
                      <w:rFonts w:hint="eastAsia"/>
                      <w:color w:val="auto"/>
                    </w:rPr>
                    <w:t>t</w:t>
                  </w:r>
                  <w:r>
                    <w:rPr>
                      <w:color w:val="auto"/>
                    </w:rPr>
                    <w:t>/a</w:t>
                  </w:r>
                </w:p>
              </w:tc>
              <w:tc>
                <w:tcPr>
                  <w:tcW w:w="411" w:type="pct"/>
                  <w:noWrap w:val="0"/>
                  <w:vAlign w:val="center"/>
                </w:tcPr>
                <w:p w14:paraId="455F63F5">
                  <w:pPr>
                    <w:pStyle w:val="30"/>
                    <w:rPr>
                      <w:color w:val="auto"/>
                    </w:rPr>
                  </w:pPr>
                  <w:r>
                    <w:rPr>
                      <w:rFonts w:hint="eastAsia"/>
                      <w:color w:val="auto"/>
                    </w:rPr>
                    <w:t>k</w:t>
                  </w:r>
                  <w:r>
                    <w:rPr>
                      <w:color w:val="auto"/>
                    </w:rPr>
                    <w:t>g/h</w:t>
                  </w:r>
                </w:p>
              </w:tc>
            </w:tr>
            <w:tr w14:paraId="0966C2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noWrap w:val="0"/>
                  <w:vAlign w:val="center"/>
                </w:tcPr>
                <w:p w14:paraId="796FFCC6">
                  <w:pPr>
                    <w:pStyle w:val="30"/>
                    <w:rPr>
                      <w:color w:val="auto"/>
                    </w:rPr>
                  </w:pPr>
                  <w:r>
                    <w:rPr>
                      <w:rFonts w:hint="eastAsia"/>
                      <w:color w:val="auto"/>
                    </w:rPr>
                    <w:t>非甲烷总烃</w:t>
                  </w:r>
                </w:p>
              </w:tc>
              <w:tc>
                <w:tcPr>
                  <w:tcW w:w="379" w:type="pct"/>
                  <w:noWrap w:val="0"/>
                  <w:vAlign w:val="center"/>
                </w:tcPr>
                <w:p w14:paraId="0A1D9C6A">
                  <w:pPr>
                    <w:keepNext w:val="0"/>
                    <w:keepLines w:val="0"/>
                    <w:widowControl/>
                    <w:suppressLineNumbers w:val="0"/>
                    <w:jc w:val="center"/>
                    <w:textAlignment w:val="bottom"/>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w:t>
                  </w:r>
                  <w:r>
                    <w:rPr>
                      <w:rFonts w:hint="default" w:ascii="Times New Roman" w:hAnsi="Times New Roman" w:eastAsia="宋体" w:cs="Times New Roman"/>
                      <w:i w:val="0"/>
                      <w:iCs w:val="0"/>
                      <w:color w:val="auto"/>
                      <w:kern w:val="0"/>
                      <w:sz w:val="21"/>
                      <w:szCs w:val="21"/>
                      <w:u w:val="none"/>
                      <w:lang w:val="en-US" w:eastAsia="zh-CN" w:bidi="ar"/>
                    </w:rPr>
                    <w:t>.</w:t>
                  </w:r>
                  <w:r>
                    <w:rPr>
                      <w:rFonts w:hint="eastAsia" w:cs="Times New Roman"/>
                      <w:i w:val="0"/>
                      <w:iCs w:val="0"/>
                      <w:color w:val="auto"/>
                      <w:kern w:val="0"/>
                      <w:sz w:val="21"/>
                      <w:szCs w:val="21"/>
                      <w:u w:val="none"/>
                      <w:lang w:val="en-US" w:eastAsia="zh-CN" w:bidi="ar"/>
                    </w:rPr>
                    <w:t>52</w:t>
                  </w:r>
                </w:p>
              </w:tc>
              <w:tc>
                <w:tcPr>
                  <w:tcW w:w="385" w:type="pct"/>
                  <w:noWrap w:val="0"/>
                  <w:vAlign w:val="center"/>
                </w:tcPr>
                <w:p w14:paraId="48498582">
                  <w:pPr>
                    <w:keepNext w:val="0"/>
                    <w:keepLines w:val="0"/>
                    <w:widowControl/>
                    <w:suppressLineNumbers w:val="0"/>
                    <w:jc w:val="center"/>
                    <w:textAlignment w:val="bottom"/>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0.9545</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1372" w:type="pct"/>
                  <w:noWrap w:val="0"/>
                  <w:vAlign w:val="center"/>
                </w:tcPr>
                <w:p w14:paraId="195C3A66">
                  <w:pPr>
                    <w:pStyle w:val="69"/>
                    <w:rPr>
                      <w:color w:val="auto"/>
                    </w:rPr>
                  </w:pPr>
                  <w:r>
                    <w:rPr>
                      <w:color w:val="auto"/>
                    </w:rPr>
                    <w:t>集气</w:t>
                  </w:r>
                  <w:r>
                    <w:rPr>
                      <w:rFonts w:hint="eastAsia"/>
                      <w:color w:val="auto"/>
                      <w:lang w:eastAsia="zh-CN"/>
                    </w:rPr>
                    <w:t>系统</w:t>
                  </w:r>
                  <w:r>
                    <w:rPr>
                      <w:color w:val="auto"/>
                    </w:rPr>
                    <w:t>+</w:t>
                  </w:r>
                  <w:r>
                    <w:rPr>
                      <w:rFonts w:hint="eastAsia"/>
                      <w:color w:val="auto"/>
                    </w:rPr>
                    <w:t>二级活性炭</w:t>
                  </w:r>
                </w:p>
                <w:p w14:paraId="40EC4207">
                  <w:pPr>
                    <w:pStyle w:val="69"/>
                    <w:rPr>
                      <w:color w:val="auto"/>
                    </w:rPr>
                  </w:pPr>
                  <w:r>
                    <w:rPr>
                      <w:color w:val="auto"/>
                    </w:rPr>
                    <w:t>排气筒(DA001)排放</w:t>
                  </w:r>
                </w:p>
                <w:p w14:paraId="53F31AE1">
                  <w:pPr>
                    <w:pStyle w:val="69"/>
                    <w:rPr>
                      <w:color w:val="auto"/>
                    </w:rPr>
                  </w:pPr>
                  <w:r>
                    <w:rPr>
                      <w:color w:val="auto"/>
                    </w:rPr>
                    <w:t>收集率：</w:t>
                  </w:r>
                  <w:r>
                    <w:rPr>
                      <w:rFonts w:hint="eastAsia"/>
                      <w:color w:val="auto"/>
                      <w:lang w:eastAsia="zh-CN"/>
                    </w:rPr>
                    <w:t>8</w:t>
                  </w:r>
                  <w:r>
                    <w:rPr>
                      <w:color w:val="auto"/>
                    </w:rPr>
                    <w:t>0%</w:t>
                  </w:r>
                </w:p>
                <w:p w14:paraId="0794C06F">
                  <w:pPr>
                    <w:pStyle w:val="69"/>
                    <w:rPr>
                      <w:color w:val="auto"/>
                    </w:rPr>
                  </w:pPr>
                  <w:r>
                    <w:rPr>
                      <w:rFonts w:hint="eastAsia"/>
                      <w:color w:val="auto"/>
                      <w:lang w:eastAsia="zh-CN"/>
                    </w:rPr>
                    <w:t>处理</w:t>
                  </w:r>
                  <w:r>
                    <w:rPr>
                      <w:color w:val="auto"/>
                    </w:rPr>
                    <w:t>效率：</w:t>
                  </w:r>
                  <w:r>
                    <w:rPr>
                      <w:rFonts w:hint="eastAsia"/>
                      <w:color w:val="auto"/>
                      <w:lang w:val="en-US" w:eastAsia="zh-CN"/>
                    </w:rPr>
                    <w:t>75</w:t>
                  </w:r>
                  <w:r>
                    <w:rPr>
                      <w:color w:val="auto"/>
                    </w:rPr>
                    <w:t>%</w:t>
                  </w:r>
                </w:p>
                <w:p w14:paraId="34992F47">
                  <w:pPr>
                    <w:pStyle w:val="30"/>
                    <w:rPr>
                      <w:color w:val="auto"/>
                    </w:rPr>
                  </w:pPr>
                  <w:r>
                    <w:rPr>
                      <w:color w:val="auto"/>
                    </w:rPr>
                    <w:t>为可行技术</w:t>
                  </w:r>
                </w:p>
              </w:tc>
              <w:tc>
                <w:tcPr>
                  <w:tcW w:w="751" w:type="dxa"/>
                  <w:noWrap w:val="0"/>
                  <w:vAlign w:val="center"/>
                </w:tcPr>
                <w:p w14:paraId="5EBE86D2">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63</w:t>
                  </w:r>
                </w:p>
              </w:tc>
              <w:tc>
                <w:tcPr>
                  <w:tcW w:w="714" w:type="dxa"/>
                  <w:noWrap w:val="0"/>
                  <w:vAlign w:val="center"/>
                </w:tcPr>
                <w:p w14:paraId="25AEB4F7">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0.2</w:t>
                  </w:r>
                  <w:r>
                    <w:rPr>
                      <w:rFonts w:hint="eastAsia" w:cs="Times New Roman"/>
                      <w:i w:val="0"/>
                      <w:iCs w:val="0"/>
                      <w:color w:val="auto"/>
                      <w:kern w:val="0"/>
                      <w:sz w:val="21"/>
                      <w:szCs w:val="21"/>
                      <w:u w:val="none"/>
                      <w:lang w:val="en-US" w:eastAsia="zh-CN" w:bidi="ar"/>
                    </w:rPr>
                    <w:t>386</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756" w:type="dxa"/>
                  <w:noWrap w:val="0"/>
                  <w:vAlign w:val="center"/>
                </w:tcPr>
                <w:p w14:paraId="5F7EF523">
                  <w:pPr>
                    <w:keepNext w:val="0"/>
                    <w:keepLines w:val="0"/>
                    <w:widowControl/>
                    <w:suppressLineNumbers w:val="0"/>
                    <w:jc w:val="center"/>
                    <w:textAlignment w:val="center"/>
                    <w:rPr>
                      <w:rFonts w:hint="default"/>
                      <w:color w:val="auto"/>
                      <w:lang w:val="en-US"/>
                    </w:rPr>
                  </w:pPr>
                  <w:r>
                    <w:rPr>
                      <w:rFonts w:hint="eastAsia" w:cs="Times New Roman"/>
                      <w:i w:val="0"/>
                      <w:iCs w:val="0"/>
                      <w:color w:val="auto"/>
                      <w:kern w:val="0"/>
                      <w:sz w:val="21"/>
                      <w:szCs w:val="21"/>
                      <w:u w:val="none"/>
                      <w:lang w:val="en-US" w:eastAsia="zh-CN" w:bidi="ar"/>
                    </w:rPr>
                    <w:t>5</w:t>
                  </w:r>
                  <w:r>
                    <w:rPr>
                      <w:rFonts w:hint="default" w:ascii="Times New Roman" w:hAnsi="Times New Roman" w:eastAsia="宋体"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0</w:t>
                  </w:r>
                </w:p>
              </w:tc>
              <w:tc>
                <w:tcPr>
                  <w:tcW w:w="799" w:type="dxa"/>
                  <w:noWrap w:val="0"/>
                  <w:vAlign w:val="center"/>
                </w:tcPr>
                <w:p w14:paraId="539C98A8">
                  <w:pPr>
                    <w:keepNext w:val="0"/>
                    <w:keepLines w:val="0"/>
                    <w:widowControl/>
                    <w:suppressLineNumbers w:val="0"/>
                    <w:jc w:val="center"/>
                    <w:textAlignment w:val="center"/>
                    <w:rPr>
                      <w:color w:val="auto"/>
                    </w:rPr>
                  </w:pPr>
                  <w:r>
                    <w:rPr>
                      <w:rFonts w:hint="eastAsia" w:cs="Times New Roman"/>
                      <w:i w:val="0"/>
                      <w:iCs w:val="0"/>
                      <w:color w:val="auto"/>
                      <w:kern w:val="0"/>
                      <w:sz w:val="21"/>
                      <w:szCs w:val="21"/>
                      <w:u w:val="none"/>
                      <w:lang w:val="en-US" w:eastAsia="zh-CN" w:bidi="ar"/>
                    </w:rPr>
                    <w:t>47.72</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702" w:type="dxa"/>
                  <w:noWrap w:val="0"/>
                  <w:vAlign w:val="center"/>
                </w:tcPr>
                <w:p w14:paraId="371FD981">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63</w:t>
                  </w:r>
                </w:p>
              </w:tc>
              <w:tc>
                <w:tcPr>
                  <w:tcW w:w="697" w:type="dxa"/>
                  <w:noWrap w:val="0"/>
                  <w:vAlign w:val="center"/>
                </w:tcPr>
                <w:p w14:paraId="048B66B2">
                  <w:pPr>
                    <w:keepNext w:val="0"/>
                    <w:keepLines w:val="0"/>
                    <w:widowControl/>
                    <w:suppressLineNumbers w:val="0"/>
                    <w:jc w:val="center"/>
                    <w:textAlignment w:val="center"/>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2386</w:t>
                  </w:r>
                </w:p>
              </w:tc>
            </w:tr>
          </w:tbl>
          <w:p w14:paraId="76A8BA97">
            <w:pPr>
              <w:pStyle w:val="19"/>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rPr>
            </w:pPr>
            <w:r>
              <w:rPr>
                <w:rFonts w:hint="default" w:ascii="Times New Roman" w:hAnsi="Times New Roman" w:eastAsia="宋体" w:cs="Times New Roman"/>
                <w:b w:val="0"/>
                <w:bCs/>
                <w:color w:val="auto"/>
                <w:kern w:val="2"/>
                <w:sz w:val="24"/>
                <w:szCs w:val="24"/>
                <w:lang w:val="en-US" w:eastAsia="zh-CN" w:bidi="ar-SA"/>
              </w:rPr>
              <w:t>本项目</w:t>
            </w:r>
            <w:r>
              <w:rPr>
                <w:rFonts w:hint="eastAsia" w:ascii="Times New Roman" w:hAnsi="Times New Roman" w:eastAsia="宋体" w:cs="Times New Roman"/>
                <w:b w:val="0"/>
                <w:bCs/>
                <w:color w:val="auto"/>
                <w:kern w:val="2"/>
                <w:sz w:val="24"/>
                <w:szCs w:val="24"/>
                <w:lang w:val="en-US" w:eastAsia="zh-CN" w:bidi="ar-SA"/>
              </w:rPr>
              <w:t>熔融挤出</w:t>
            </w:r>
            <w:r>
              <w:rPr>
                <w:rFonts w:hint="default" w:ascii="Times New Roman" w:hAnsi="Times New Roman" w:eastAsia="宋体" w:cs="Times New Roman"/>
                <w:b w:val="0"/>
                <w:bCs/>
                <w:color w:val="auto"/>
                <w:kern w:val="2"/>
                <w:sz w:val="24"/>
                <w:szCs w:val="24"/>
                <w:lang w:val="en-US" w:eastAsia="zh-CN" w:bidi="ar-SA"/>
              </w:rPr>
              <w:t>过程中会有少量异味（恶臭）产生，本次评价不予定量分析</w:t>
            </w:r>
            <w:r>
              <w:rPr>
                <w:rFonts w:hint="eastAsia" w:ascii="Times New Roman" w:hAnsi="Times New Roman" w:eastAsia="宋体" w:cs="Times New Roman"/>
                <w:b w:val="0"/>
                <w:bCs/>
                <w:color w:val="auto"/>
                <w:kern w:val="2"/>
                <w:sz w:val="24"/>
                <w:szCs w:val="24"/>
                <w:lang w:val="en-US" w:eastAsia="zh-CN" w:bidi="ar-SA"/>
              </w:rPr>
              <w:t>。</w:t>
            </w:r>
            <w:r>
              <w:rPr>
                <w:rFonts w:hint="default" w:ascii="Times New Roman" w:hAnsi="Times New Roman" w:eastAsia="宋体" w:cs="Times New Roman"/>
                <w:color w:val="auto"/>
                <w:sz w:val="24"/>
                <w:szCs w:val="22"/>
                <w:lang w:val="en-US" w:eastAsia="zh-CN" w:bidi="ar-SA"/>
              </w:rPr>
              <w:t>经集气罩收集后采用二级活性炭吸附装置处理达标后通过15m排气筒排放（DA001）</w:t>
            </w:r>
            <w:r>
              <w:rPr>
                <w:rFonts w:hint="default" w:ascii="Times New Roman" w:hAnsi="Times New Roman" w:cs="Times New Roman"/>
                <w:b w:val="0"/>
                <w:bCs/>
                <w:color w:val="auto"/>
                <w:sz w:val="24"/>
                <w:szCs w:val="24"/>
                <w:lang w:val="en-US" w:eastAsia="zh-CN"/>
              </w:rPr>
              <w:t>。</w:t>
            </w:r>
          </w:p>
          <w:p w14:paraId="001E3B75">
            <w:pPr>
              <w:pStyle w:val="55"/>
              <w:ind w:left="0" w:leftChars="0" w:firstLine="482" w:firstLineChars="200"/>
              <w:rPr>
                <w:b/>
                <w:bCs/>
                <w:color w:val="auto"/>
                <w:sz w:val="24"/>
                <w:szCs w:val="24"/>
              </w:rPr>
            </w:pPr>
            <w:r>
              <w:rPr>
                <w:rFonts w:hint="eastAsia"/>
                <w:b/>
                <w:bCs/>
                <w:color w:val="auto"/>
                <w:sz w:val="24"/>
                <w:szCs w:val="24"/>
              </w:rPr>
              <w:t>（2）</w:t>
            </w:r>
            <w:r>
              <w:rPr>
                <w:rFonts w:hint="eastAsia"/>
                <w:b/>
                <w:bCs/>
                <w:color w:val="auto"/>
                <w:sz w:val="24"/>
                <w:szCs w:val="24"/>
                <w:lang w:eastAsia="zh-CN"/>
              </w:rPr>
              <w:t>称量、</w:t>
            </w:r>
            <w:r>
              <w:rPr>
                <w:rFonts w:hint="eastAsia"/>
                <w:b/>
                <w:bCs/>
                <w:color w:val="auto"/>
                <w:sz w:val="24"/>
                <w:szCs w:val="24"/>
                <w:lang w:val="en-US" w:eastAsia="zh-CN"/>
              </w:rPr>
              <w:t>上料、混料</w:t>
            </w:r>
            <w:r>
              <w:rPr>
                <w:b/>
                <w:bCs/>
                <w:color w:val="auto"/>
                <w:sz w:val="24"/>
                <w:szCs w:val="24"/>
              </w:rPr>
              <w:t>粉尘</w:t>
            </w:r>
          </w:p>
          <w:p w14:paraId="5C3000ED">
            <w:pPr>
              <w:pStyle w:val="116"/>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color w:val="auto"/>
              </w:rPr>
              <w:t>根据工艺流程分析，项目原料中HDPE、色母为粒</w:t>
            </w:r>
            <w:r>
              <w:rPr>
                <w:rFonts w:hint="eastAsia" w:cs="Times New Roman"/>
                <w:color w:val="auto"/>
                <w:lang w:eastAsia="zh-CN"/>
              </w:rPr>
              <w:t>状</w:t>
            </w:r>
            <w:r>
              <w:rPr>
                <w:rFonts w:hint="default" w:ascii="Times New Roman" w:hAnsi="Times New Roman" w:eastAsia="宋体" w:cs="Times New Roman"/>
                <w:color w:val="auto"/>
              </w:rPr>
              <w:t>原料，改性剂为粉状原料，</w:t>
            </w:r>
            <w:r>
              <w:rPr>
                <w:rFonts w:hint="default" w:ascii="Times New Roman" w:hAnsi="Times New Roman" w:eastAsia="宋体" w:cs="Times New Roman"/>
                <w:b w:val="0"/>
                <w:bCs w:val="0"/>
                <w:color w:val="auto"/>
              </w:rPr>
              <w:t>因此项目</w:t>
            </w:r>
            <w:r>
              <w:rPr>
                <w:rFonts w:hint="default" w:ascii="Times New Roman" w:hAnsi="Times New Roman" w:eastAsia="宋体" w:cs="Times New Roman"/>
                <w:b w:val="0"/>
                <w:bCs w:val="0"/>
                <w:color w:val="auto"/>
                <w:sz w:val="24"/>
                <w:szCs w:val="24"/>
                <w:lang w:eastAsia="zh-CN"/>
              </w:rPr>
              <w:t>称量、</w:t>
            </w:r>
            <w:r>
              <w:rPr>
                <w:rFonts w:hint="default" w:ascii="Times New Roman" w:hAnsi="Times New Roman" w:eastAsia="宋体" w:cs="Times New Roman"/>
                <w:b w:val="0"/>
                <w:bCs w:val="0"/>
                <w:color w:val="auto"/>
                <w:sz w:val="24"/>
                <w:szCs w:val="24"/>
                <w:lang w:val="en-US" w:eastAsia="zh-CN"/>
              </w:rPr>
              <w:t>上料、混料</w:t>
            </w:r>
            <w:r>
              <w:rPr>
                <w:rFonts w:hint="default" w:ascii="Times New Roman" w:hAnsi="Times New Roman" w:eastAsia="宋体" w:cs="Times New Roman"/>
                <w:b w:val="0"/>
                <w:bCs w:val="0"/>
                <w:color w:val="auto"/>
              </w:rPr>
              <w:t>工序产生的粉尘主要来自改性剂，倒入料斗产生的少量粉尘。粉尘废气参照《</w:t>
            </w:r>
            <w:r>
              <w:rPr>
                <w:rFonts w:hint="default" w:ascii="Times New Roman" w:hAnsi="Times New Roman" w:eastAsia="宋体" w:cs="Times New Roman"/>
                <w:b w:val="0"/>
                <w:bCs w:val="0"/>
                <w:color w:val="auto"/>
                <w:lang w:eastAsia="zh-CN"/>
              </w:rPr>
              <w:t>排放源统计调查产排污核算方法和系数手册</w:t>
            </w:r>
            <w:r>
              <w:rPr>
                <w:rFonts w:hint="default" w:ascii="Times New Roman" w:hAnsi="Times New Roman" w:eastAsia="宋体" w:cs="Times New Roman"/>
                <w:b w:val="0"/>
                <w:bCs w:val="0"/>
                <w:color w:val="auto"/>
              </w:rPr>
              <w:t>》2922塑料板、管、型材制造行业的粉尘产污系数，</w:t>
            </w:r>
            <w:r>
              <w:rPr>
                <w:rFonts w:hint="default" w:ascii="Times New Roman" w:hAnsi="Times New Roman" w:eastAsia="宋体" w:cs="Times New Roman"/>
                <w:b w:val="0"/>
                <w:bCs w:val="0"/>
                <w:color w:val="auto"/>
                <w:sz w:val="24"/>
                <w:szCs w:val="24"/>
              </w:rPr>
              <w:t>详见</w:t>
            </w: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REF _Ref69742870 \r \h  \* MERGEFORMAT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 w:val="0"/>
                <w:bCs w:val="0"/>
                <w:color w:val="auto"/>
                <w:sz w:val="24"/>
                <w:szCs w:val="24"/>
              </w:rPr>
              <w:t>表4.1-4</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color w:val="auto"/>
                <w:sz w:val="24"/>
                <w:szCs w:val="24"/>
              </w:rPr>
              <w:t>。</w:t>
            </w:r>
          </w:p>
          <w:p w14:paraId="277E9E47">
            <w:pPr>
              <w:pStyle w:val="11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sz w:val="24"/>
                <w:szCs w:val="24"/>
              </w:rPr>
            </w:pPr>
            <w:bookmarkStart w:id="27" w:name="_Ref69742870"/>
            <w:r>
              <w:rPr>
                <w:rFonts w:hint="eastAsia" w:ascii="Times New Roman" w:hAnsi="Times New Roman" w:eastAsia="宋体" w:cs="Times New Roman"/>
                <w:b/>
                <w:bCs/>
                <w:color w:val="auto"/>
                <w:sz w:val="24"/>
                <w:szCs w:val="24"/>
              </w:rPr>
              <w:t>表4.1-</w:t>
            </w:r>
            <w:r>
              <w:rPr>
                <w:rFonts w:hint="eastAsia" w:ascii="Times New Roman" w:hAnsi="Times New Roman" w:cs="Times New Roman"/>
                <w:b/>
                <w:bCs/>
                <w:color w:val="auto"/>
                <w:sz w:val="24"/>
                <w:szCs w:val="24"/>
                <w:lang w:val="en-US" w:eastAsia="zh-CN"/>
              </w:rPr>
              <w:t>4</w:t>
            </w:r>
            <w:r>
              <w:rPr>
                <w:rFonts w:hint="eastAsia" w:ascii="Times New Roman" w:hAnsi="Times New Roman" w:eastAsia="宋体" w:cs="Times New Roman"/>
                <w:b/>
                <w:bCs/>
                <w:color w:val="auto"/>
                <w:sz w:val="24"/>
                <w:szCs w:val="24"/>
              </w:rPr>
              <w:t xml:space="preserve">  产</w:t>
            </w:r>
            <w:r>
              <w:rPr>
                <w:rFonts w:hint="eastAsia" w:ascii="Times New Roman" w:hAnsi="Times New Roman" w:cs="Times New Roman"/>
                <w:b/>
                <w:bCs/>
                <w:color w:val="auto"/>
                <w:sz w:val="24"/>
                <w:szCs w:val="24"/>
              </w:rPr>
              <w:t>排污</w:t>
            </w:r>
            <w:r>
              <w:rPr>
                <w:rFonts w:hint="eastAsia" w:ascii="Times New Roman" w:hAnsi="Times New Roman" w:eastAsia="宋体" w:cs="Times New Roman"/>
                <w:b/>
                <w:bCs/>
                <w:color w:val="auto"/>
                <w:sz w:val="24"/>
                <w:szCs w:val="24"/>
              </w:rPr>
              <w:t>系数表（摘录）</w:t>
            </w:r>
            <w:bookmarkEnd w:id="27"/>
          </w:p>
          <w:tbl>
            <w:tblPr>
              <w:tblStyle w:val="23"/>
              <w:tblW w:w="847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939"/>
              <w:gridCol w:w="1267"/>
              <w:gridCol w:w="870"/>
              <w:gridCol w:w="967"/>
              <w:gridCol w:w="895"/>
              <w:gridCol w:w="921"/>
              <w:gridCol w:w="1575"/>
            </w:tblGrid>
            <w:tr w14:paraId="2ACCC7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6" w:type="pct"/>
                  <w:noWrap w:val="0"/>
                  <w:vAlign w:val="center"/>
                </w:tcPr>
                <w:p w14:paraId="1C686148">
                  <w:pPr>
                    <w:pStyle w:val="74"/>
                    <w:rPr>
                      <w:rFonts w:hint="eastAsia"/>
                      <w:color w:val="auto"/>
                    </w:rPr>
                  </w:pPr>
                  <w:r>
                    <w:rPr>
                      <w:rFonts w:hint="eastAsia"/>
                      <w:color w:val="auto"/>
                    </w:rPr>
                    <w:t>产品</w:t>
                  </w:r>
                </w:p>
                <w:p w14:paraId="51A44A17">
                  <w:pPr>
                    <w:pStyle w:val="74"/>
                    <w:rPr>
                      <w:color w:val="auto"/>
                    </w:rPr>
                  </w:pPr>
                  <w:r>
                    <w:rPr>
                      <w:rFonts w:hint="eastAsia"/>
                      <w:color w:val="auto"/>
                    </w:rPr>
                    <w:t>名称</w:t>
                  </w:r>
                </w:p>
              </w:tc>
              <w:tc>
                <w:tcPr>
                  <w:tcW w:w="554" w:type="pct"/>
                  <w:noWrap w:val="0"/>
                  <w:vAlign w:val="center"/>
                </w:tcPr>
                <w:p w14:paraId="29443A86">
                  <w:pPr>
                    <w:pStyle w:val="74"/>
                    <w:rPr>
                      <w:rFonts w:hint="eastAsia"/>
                      <w:color w:val="auto"/>
                    </w:rPr>
                  </w:pPr>
                  <w:r>
                    <w:rPr>
                      <w:rFonts w:hint="eastAsia"/>
                      <w:color w:val="auto"/>
                    </w:rPr>
                    <w:t>原料名称</w:t>
                  </w:r>
                </w:p>
              </w:tc>
              <w:tc>
                <w:tcPr>
                  <w:tcW w:w="747" w:type="pct"/>
                  <w:noWrap w:val="0"/>
                  <w:vAlign w:val="center"/>
                </w:tcPr>
                <w:p w14:paraId="12D6C223">
                  <w:pPr>
                    <w:pStyle w:val="74"/>
                    <w:rPr>
                      <w:rFonts w:hint="eastAsia"/>
                      <w:color w:val="auto"/>
                    </w:rPr>
                  </w:pPr>
                  <w:r>
                    <w:rPr>
                      <w:rFonts w:hint="eastAsia"/>
                      <w:color w:val="auto"/>
                    </w:rPr>
                    <w:t>工艺名称</w:t>
                  </w:r>
                </w:p>
              </w:tc>
              <w:tc>
                <w:tcPr>
                  <w:tcW w:w="513" w:type="pct"/>
                  <w:noWrap w:val="0"/>
                  <w:vAlign w:val="center"/>
                </w:tcPr>
                <w:p w14:paraId="06B9009A">
                  <w:pPr>
                    <w:pStyle w:val="74"/>
                    <w:rPr>
                      <w:rFonts w:hint="eastAsia"/>
                      <w:color w:val="auto"/>
                    </w:rPr>
                  </w:pPr>
                  <w:r>
                    <w:rPr>
                      <w:rFonts w:hint="eastAsia"/>
                      <w:color w:val="auto"/>
                    </w:rPr>
                    <w:t>规模等级</w:t>
                  </w:r>
                </w:p>
              </w:tc>
              <w:tc>
                <w:tcPr>
                  <w:tcW w:w="570" w:type="pct"/>
                  <w:noWrap w:val="0"/>
                  <w:vAlign w:val="center"/>
                </w:tcPr>
                <w:p w14:paraId="7B969E5F">
                  <w:pPr>
                    <w:pStyle w:val="74"/>
                    <w:rPr>
                      <w:rFonts w:hint="eastAsia"/>
                      <w:color w:val="auto"/>
                    </w:rPr>
                  </w:pPr>
                  <w:r>
                    <w:rPr>
                      <w:rFonts w:hint="eastAsia"/>
                      <w:color w:val="auto"/>
                    </w:rPr>
                    <w:t>污染物类别</w:t>
                  </w:r>
                </w:p>
              </w:tc>
              <w:tc>
                <w:tcPr>
                  <w:tcW w:w="528" w:type="pct"/>
                  <w:noWrap w:val="0"/>
                  <w:vAlign w:val="center"/>
                </w:tcPr>
                <w:p w14:paraId="68FC965F">
                  <w:pPr>
                    <w:pStyle w:val="74"/>
                    <w:rPr>
                      <w:rFonts w:hint="eastAsia"/>
                      <w:color w:val="auto"/>
                    </w:rPr>
                  </w:pPr>
                  <w:r>
                    <w:rPr>
                      <w:rFonts w:hint="eastAsia"/>
                      <w:color w:val="auto"/>
                    </w:rPr>
                    <w:t>污染物指标</w:t>
                  </w:r>
                </w:p>
              </w:tc>
              <w:tc>
                <w:tcPr>
                  <w:tcW w:w="543" w:type="pct"/>
                  <w:noWrap w:val="0"/>
                  <w:vAlign w:val="center"/>
                </w:tcPr>
                <w:p w14:paraId="53BDC300">
                  <w:pPr>
                    <w:pStyle w:val="74"/>
                    <w:rPr>
                      <w:rFonts w:hint="eastAsia"/>
                      <w:color w:val="auto"/>
                    </w:rPr>
                  </w:pPr>
                  <w:r>
                    <w:rPr>
                      <w:rFonts w:hint="eastAsia"/>
                      <w:color w:val="auto"/>
                    </w:rPr>
                    <w:t>单位</w:t>
                  </w:r>
                </w:p>
              </w:tc>
              <w:tc>
                <w:tcPr>
                  <w:tcW w:w="929" w:type="pct"/>
                  <w:noWrap w:val="0"/>
                  <w:vAlign w:val="center"/>
                </w:tcPr>
                <w:p w14:paraId="2BB24B2D">
                  <w:pPr>
                    <w:pStyle w:val="74"/>
                    <w:rPr>
                      <w:rFonts w:hint="eastAsia"/>
                      <w:color w:val="auto"/>
                    </w:rPr>
                  </w:pPr>
                  <w:r>
                    <w:rPr>
                      <w:rFonts w:hint="eastAsia"/>
                      <w:color w:val="auto"/>
                    </w:rPr>
                    <w:t>产污系数</w:t>
                  </w:r>
                </w:p>
              </w:tc>
            </w:tr>
            <w:tr w14:paraId="3064C1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8"/>
                  <w:noWrap w:val="0"/>
                  <w:vAlign w:val="center"/>
                </w:tcPr>
                <w:p w14:paraId="197B775E">
                  <w:pPr>
                    <w:pStyle w:val="74"/>
                    <w:jc w:val="both"/>
                    <w:rPr>
                      <w:rFonts w:hint="eastAsia"/>
                      <w:color w:val="auto"/>
                    </w:rPr>
                  </w:pPr>
                  <w:r>
                    <w:rPr>
                      <w:color w:val="auto"/>
                    </w:rPr>
                    <w:t>2922</w:t>
                  </w:r>
                  <w:r>
                    <w:rPr>
                      <w:rFonts w:hint="eastAsia"/>
                      <w:color w:val="auto"/>
                    </w:rPr>
                    <w:t>塑料板、管、型材制造行业</w:t>
                  </w:r>
                </w:p>
              </w:tc>
            </w:tr>
            <w:tr w14:paraId="04DC3F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6" w:type="pct"/>
                  <w:noWrap w:val="0"/>
                  <w:vAlign w:val="center"/>
                </w:tcPr>
                <w:p w14:paraId="13377674">
                  <w:pPr>
                    <w:pStyle w:val="74"/>
                    <w:rPr>
                      <w:color w:val="auto"/>
                    </w:rPr>
                  </w:pPr>
                  <w:r>
                    <w:rPr>
                      <w:rFonts w:hint="eastAsia"/>
                      <w:color w:val="auto"/>
                    </w:rPr>
                    <w:t>塑料板、管、型材</w:t>
                  </w:r>
                </w:p>
              </w:tc>
              <w:tc>
                <w:tcPr>
                  <w:tcW w:w="554" w:type="pct"/>
                  <w:noWrap w:val="0"/>
                  <w:vAlign w:val="center"/>
                </w:tcPr>
                <w:p w14:paraId="648A2A39">
                  <w:pPr>
                    <w:pStyle w:val="74"/>
                    <w:rPr>
                      <w:rFonts w:hint="eastAsia"/>
                      <w:color w:val="auto"/>
                    </w:rPr>
                  </w:pPr>
                  <w:r>
                    <w:rPr>
                      <w:rFonts w:hint="eastAsia"/>
                      <w:color w:val="auto"/>
                    </w:rPr>
                    <w:t>树脂、助剂</w:t>
                  </w:r>
                </w:p>
              </w:tc>
              <w:tc>
                <w:tcPr>
                  <w:tcW w:w="747" w:type="pct"/>
                  <w:noWrap w:val="0"/>
                  <w:vAlign w:val="center"/>
                </w:tcPr>
                <w:p w14:paraId="6D6C2D2C">
                  <w:pPr>
                    <w:pStyle w:val="74"/>
                    <w:rPr>
                      <w:rFonts w:hint="eastAsia"/>
                      <w:color w:val="auto"/>
                    </w:rPr>
                  </w:pPr>
                  <w:r>
                    <w:rPr>
                      <w:rFonts w:hint="eastAsia"/>
                      <w:color w:val="auto"/>
                    </w:rPr>
                    <w:t>配料</w:t>
                  </w:r>
                  <w:r>
                    <w:rPr>
                      <w:color w:val="auto"/>
                    </w:rPr>
                    <w:t>-</w:t>
                  </w:r>
                  <w:r>
                    <w:rPr>
                      <w:rFonts w:hint="eastAsia"/>
                      <w:color w:val="auto"/>
                    </w:rPr>
                    <w:t>混合</w:t>
                  </w:r>
                  <w:r>
                    <w:rPr>
                      <w:color w:val="auto"/>
                    </w:rPr>
                    <w:t>-</w:t>
                  </w:r>
                  <w:r>
                    <w:rPr>
                      <w:rFonts w:hint="eastAsia"/>
                      <w:color w:val="auto"/>
                    </w:rPr>
                    <w:t>挤出</w:t>
                  </w:r>
                </w:p>
              </w:tc>
              <w:tc>
                <w:tcPr>
                  <w:tcW w:w="513" w:type="pct"/>
                  <w:noWrap w:val="0"/>
                  <w:vAlign w:val="center"/>
                </w:tcPr>
                <w:p w14:paraId="143DAEC3">
                  <w:pPr>
                    <w:pStyle w:val="74"/>
                    <w:rPr>
                      <w:color w:val="auto"/>
                    </w:rPr>
                  </w:pPr>
                  <w:r>
                    <w:rPr>
                      <w:rFonts w:hint="eastAsia"/>
                      <w:color w:val="auto"/>
                    </w:rPr>
                    <w:t>所有规模</w:t>
                  </w:r>
                </w:p>
              </w:tc>
              <w:tc>
                <w:tcPr>
                  <w:tcW w:w="570" w:type="pct"/>
                  <w:noWrap w:val="0"/>
                  <w:vAlign w:val="center"/>
                </w:tcPr>
                <w:p w14:paraId="091BD130">
                  <w:pPr>
                    <w:pStyle w:val="74"/>
                    <w:rPr>
                      <w:rFonts w:hint="eastAsia"/>
                      <w:color w:val="auto"/>
                    </w:rPr>
                  </w:pPr>
                  <w:r>
                    <w:rPr>
                      <w:rFonts w:hint="eastAsia"/>
                      <w:color w:val="auto"/>
                    </w:rPr>
                    <w:t>废气</w:t>
                  </w:r>
                </w:p>
              </w:tc>
              <w:tc>
                <w:tcPr>
                  <w:tcW w:w="528" w:type="pct"/>
                  <w:noWrap w:val="0"/>
                  <w:vAlign w:val="center"/>
                </w:tcPr>
                <w:p w14:paraId="6414F87E">
                  <w:pPr>
                    <w:pStyle w:val="74"/>
                    <w:rPr>
                      <w:rFonts w:hint="eastAsia"/>
                      <w:color w:val="auto"/>
                    </w:rPr>
                  </w:pPr>
                  <w:r>
                    <w:rPr>
                      <w:rFonts w:hint="eastAsia"/>
                      <w:color w:val="auto"/>
                    </w:rPr>
                    <w:t>颗粒物</w:t>
                  </w:r>
                </w:p>
              </w:tc>
              <w:tc>
                <w:tcPr>
                  <w:tcW w:w="543" w:type="pct"/>
                  <w:noWrap w:val="0"/>
                  <w:vAlign w:val="center"/>
                </w:tcPr>
                <w:p w14:paraId="3E1AF918">
                  <w:pPr>
                    <w:pStyle w:val="74"/>
                    <w:rPr>
                      <w:color w:val="auto"/>
                    </w:rPr>
                  </w:pPr>
                  <w:r>
                    <w:rPr>
                      <w:rFonts w:hint="eastAsia"/>
                      <w:color w:val="auto"/>
                    </w:rPr>
                    <w:t>千克</w:t>
                  </w:r>
                  <w:r>
                    <w:rPr>
                      <w:color w:val="auto"/>
                    </w:rPr>
                    <w:t>/</w:t>
                  </w:r>
                  <w:r>
                    <w:rPr>
                      <w:rFonts w:hint="eastAsia"/>
                      <w:color w:val="auto"/>
                    </w:rPr>
                    <w:t>吨</w:t>
                  </w:r>
                  <w:r>
                    <w:rPr>
                      <w:color w:val="auto"/>
                    </w:rPr>
                    <w:t>-</w:t>
                  </w:r>
                  <w:r>
                    <w:rPr>
                      <w:rFonts w:hint="eastAsia"/>
                      <w:color w:val="auto"/>
                    </w:rPr>
                    <w:t>产品</w:t>
                  </w:r>
                </w:p>
              </w:tc>
              <w:tc>
                <w:tcPr>
                  <w:tcW w:w="929" w:type="pct"/>
                  <w:noWrap w:val="0"/>
                  <w:vAlign w:val="center"/>
                </w:tcPr>
                <w:p w14:paraId="6937060D">
                  <w:pPr>
                    <w:pStyle w:val="74"/>
                    <w:rPr>
                      <w:rFonts w:hint="eastAsia"/>
                      <w:color w:val="auto"/>
                    </w:rPr>
                  </w:pPr>
                  <w:r>
                    <w:rPr>
                      <w:color w:val="auto"/>
                    </w:rPr>
                    <w:t>6</w:t>
                  </w:r>
                </w:p>
              </w:tc>
            </w:tr>
          </w:tbl>
          <w:p w14:paraId="5C460764">
            <w:pPr>
              <w:pStyle w:val="55"/>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根据工程分析项目粉状原料使用量约</w:t>
            </w:r>
            <w:r>
              <w:rPr>
                <w:rFonts w:hint="eastAsia" w:cs="Times New Roman"/>
                <w:color w:val="auto"/>
                <w:sz w:val="24"/>
                <w:szCs w:val="24"/>
                <w:lang w:val="en-US" w:eastAsia="zh-CN"/>
              </w:rPr>
              <w:t>89.9</w:t>
            </w:r>
            <w:r>
              <w:rPr>
                <w:rFonts w:hint="default" w:ascii="Times New Roman" w:hAnsi="Times New Roman" w:eastAsia="宋体" w:cs="Times New Roman"/>
                <w:color w:val="auto"/>
                <w:sz w:val="24"/>
                <w:szCs w:val="24"/>
              </w:rPr>
              <w:t>t/a，则</w:t>
            </w:r>
            <w:r>
              <w:rPr>
                <w:rFonts w:hint="default" w:ascii="Times New Roman" w:hAnsi="Times New Roman" w:eastAsia="宋体" w:cs="Times New Roman"/>
                <w:color w:val="auto"/>
                <w:sz w:val="24"/>
                <w:szCs w:val="24"/>
                <w:lang w:eastAsia="zh-CN"/>
              </w:rPr>
              <w:t>称量、</w:t>
            </w:r>
            <w:r>
              <w:rPr>
                <w:rFonts w:hint="default" w:ascii="Times New Roman" w:hAnsi="Times New Roman" w:eastAsia="宋体" w:cs="Times New Roman"/>
                <w:color w:val="auto"/>
                <w:sz w:val="24"/>
                <w:szCs w:val="24"/>
                <w:lang w:val="en-US" w:eastAsia="zh-CN"/>
              </w:rPr>
              <w:t>上料、混料</w:t>
            </w:r>
            <w:r>
              <w:rPr>
                <w:rFonts w:hint="eastAsia" w:ascii="Times New Roman" w:hAnsi="Times New Roman" w:eastAsia="宋体" w:cs="Times New Roman"/>
                <w:color w:val="auto"/>
                <w:sz w:val="24"/>
                <w:szCs w:val="24"/>
                <w:lang w:val="en-US" w:eastAsia="zh-CN"/>
              </w:rPr>
              <w:t>粉尘</w:t>
            </w:r>
            <w:r>
              <w:rPr>
                <w:rFonts w:hint="default" w:ascii="Times New Roman" w:hAnsi="Times New Roman" w:eastAsia="宋体" w:cs="Times New Roman"/>
                <w:color w:val="auto"/>
                <w:sz w:val="24"/>
                <w:szCs w:val="24"/>
              </w:rPr>
              <w:t>产生量为0.</w:t>
            </w:r>
            <w:r>
              <w:rPr>
                <w:rFonts w:hint="eastAsia" w:cs="Times New Roman"/>
                <w:color w:val="auto"/>
                <w:sz w:val="24"/>
                <w:szCs w:val="24"/>
                <w:lang w:val="en-US" w:eastAsia="zh-CN"/>
              </w:rPr>
              <w:t>5394</w:t>
            </w:r>
            <w:r>
              <w:rPr>
                <w:rFonts w:hint="default" w:ascii="Times New Roman" w:hAnsi="Times New Roman" w:eastAsia="宋体" w:cs="Times New Roman"/>
                <w:color w:val="auto"/>
                <w:sz w:val="24"/>
                <w:szCs w:val="24"/>
              </w:rPr>
              <w:t>t/a。</w:t>
            </w:r>
            <w:r>
              <w:rPr>
                <w:rFonts w:hint="default" w:ascii="Times New Roman" w:hAnsi="Times New Roman" w:eastAsia="宋体" w:cs="Times New Roman"/>
                <w:color w:val="auto"/>
                <w:sz w:val="24"/>
                <w:szCs w:val="24"/>
                <w:lang w:eastAsia="zh-CN"/>
              </w:rPr>
              <w:t>相应工序</w:t>
            </w:r>
            <w:r>
              <w:rPr>
                <w:rFonts w:hint="default" w:ascii="Times New Roman" w:hAnsi="Times New Roman" w:eastAsia="宋体" w:cs="Times New Roman"/>
                <w:color w:val="auto"/>
                <w:sz w:val="24"/>
                <w:szCs w:val="24"/>
              </w:rPr>
              <w:t>设置围挡，含尘废气收集后经袋式除尘器处理，处理后废气车间内排放。废气收集效率80%，处理效率按99%计，风机总风量约2500m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/h。上料粉尘产生及排放情况见</w:t>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REF _Ref93410731 \r \h  \* MERGEFORMAT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表4.1-5</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t>。</w:t>
            </w:r>
          </w:p>
          <w:p w14:paraId="2284495E">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hint="eastAsia" w:ascii="Times New Roman" w:hAnsi="Times New Roman" w:eastAsia="宋体" w:cs="Times New Roman"/>
                <w:b/>
                <w:bCs/>
                <w:color w:val="auto"/>
                <w:sz w:val="24"/>
                <w:szCs w:val="24"/>
              </w:rPr>
            </w:pPr>
            <w:bookmarkStart w:id="28" w:name="_Ref93410731"/>
            <w:r>
              <w:rPr>
                <w:rFonts w:hint="eastAsia" w:ascii="Times New Roman" w:hAnsi="Times New Roman" w:cs="Times New Roman"/>
                <w:b/>
                <w:bCs/>
                <w:color w:val="auto"/>
                <w:sz w:val="24"/>
                <w:szCs w:val="24"/>
                <w:lang w:val="en-US" w:eastAsia="zh-CN"/>
              </w:rPr>
              <w:t>表4.1-</w:t>
            </w:r>
            <w:r>
              <w:rPr>
                <w:rFonts w:hint="eastAsia" w:cs="Times New Roman"/>
                <w:b/>
                <w:bCs/>
                <w:color w:val="auto"/>
                <w:sz w:val="24"/>
                <w:szCs w:val="24"/>
                <w:lang w:val="en-US" w:eastAsia="zh-CN"/>
              </w:rPr>
              <w:t>5</w:t>
            </w:r>
            <w:r>
              <w:rPr>
                <w:rFonts w:hint="eastAsia" w:ascii="Times New Roman" w:hAnsi="Times New Roman"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lang w:eastAsia="zh-CN"/>
              </w:rPr>
              <w:t>称量、</w:t>
            </w:r>
            <w:r>
              <w:rPr>
                <w:rFonts w:hint="default" w:ascii="Times New Roman" w:hAnsi="Times New Roman" w:eastAsia="宋体" w:cs="Times New Roman"/>
                <w:b/>
                <w:bCs/>
                <w:color w:val="auto"/>
                <w:sz w:val="24"/>
                <w:szCs w:val="24"/>
                <w:lang w:val="en-US" w:eastAsia="zh-CN"/>
              </w:rPr>
              <w:t>上料、混料</w:t>
            </w:r>
            <w:r>
              <w:rPr>
                <w:rFonts w:hint="eastAsia" w:ascii="Times New Roman" w:hAnsi="Times New Roman" w:eastAsia="宋体" w:cs="Times New Roman"/>
                <w:b/>
                <w:bCs/>
                <w:color w:val="auto"/>
                <w:sz w:val="24"/>
                <w:szCs w:val="24"/>
                <w:lang w:val="en-US" w:eastAsia="zh-CN"/>
              </w:rPr>
              <w:t>粉尘</w:t>
            </w:r>
            <w:r>
              <w:rPr>
                <w:rFonts w:hint="eastAsia" w:ascii="Times New Roman" w:hAnsi="Times New Roman" w:eastAsia="宋体" w:cs="Times New Roman"/>
                <w:b/>
                <w:bCs/>
                <w:color w:val="auto"/>
                <w:sz w:val="24"/>
                <w:szCs w:val="24"/>
              </w:rPr>
              <w:t>废气产生及排放情况</w:t>
            </w:r>
            <w:bookmarkEnd w:id="28"/>
          </w:p>
          <w:tbl>
            <w:tblPr>
              <w:tblStyle w:val="23"/>
              <w:tblW w:w="847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952"/>
              <w:gridCol w:w="605"/>
              <w:gridCol w:w="712"/>
              <w:gridCol w:w="2408"/>
              <w:gridCol w:w="1107"/>
              <w:gridCol w:w="810"/>
              <w:gridCol w:w="800"/>
            </w:tblGrid>
            <w:tr w14:paraId="04D15A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pct"/>
                  <w:vMerge w:val="restart"/>
                  <w:shd w:val="clear" w:color="auto" w:fill="auto"/>
                  <w:noWrap w:val="0"/>
                  <w:vAlign w:val="center"/>
                </w:tcPr>
                <w:p w14:paraId="40008C3A">
                  <w:pPr>
                    <w:pStyle w:val="74"/>
                    <w:rPr>
                      <w:rFonts w:hint="eastAsia"/>
                      <w:color w:val="auto"/>
                    </w:rPr>
                  </w:pPr>
                  <w:r>
                    <w:rPr>
                      <w:rFonts w:hint="eastAsia"/>
                      <w:color w:val="auto"/>
                    </w:rPr>
                    <w:t>产污环节</w:t>
                  </w:r>
                </w:p>
              </w:tc>
              <w:tc>
                <w:tcPr>
                  <w:tcW w:w="561" w:type="pct"/>
                  <w:vMerge w:val="restart"/>
                  <w:shd w:val="clear" w:color="auto" w:fill="auto"/>
                  <w:noWrap w:val="0"/>
                  <w:vAlign w:val="center"/>
                </w:tcPr>
                <w:p w14:paraId="4B281040">
                  <w:pPr>
                    <w:pStyle w:val="74"/>
                    <w:rPr>
                      <w:rFonts w:hint="eastAsia"/>
                      <w:color w:val="auto"/>
                    </w:rPr>
                  </w:pPr>
                  <w:r>
                    <w:rPr>
                      <w:rFonts w:hint="eastAsia"/>
                      <w:color w:val="auto"/>
                    </w:rPr>
                    <w:t>污染物</w:t>
                  </w:r>
                </w:p>
              </w:tc>
              <w:tc>
                <w:tcPr>
                  <w:tcW w:w="777" w:type="pct"/>
                  <w:gridSpan w:val="2"/>
                  <w:shd w:val="clear" w:color="auto" w:fill="auto"/>
                  <w:noWrap w:val="0"/>
                  <w:vAlign w:val="center"/>
                </w:tcPr>
                <w:p w14:paraId="26507BB8">
                  <w:pPr>
                    <w:pStyle w:val="74"/>
                    <w:rPr>
                      <w:rFonts w:hint="eastAsia"/>
                      <w:color w:val="auto"/>
                    </w:rPr>
                  </w:pPr>
                  <w:r>
                    <w:rPr>
                      <w:rFonts w:hint="eastAsia"/>
                      <w:color w:val="auto"/>
                    </w:rPr>
                    <w:t>产生量</w:t>
                  </w:r>
                </w:p>
              </w:tc>
              <w:tc>
                <w:tcPr>
                  <w:tcW w:w="1420" w:type="pct"/>
                  <w:vMerge w:val="restart"/>
                  <w:shd w:val="clear" w:color="auto" w:fill="auto"/>
                  <w:noWrap w:val="0"/>
                  <w:vAlign w:val="center"/>
                </w:tcPr>
                <w:p w14:paraId="0A7D6E6D">
                  <w:pPr>
                    <w:pStyle w:val="74"/>
                    <w:rPr>
                      <w:rFonts w:hint="eastAsia"/>
                      <w:color w:val="auto"/>
                    </w:rPr>
                  </w:pPr>
                  <w:r>
                    <w:rPr>
                      <w:color w:val="auto"/>
                    </w:rPr>
                    <w:t>环保设施</w:t>
                  </w:r>
                </w:p>
              </w:tc>
              <w:tc>
                <w:tcPr>
                  <w:tcW w:w="653" w:type="pct"/>
                  <w:vMerge w:val="restart"/>
                  <w:shd w:val="clear" w:color="auto" w:fill="auto"/>
                  <w:noWrap w:val="0"/>
                  <w:vAlign w:val="center"/>
                </w:tcPr>
                <w:p w14:paraId="55F41124">
                  <w:pPr>
                    <w:pStyle w:val="74"/>
                    <w:rPr>
                      <w:rFonts w:hint="eastAsia"/>
                      <w:color w:val="auto"/>
                    </w:rPr>
                  </w:pPr>
                  <w:r>
                    <w:rPr>
                      <w:rFonts w:hint="eastAsia"/>
                      <w:color w:val="auto"/>
                    </w:rPr>
                    <w:t>排放方式</w:t>
                  </w:r>
                </w:p>
              </w:tc>
              <w:tc>
                <w:tcPr>
                  <w:tcW w:w="950" w:type="pct"/>
                  <w:gridSpan w:val="2"/>
                  <w:shd w:val="clear" w:color="auto" w:fill="auto"/>
                  <w:noWrap w:val="0"/>
                  <w:vAlign w:val="center"/>
                </w:tcPr>
                <w:p w14:paraId="0DE85286">
                  <w:pPr>
                    <w:pStyle w:val="74"/>
                    <w:rPr>
                      <w:rFonts w:hint="eastAsia"/>
                      <w:color w:val="auto"/>
                    </w:rPr>
                  </w:pPr>
                  <w:r>
                    <w:rPr>
                      <w:rFonts w:hint="eastAsia"/>
                      <w:color w:val="auto"/>
                    </w:rPr>
                    <w:t>排放量</w:t>
                  </w:r>
                </w:p>
              </w:tc>
            </w:tr>
            <w:tr w14:paraId="78F456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pct"/>
                  <w:vMerge w:val="continue"/>
                  <w:shd w:val="clear" w:color="auto" w:fill="auto"/>
                  <w:noWrap w:val="0"/>
                  <w:vAlign w:val="center"/>
                </w:tcPr>
                <w:p w14:paraId="38A08CE1">
                  <w:pPr>
                    <w:pStyle w:val="74"/>
                    <w:rPr>
                      <w:rFonts w:hint="eastAsia"/>
                      <w:color w:val="auto"/>
                    </w:rPr>
                  </w:pPr>
                </w:p>
              </w:tc>
              <w:tc>
                <w:tcPr>
                  <w:tcW w:w="561" w:type="pct"/>
                  <w:vMerge w:val="continue"/>
                  <w:shd w:val="clear" w:color="auto" w:fill="auto"/>
                  <w:noWrap w:val="0"/>
                  <w:vAlign w:val="center"/>
                </w:tcPr>
                <w:p w14:paraId="0174F308">
                  <w:pPr>
                    <w:pStyle w:val="74"/>
                    <w:rPr>
                      <w:rFonts w:hint="eastAsia"/>
                      <w:color w:val="auto"/>
                    </w:rPr>
                  </w:pPr>
                </w:p>
              </w:tc>
              <w:tc>
                <w:tcPr>
                  <w:tcW w:w="357" w:type="pct"/>
                  <w:shd w:val="clear" w:color="auto" w:fill="auto"/>
                  <w:noWrap w:val="0"/>
                  <w:vAlign w:val="center"/>
                </w:tcPr>
                <w:p w14:paraId="1CA4C4DE">
                  <w:pPr>
                    <w:pStyle w:val="74"/>
                    <w:rPr>
                      <w:rFonts w:hint="eastAsia"/>
                      <w:color w:val="auto"/>
                    </w:rPr>
                  </w:pPr>
                  <w:r>
                    <w:rPr>
                      <w:rFonts w:hint="eastAsia"/>
                      <w:color w:val="auto"/>
                    </w:rPr>
                    <w:t>t</w:t>
                  </w:r>
                  <w:r>
                    <w:rPr>
                      <w:color w:val="auto"/>
                    </w:rPr>
                    <w:t>/a</w:t>
                  </w:r>
                </w:p>
              </w:tc>
              <w:tc>
                <w:tcPr>
                  <w:tcW w:w="419" w:type="pct"/>
                  <w:shd w:val="clear" w:color="auto" w:fill="auto"/>
                  <w:noWrap w:val="0"/>
                  <w:vAlign w:val="center"/>
                </w:tcPr>
                <w:p w14:paraId="18AC2CEF">
                  <w:pPr>
                    <w:pStyle w:val="74"/>
                    <w:rPr>
                      <w:rFonts w:hint="eastAsia"/>
                      <w:color w:val="auto"/>
                    </w:rPr>
                  </w:pPr>
                  <w:r>
                    <w:rPr>
                      <w:rFonts w:hint="eastAsia"/>
                      <w:color w:val="auto"/>
                    </w:rPr>
                    <w:t>k</w:t>
                  </w:r>
                  <w:r>
                    <w:rPr>
                      <w:color w:val="auto"/>
                    </w:rPr>
                    <w:t>g/h</w:t>
                  </w:r>
                </w:p>
              </w:tc>
              <w:tc>
                <w:tcPr>
                  <w:tcW w:w="1420" w:type="pct"/>
                  <w:vMerge w:val="continue"/>
                  <w:shd w:val="clear" w:color="auto" w:fill="auto"/>
                  <w:noWrap w:val="0"/>
                  <w:vAlign w:val="center"/>
                </w:tcPr>
                <w:p w14:paraId="6864A33F">
                  <w:pPr>
                    <w:pStyle w:val="74"/>
                    <w:rPr>
                      <w:rFonts w:hint="eastAsia"/>
                      <w:color w:val="auto"/>
                    </w:rPr>
                  </w:pPr>
                </w:p>
              </w:tc>
              <w:tc>
                <w:tcPr>
                  <w:tcW w:w="653" w:type="pct"/>
                  <w:vMerge w:val="continue"/>
                  <w:shd w:val="clear" w:color="auto" w:fill="auto"/>
                  <w:noWrap w:val="0"/>
                  <w:vAlign w:val="center"/>
                </w:tcPr>
                <w:p w14:paraId="202276D5">
                  <w:pPr>
                    <w:pStyle w:val="74"/>
                    <w:rPr>
                      <w:rFonts w:hint="eastAsia"/>
                      <w:color w:val="auto"/>
                    </w:rPr>
                  </w:pPr>
                </w:p>
              </w:tc>
              <w:tc>
                <w:tcPr>
                  <w:tcW w:w="478" w:type="pct"/>
                  <w:shd w:val="clear" w:color="auto" w:fill="auto"/>
                  <w:noWrap w:val="0"/>
                  <w:vAlign w:val="center"/>
                </w:tcPr>
                <w:p w14:paraId="1FDB6D41">
                  <w:pPr>
                    <w:pStyle w:val="74"/>
                    <w:rPr>
                      <w:rFonts w:hint="eastAsia"/>
                      <w:color w:val="auto"/>
                    </w:rPr>
                  </w:pPr>
                  <w:r>
                    <w:rPr>
                      <w:rFonts w:hint="eastAsia"/>
                      <w:color w:val="auto"/>
                    </w:rPr>
                    <w:t>t</w:t>
                  </w:r>
                  <w:r>
                    <w:rPr>
                      <w:color w:val="auto"/>
                    </w:rPr>
                    <w:t>/a</w:t>
                  </w:r>
                </w:p>
              </w:tc>
              <w:tc>
                <w:tcPr>
                  <w:tcW w:w="472" w:type="pct"/>
                  <w:shd w:val="clear" w:color="auto" w:fill="auto"/>
                  <w:noWrap w:val="0"/>
                  <w:vAlign w:val="center"/>
                </w:tcPr>
                <w:p w14:paraId="5B283004">
                  <w:pPr>
                    <w:pStyle w:val="74"/>
                    <w:rPr>
                      <w:rFonts w:hint="eastAsia"/>
                      <w:color w:val="auto"/>
                    </w:rPr>
                  </w:pPr>
                  <w:r>
                    <w:rPr>
                      <w:rFonts w:hint="eastAsia"/>
                      <w:color w:val="auto"/>
                    </w:rPr>
                    <w:t>k</w:t>
                  </w:r>
                  <w:r>
                    <w:rPr>
                      <w:color w:val="auto"/>
                    </w:rPr>
                    <w:t>g/h</w:t>
                  </w:r>
                </w:p>
              </w:tc>
            </w:tr>
            <w:tr w14:paraId="5CB8C1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pct"/>
                  <w:vMerge w:val="restart"/>
                  <w:shd w:val="clear" w:color="auto" w:fill="auto"/>
                  <w:noWrap w:val="0"/>
                  <w:vAlign w:val="center"/>
                </w:tcPr>
                <w:p w14:paraId="75A02D52">
                  <w:pPr>
                    <w:pStyle w:val="74"/>
                    <w:rPr>
                      <w:rFonts w:hint="eastAsia"/>
                      <w:color w:val="auto"/>
                    </w:rPr>
                  </w:pPr>
                  <w:r>
                    <w:rPr>
                      <w:rFonts w:hint="eastAsia"/>
                      <w:color w:val="auto"/>
                      <w:lang w:eastAsia="zh-CN"/>
                    </w:rPr>
                    <w:t>称量、</w:t>
                  </w:r>
                  <w:r>
                    <w:rPr>
                      <w:rFonts w:hint="eastAsia"/>
                      <w:color w:val="auto"/>
                      <w:lang w:val="en-US" w:eastAsia="zh-CN"/>
                    </w:rPr>
                    <w:t>上料、混料</w:t>
                  </w:r>
                </w:p>
              </w:tc>
              <w:tc>
                <w:tcPr>
                  <w:tcW w:w="561" w:type="pct"/>
                  <w:shd w:val="clear" w:color="auto" w:fill="auto"/>
                  <w:noWrap w:val="0"/>
                  <w:vAlign w:val="center"/>
                </w:tcPr>
                <w:p w14:paraId="3B9D4597">
                  <w:pPr>
                    <w:pStyle w:val="74"/>
                    <w:rPr>
                      <w:rFonts w:hint="eastAsia"/>
                      <w:color w:val="auto"/>
                    </w:rPr>
                  </w:pPr>
                  <w:r>
                    <w:rPr>
                      <w:rFonts w:hint="eastAsia"/>
                      <w:color w:val="auto"/>
                    </w:rPr>
                    <w:t>颗粒物</w:t>
                  </w:r>
                </w:p>
              </w:tc>
              <w:tc>
                <w:tcPr>
                  <w:tcW w:w="605" w:type="dxa"/>
                  <w:shd w:val="clear" w:color="auto" w:fill="auto"/>
                  <w:noWrap w:val="0"/>
                  <w:vAlign w:val="center"/>
                </w:tcPr>
                <w:p w14:paraId="5FDF81BF">
                  <w:pPr>
                    <w:keepNext w:val="0"/>
                    <w:keepLines w:val="0"/>
                    <w:widowControl/>
                    <w:suppressLineNumbers w:val="0"/>
                    <w:jc w:val="center"/>
                    <w:textAlignment w:val="center"/>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4315</w:t>
                  </w:r>
                </w:p>
              </w:tc>
              <w:tc>
                <w:tcPr>
                  <w:tcW w:w="712" w:type="dxa"/>
                  <w:shd w:val="clear" w:color="auto" w:fill="auto"/>
                  <w:noWrap w:val="0"/>
                  <w:vAlign w:val="center"/>
                </w:tcPr>
                <w:p w14:paraId="10038D62">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0.1</w:t>
                  </w:r>
                  <w:r>
                    <w:rPr>
                      <w:rFonts w:hint="eastAsia" w:cs="Times New Roman"/>
                      <w:i w:val="0"/>
                      <w:iCs w:val="0"/>
                      <w:color w:val="auto"/>
                      <w:kern w:val="0"/>
                      <w:sz w:val="21"/>
                      <w:szCs w:val="21"/>
                      <w:u w:val="none"/>
                      <w:lang w:val="en-US" w:eastAsia="zh-CN" w:bidi="ar"/>
                    </w:rPr>
                    <w:t>634</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1420" w:type="pct"/>
                  <w:shd w:val="clear" w:color="auto" w:fill="auto"/>
                  <w:noWrap w:val="0"/>
                  <w:vAlign w:val="center"/>
                </w:tcPr>
                <w:p w14:paraId="6F0319E8">
                  <w:pPr>
                    <w:pStyle w:val="74"/>
                    <w:rPr>
                      <w:rFonts w:hint="eastAsia"/>
                      <w:color w:val="auto"/>
                    </w:rPr>
                  </w:pPr>
                  <w:r>
                    <w:rPr>
                      <w:color w:val="auto"/>
                    </w:rPr>
                    <w:t>集气系统+布袋除尘器</w:t>
                  </w:r>
                  <w:r>
                    <w:rPr>
                      <w:rFonts w:hint="eastAsia"/>
                      <w:color w:val="auto"/>
                    </w:rPr>
                    <w:t>；车间排放；收集效率8</w:t>
                  </w:r>
                  <w:r>
                    <w:rPr>
                      <w:color w:val="auto"/>
                    </w:rPr>
                    <w:t>0</w:t>
                  </w:r>
                  <w:r>
                    <w:rPr>
                      <w:rFonts w:hint="eastAsia"/>
                      <w:color w:val="auto"/>
                    </w:rPr>
                    <w:t>%；</w:t>
                  </w:r>
                  <w:r>
                    <w:rPr>
                      <w:color w:val="auto"/>
                    </w:rPr>
                    <w:t>除尘效率：99%</w:t>
                  </w:r>
                  <w:r>
                    <w:rPr>
                      <w:rFonts w:hint="eastAsia"/>
                      <w:color w:val="auto"/>
                    </w:rPr>
                    <w:t>；</w:t>
                  </w:r>
                  <w:r>
                    <w:rPr>
                      <w:color w:val="auto"/>
                    </w:rPr>
                    <w:t>为可行技术</w:t>
                  </w:r>
                </w:p>
              </w:tc>
              <w:tc>
                <w:tcPr>
                  <w:tcW w:w="1107" w:type="dxa"/>
                  <w:shd w:val="clear" w:color="auto" w:fill="auto"/>
                  <w:noWrap w:val="0"/>
                  <w:vAlign w:val="center"/>
                </w:tcPr>
                <w:p w14:paraId="19279C56">
                  <w:pPr>
                    <w:keepNext w:val="0"/>
                    <w:keepLines w:val="0"/>
                    <w:widowControl/>
                    <w:suppressLineNumbers w:val="0"/>
                    <w:jc w:val="center"/>
                    <w:textAlignment w:val="center"/>
                    <w:rPr>
                      <w:rFonts w:hint="eastAsia"/>
                      <w:color w:val="auto"/>
                    </w:rPr>
                  </w:pPr>
                  <w:r>
                    <w:rPr>
                      <w:rFonts w:hint="eastAsia" w:ascii="宋体" w:hAnsi="宋体" w:cs="宋体"/>
                      <w:i w:val="0"/>
                      <w:iCs w:val="0"/>
                      <w:color w:val="auto"/>
                      <w:kern w:val="0"/>
                      <w:sz w:val="21"/>
                      <w:szCs w:val="21"/>
                      <w:u w:val="none"/>
                      <w:lang w:val="en-US" w:eastAsia="zh-CN" w:bidi="ar"/>
                    </w:rPr>
                    <w:t>无</w:t>
                  </w:r>
                  <w:r>
                    <w:rPr>
                      <w:rFonts w:hint="eastAsia" w:ascii="宋体" w:hAnsi="宋体" w:eastAsia="宋体" w:cs="宋体"/>
                      <w:i w:val="0"/>
                      <w:iCs w:val="0"/>
                      <w:color w:val="auto"/>
                      <w:kern w:val="0"/>
                      <w:sz w:val="21"/>
                      <w:szCs w:val="21"/>
                      <w:u w:val="none"/>
                      <w:lang w:val="en-US" w:eastAsia="zh-CN" w:bidi="ar"/>
                    </w:rPr>
                    <w:t>组织</w:t>
                  </w:r>
                </w:p>
              </w:tc>
              <w:tc>
                <w:tcPr>
                  <w:tcW w:w="810" w:type="dxa"/>
                  <w:shd w:val="clear" w:color="auto" w:fill="auto"/>
                  <w:noWrap w:val="0"/>
                  <w:vAlign w:val="center"/>
                </w:tcPr>
                <w:p w14:paraId="3DE6BCFF">
                  <w:pPr>
                    <w:keepNext w:val="0"/>
                    <w:keepLines w:val="0"/>
                    <w:widowControl/>
                    <w:suppressLineNumbers w:val="0"/>
                    <w:jc w:val="center"/>
                    <w:textAlignment w:val="center"/>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0.00</w:t>
                  </w:r>
                  <w:r>
                    <w:rPr>
                      <w:rFonts w:hint="eastAsia" w:cs="Times New Roman"/>
                      <w:i w:val="0"/>
                      <w:iCs w:val="0"/>
                      <w:color w:val="auto"/>
                      <w:kern w:val="0"/>
                      <w:sz w:val="21"/>
                      <w:szCs w:val="21"/>
                      <w:u w:val="none"/>
                      <w:lang w:val="en-US" w:eastAsia="zh-CN" w:bidi="ar"/>
                    </w:rPr>
                    <w:t>43</w:t>
                  </w:r>
                </w:p>
              </w:tc>
              <w:tc>
                <w:tcPr>
                  <w:tcW w:w="800" w:type="dxa"/>
                  <w:shd w:val="clear" w:color="auto" w:fill="auto"/>
                  <w:noWrap w:val="0"/>
                  <w:vAlign w:val="center"/>
                </w:tcPr>
                <w:p w14:paraId="5E54E4DE">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0.001</w:t>
                  </w:r>
                  <w:r>
                    <w:rPr>
                      <w:rFonts w:hint="eastAsia" w:cs="Times New Roman"/>
                      <w:i w:val="0"/>
                      <w:iCs w:val="0"/>
                      <w:color w:val="auto"/>
                      <w:kern w:val="0"/>
                      <w:sz w:val="21"/>
                      <w:szCs w:val="21"/>
                      <w:u w:val="none"/>
                      <w:lang w:val="en-US" w:eastAsia="zh-CN" w:bidi="ar"/>
                    </w:rPr>
                    <w:t>6</w:t>
                  </w:r>
                  <w:r>
                    <w:rPr>
                      <w:rFonts w:hint="default" w:ascii="Times New Roman" w:hAnsi="Times New Roman" w:eastAsia="宋体" w:cs="Times New Roman"/>
                      <w:i w:val="0"/>
                      <w:iCs w:val="0"/>
                      <w:color w:val="auto"/>
                      <w:kern w:val="0"/>
                      <w:sz w:val="21"/>
                      <w:szCs w:val="21"/>
                      <w:u w:val="none"/>
                      <w:lang w:val="en-US" w:eastAsia="zh-CN" w:bidi="ar"/>
                    </w:rPr>
                    <w:t xml:space="preserve"> </w:t>
                  </w:r>
                </w:p>
              </w:tc>
            </w:tr>
            <w:tr w14:paraId="2DDAB3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pct"/>
                  <w:vMerge w:val="continue"/>
                  <w:shd w:val="clear" w:color="auto" w:fill="auto"/>
                  <w:noWrap w:val="0"/>
                  <w:vAlign w:val="center"/>
                </w:tcPr>
                <w:p w14:paraId="322D8A56">
                  <w:pPr>
                    <w:pStyle w:val="74"/>
                    <w:rPr>
                      <w:rFonts w:hint="eastAsia"/>
                      <w:color w:val="auto"/>
                    </w:rPr>
                  </w:pPr>
                </w:p>
              </w:tc>
              <w:tc>
                <w:tcPr>
                  <w:tcW w:w="561" w:type="pct"/>
                  <w:shd w:val="clear" w:color="auto" w:fill="auto"/>
                  <w:noWrap w:val="0"/>
                  <w:vAlign w:val="center"/>
                </w:tcPr>
                <w:p w14:paraId="207C7C03">
                  <w:pPr>
                    <w:pStyle w:val="74"/>
                    <w:rPr>
                      <w:rFonts w:hint="eastAsia"/>
                      <w:color w:val="auto"/>
                    </w:rPr>
                  </w:pPr>
                  <w:r>
                    <w:rPr>
                      <w:rFonts w:hint="eastAsia"/>
                      <w:color w:val="auto"/>
                    </w:rPr>
                    <w:t>颗粒物</w:t>
                  </w:r>
                </w:p>
              </w:tc>
              <w:tc>
                <w:tcPr>
                  <w:tcW w:w="605" w:type="dxa"/>
                  <w:shd w:val="clear" w:color="auto" w:fill="auto"/>
                  <w:noWrap w:val="0"/>
                  <w:vAlign w:val="center"/>
                </w:tcPr>
                <w:p w14:paraId="335C92B7">
                  <w:pPr>
                    <w:keepNext w:val="0"/>
                    <w:keepLines w:val="0"/>
                    <w:widowControl/>
                    <w:suppressLineNumbers w:val="0"/>
                    <w:jc w:val="center"/>
                    <w:textAlignment w:val="center"/>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1079</w:t>
                  </w:r>
                </w:p>
              </w:tc>
              <w:tc>
                <w:tcPr>
                  <w:tcW w:w="712" w:type="dxa"/>
                  <w:shd w:val="clear" w:color="auto" w:fill="auto"/>
                  <w:noWrap w:val="0"/>
                  <w:vAlign w:val="center"/>
                </w:tcPr>
                <w:p w14:paraId="1572CFAD">
                  <w:pPr>
                    <w:keepNext w:val="0"/>
                    <w:keepLines w:val="0"/>
                    <w:widowControl/>
                    <w:suppressLineNumbers w:val="0"/>
                    <w:jc w:val="center"/>
                    <w:textAlignment w:val="center"/>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409</w:t>
                  </w:r>
                </w:p>
              </w:tc>
              <w:tc>
                <w:tcPr>
                  <w:tcW w:w="1420" w:type="pct"/>
                  <w:shd w:val="clear" w:color="auto" w:fill="auto"/>
                  <w:noWrap w:val="0"/>
                  <w:vAlign w:val="center"/>
                </w:tcPr>
                <w:p w14:paraId="3910D65C">
                  <w:pPr>
                    <w:pStyle w:val="74"/>
                    <w:rPr>
                      <w:rFonts w:hint="eastAsia"/>
                      <w:color w:val="auto"/>
                    </w:rPr>
                  </w:pPr>
                  <w:r>
                    <w:rPr>
                      <w:rFonts w:hint="eastAsia"/>
                      <w:color w:val="auto"/>
                    </w:rPr>
                    <w:t>车间通风，及时清扫</w:t>
                  </w:r>
                </w:p>
              </w:tc>
              <w:tc>
                <w:tcPr>
                  <w:tcW w:w="1107" w:type="dxa"/>
                  <w:shd w:val="clear" w:color="auto" w:fill="auto"/>
                  <w:noWrap w:val="0"/>
                  <w:vAlign w:val="center"/>
                </w:tcPr>
                <w:p w14:paraId="740BA1B5">
                  <w:pPr>
                    <w:keepNext w:val="0"/>
                    <w:keepLines w:val="0"/>
                    <w:widowControl/>
                    <w:suppressLineNumbers w:val="0"/>
                    <w:jc w:val="center"/>
                    <w:textAlignment w:val="center"/>
                    <w:rPr>
                      <w:rFonts w:hint="eastAsia"/>
                      <w:color w:val="auto"/>
                    </w:rPr>
                  </w:pPr>
                  <w:r>
                    <w:rPr>
                      <w:rFonts w:hint="eastAsia" w:ascii="宋体" w:hAnsi="宋体" w:eastAsia="宋体" w:cs="宋体"/>
                      <w:i w:val="0"/>
                      <w:iCs w:val="0"/>
                      <w:color w:val="auto"/>
                      <w:kern w:val="0"/>
                      <w:sz w:val="21"/>
                      <w:szCs w:val="21"/>
                      <w:u w:val="none"/>
                      <w:lang w:val="en-US" w:eastAsia="zh-CN" w:bidi="ar"/>
                    </w:rPr>
                    <w:t>无组织</w:t>
                  </w:r>
                </w:p>
              </w:tc>
              <w:tc>
                <w:tcPr>
                  <w:tcW w:w="810" w:type="dxa"/>
                  <w:shd w:val="clear" w:color="auto" w:fill="auto"/>
                  <w:noWrap w:val="0"/>
                  <w:vAlign w:val="center"/>
                </w:tcPr>
                <w:p w14:paraId="17FE49E0">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1079</w:t>
                  </w:r>
                </w:p>
              </w:tc>
              <w:tc>
                <w:tcPr>
                  <w:tcW w:w="800" w:type="dxa"/>
                  <w:shd w:val="clear" w:color="auto" w:fill="auto"/>
                  <w:noWrap w:val="0"/>
                  <w:vAlign w:val="center"/>
                </w:tcPr>
                <w:p w14:paraId="0A5286DE">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409</w:t>
                  </w:r>
                </w:p>
              </w:tc>
            </w:tr>
            <w:tr w14:paraId="3C6314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pct"/>
                  <w:shd w:val="clear" w:color="auto" w:fill="auto"/>
                  <w:noWrap w:val="0"/>
                  <w:vAlign w:val="center"/>
                </w:tcPr>
                <w:p w14:paraId="11D1A9E8">
                  <w:pPr>
                    <w:pStyle w:val="74"/>
                    <w:rPr>
                      <w:rFonts w:hint="eastAsia"/>
                      <w:color w:val="auto"/>
                    </w:rPr>
                  </w:pPr>
                  <w:r>
                    <w:rPr>
                      <w:rFonts w:hint="eastAsia"/>
                      <w:color w:val="auto"/>
                    </w:rPr>
                    <w:t>合计</w:t>
                  </w:r>
                </w:p>
              </w:tc>
              <w:tc>
                <w:tcPr>
                  <w:tcW w:w="561" w:type="pct"/>
                  <w:shd w:val="clear" w:color="auto" w:fill="auto"/>
                  <w:noWrap w:val="0"/>
                  <w:vAlign w:val="center"/>
                </w:tcPr>
                <w:p w14:paraId="4BAD263E">
                  <w:pPr>
                    <w:pStyle w:val="74"/>
                    <w:rPr>
                      <w:rFonts w:hint="eastAsia"/>
                      <w:color w:val="auto"/>
                    </w:rPr>
                  </w:pPr>
                  <w:r>
                    <w:rPr>
                      <w:rFonts w:hint="eastAsia"/>
                      <w:color w:val="auto"/>
                    </w:rPr>
                    <w:t>颗粒物</w:t>
                  </w:r>
                </w:p>
              </w:tc>
              <w:tc>
                <w:tcPr>
                  <w:tcW w:w="605" w:type="dxa"/>
                  <w:shd w:val="clear" w:color="auto" w:fill="auto"/>
                  <w:noWrap w:val="0"/>
                  <w:vAlign w:val="center"/>
                </w:tcPr>
                <w:p w14:paraId="4410206D">
                  <w:pPr>
                    <w:keepNext w:val="0"/>
                    <w:keepLines w:val="0"/>
                    <w:widowControl/>
                    <w:suppressLineNumbers w:val="0"/>
                    <w:jc w:val="center"/>
                    <w:textAlignment w:val="center"/>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5394</w:t>
                  </w:r>
                </w:p>
              </w:tc>
              <w:tc>
                <w:tcPr>
                  <w:tcW w:w="712" w:type="dxa"/>
                  <w:shd w:val="clear" w:color="auto" w:fill="auto"/>
                  <w:noWrap w:val="0"/>
                  <w:vAlign w:val="center"/>
                </w:tcPr>
                <w:p w14:paraId="49905C02">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w:t>
                  </w:r>
                </w:p>
              </w:tc>
              <w:tc>
                <w:tcPr>
                  <w:tcW w:w="1420" w:type="pct"/>
                  <w:shd w:val="clear" w:color="auto" w:fill="auto"/>
                  <w:noWrap w:val="0"/>
                  <w:vAlign w:val="center"/>
                </w:tcPr>
                <w:p w14:paraId="1065BB35">
                  <w:pPr>
                    <w:pStyle w:val="74"/>
                    <w:rPr>
                      <w:color w:val="auto"/>
                    </w:rPr>
                  </w:pPr>
                  <w:r>
                    <w:rPr>
                      <w:rFonts w:hint="eastAsia"/>
                      <w:color w:val="auto"/>
                    </w:rPr>
                    <w:t>/</w:t>
                  </w:r>
                </w:p>
              </w:tc>
              <w:tc>
                <w:tcPr>
                  <w:tcW w:w="1107" w:type="dxa"/>
                  <w:shd w:val="clear" w:color="auto" w:fill="auto"/>
                  <w:noWrap w:val="0"/>
                  <w:vAlign w:val="center"/>
                </w:tcPr>
                <w:p w14:paraId="6AD8979D">
                  <w:pPr>
                    <w:keepNext w:val="0"/>
                    <w:keepLines w:val="0"/>
                    <w:widowControl/>
                    <w:suppressLineNumbers w:val="0"/>
                    <w:jc w:val="center"/>
                    <w:textAlignment w:val="center"/>
                    <w:rPr>
                      <w:rFonts w:hint="eastAsia"/>
                      <w:color w:val="auto"/>
                    </w:rPr>
                  </w:pPr>
                  <w:r>
                    <w:rPr>
                      <w:rFonts w:hint="eastAsia" w:ascii="宋体" w:hAnsi="宋体" w:eastAsia="宋体" w:cs="宋体"/>
                      <w:i w:val="0"/>
                      <w:iCs w:val="0"/>
                      <w:color w:val="auto"/>
                      <w:kern w:val="0"/>
                      <w:sz w:val="21"/>
                      <w:szCs w:val="21"/>
                      <w:u w:val="none"/>
                      <w:lang w:val="en-US" w:eastAsia="zh-CN" w:bidi="ar"/>
                    </w:rPr>
                    <w:t>无组织</w:t>
                  </w:r>
                </w:p>
              </w:tc>
              <w:tc>
                <w:tcPr>
                  <w:tcW w:w="810" w:type="dxa"/>
                  <w:shd w:val="clear" w:color="auto" w:fill="auto"/>
                  <w:noWrap w:val="0"/>
                  <w:vAlign w:val="bottom"/>
                </w:tcPr>
                <w:p w14:paraId="68B1BC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eastAsia="宋体" w:cs="Times New Roman"/>
                      <w:i w:val="0"/>
                      <w:iCs w:val="0"/>
                      <w:color w:val="auto"/>
                      <w:kern w:val="0"/>
                      <w:sz w:val="21"/>
                      <w:szCs w:val="21"/>
                      <w:u w:val="none"/>
                      <w:lang w:val="en-US" w:eastAsia="zh-CN" w:bidi="ar"/>
                    </w:rPr>
                    <w:t>1122</w:t>
                  </w:r>
                </w:p>
              </w:tc>
              <w:tc>
                <w:tcPr>
                  <w:tcW w:w="800" w:type="dxa"/>
                  <w:shd w:val="clear" w:color="auto" w:fill="auto"/>
                  <w:noWrap w:val="0"/>
                  <w:vAlign w:val="bottom"/>
                </w:tcPr>
                <w:p w14:paraId="5C70BD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ascii="Times New Roman" w:hAnsi="Times New Roman" w:eastAsia="宋体" w:cs="Times New Roman"/>
                      <w:i w:val="0"/>
                      <w:iCs w:val="0"/>
                      <w:color w:val="auto"/>
                      <w:kern w:val="0"/>
                      <w:sz w:val="21"/>
                      <w:szCs w:val="21"/>
                      <w:u w:val="none"/>
                      <w:lang w:val="en-US" w:eastAsia="zh-CN" w:bidi="ar"/>
                    </w:rPr>
                    <w:t>425</w:t>
                  </w:r>
                </w:p>
              </w:tc>
            </w:tr>
          </w:tbl>
          <w:p w14:paraId="4971A93F">
            <w:pPr>
              <w:pStyle w:val="55"/>
              <w:ind w:firstLine="422"/>
              <w:rPr>
                <w:b/>
                <w:bCs/>
                <w:color w:val="auto"/>
                <w:sz w:val="24"/>
                <w:szCs w:val="24"/>
              </w:rPr>
            </w:pPr>
            <w:r>
              <w:rPr>
                <w:rFonts w:hint="eastAsia"/>
                <w:b/>
                <w:bCs/>
                <w:color w:val="auto"/>
                <w:sz w:val="24"/>
                <w:szCs w:val="24"/>
              </w:rPr>
              <w:t>（</w:t>
            </w:r>
            <w:r>
              <w:rPr>
                <w:b/>
                <w:bCs/>
                <w:color w:val="auto"/>
                <w:sz w:val="24"/>
                <w:szCs w:val="24"/>
              </w:rPr>
              <w:t>3</w:t>
            </w:r>
            <w:r>
              <w:rPr>
                <w:rFonts w:hint="eastAsia"/>
                <w:b/>
                <w:bCs/>
                <w:color w:val="auto"/>
                <w:sz w:val="24"/>
                <w:szCs w:val="24"/>
              </w:rPr>
              <w:t>）机加工</w:t>
            </w:r>
            <w:r>
              <w:rPr>
                <w:b/>
                <w:bCs/>
                <w:color w:val="auto"/>
                <w:sz w:val="24"/>
                <w:szCs w:val="24"/>
              </w:rPr>
              <w:t>粉尘</w:t>
            </w:r>
          </w:p>
          <w:p w14:paraId="00F05EF4">
            <w:pPr>
              <w:pStyle w:val="116"/>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color w:val="auto"/>
                <w:sz w:val="24"/>
                <w:szCs w:val="22"/>
                <w:lang w:val="en-GB" w:eastAsia="zh-CN" w:bidi="ar-SA"/>
              </w:rPr>
            </w:pPr>
            <w:r>
              <w:rPr>
                <w:rFonts w:hint="eastAsia"/>
                <w:color w:val="auto"/>
                <w:sz w:val="24"/>
                <w:szCs w:val="24"/>
              </w:rPr>
              <w:t>项目板材</w:t>
            </w:r>
            <w:r>
              <w:rPr>
                <w:rFonts w:hint="eastAsia" w:ascii="Times New Roman" w:hAnsi="Times New Roman" w:eastAsia="宋体" w:cs="Times New Roman"/>
                <w:color w:val="auto"/>
                <w:sz w:val="24"/>
                <w:szCs w:val="22"/>
                <w:lang w:val="en-GB" w:eastAsia="zh-CN" w:bidi="ar-SA"/>
              </w:rPr>
              <w:t>在机加工过程（包括切、钻、铣等）将产生少量的塑料粉尘，292塑料制品手册无对应工段，生态环境部门统一许可借用机械行业预处理工段系数：</w:t>
            </w:r>
          </w:p>
          <w:p w14:paraId="534AA134">
            <w:pPr>
              <w:pStyle w:val="116"/>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both"/>
              <w:textAlignment w:val="auto"/>
              <w:rPr>
                <w:color w:val="auto"/>
                <w:sz w:val="24"/>
                <w:szCs w:val="24"/>
              </w:rPr>
            </w:pPr>
            <w:r>
              <w:rPr>
                <w:rFonts w:hint="eastAsia" w:ascii="Times New Roman" w:hAnsi="Times New Roman" w:eastAsia="宋体" w:cs="Times New Roman"/>
                <w:color w:val="auto"/>
                <w:sz w:val="24"/>
                <w:szCs w:val="22"/>
                <w:lang w:val="en-GB" w:eastAsia="zh-CN" w:bidi="ar-SA"/>
              </w:rPr>
              <w:t>依据：33-37、431-434机械行业系数手册—预处理工段—打磨/抛光颗粒物产污系数：2.19 kg/t加工物料</w:t>
            </w:r>
            <w:r>
              <w:rPr>
                <w:rFonts w:hint="eastAsia"/>
                <w:color w:val="auto"/>
                <w:lang w:eastAsia="zh-CN"/>
              </w:rPr>
              <w:t>，</w:t>
            </w:r>
            <w:r>
              <w:rPr>
                <w:rFonts w:hint="eastAsia" w:ascii="Times New Roman" w:hAnsi="Times New Roman" w:eastAsia="宋体" w:cs="Times New Roman"/>
                <w:color w:val="auto"/>
                <w:sz w:val="24"/>
                <w:szCs w:val="22"/>
                <w:lang w:val="en-GB" w:eastAsia="zh-CN" w:bidi="ar-SA"/>
              </w:rPr>
              <w:t>项目原材料使用量约</w:t>
            </w:r>
            <w:r>
              <w:rPr>
                <w:rFonts w:hint="eastAsia" w:cs="Times New Roman"/>
                <w:color w:val="auto"/>
                <w:sz w:val="24"/>
                <w:szCs w:val="22"/>
                <w:lang w:val="en-US" w:eastAsia="zh-CN" w:bidi="ar-SA"/>
              </w:rPr>
              <w:t>1620</w:t>
            </w:r>
            <w:r>
              <w:rPr>
                <w:rFonts w:hint="eastAsia" w:ascii="Times New Roman" w:hAnsi="Times New Roman" w:eastAsia="宋体" w:cs="Times New Roman"/>
                <w:color w:val="auto"/>
                <w:sz w:val="24"/>
                <w:szCs w:val="22"/>
                <w:lang w:val="en-GB" w:eastAsia="zh-CN" w:bidi="ar-SA"/>
              </w:rPr>
              <w:t>t/a，则机加工粉尘产生量约为</w:t>
            </w:r>
            <w:r>
              <w:rPr>
                <w:rFonts w:hint="eastAsia" w:cs="Times New Roman"/>
                <w:color w:val="auto"/>
                <w:sz w:val="24"/>
                <w:szCs w:val="22"/>
                <w:lang w:val="en-US" w:eastAsia="zh-CN" w:bidi="ar-SA"/>
              </w:rPr>
              <w:t>3.5478</w:t>
            </w:r>
            <w:r>
              <w:rPr>
                <w:rFonts w:hint="eastAsia" w:ascii="Times New Roman" w:hAnsi="Times New Roman" w:eastAsia="宋体" w:cs="Times New Roman"/>
                <w:color w:val="auto"/>
                <w:sz w:val="24"/>
                <w:szCs w:val="22"/>
                <w:lang w:val="en-GB" w:eastAsia="zh-CN" w:bidi="ar-SA"/>
              </w:rPr>
              <w:t>t/a。</w:t>
            </w:r>
            <w:r>
              <w:rPr>
                <w:rFonts w:hint="eastAsia"/>
                <w:color w:val="auto"/>
                <w:lang w:eastAsia="zh-CN"/>
              </w:rPr>
              <w:t>相应工序</w:t>
            </w:r>
            <w:r>
              <w:rPr>
                <w:rFonts w:hint="eastAsia"/>
                <w:color w:val="auto"/>
              </w:rPr>
              <w:t>设置围挡，含尘废气收集后经袋式除尘器</w:t>
            </w:r>
            <w:r>
              <w:rPr>
                <w:color w:val="auto"/>
              </w:rPr>
              <w:t>处理，处理后</w:t>
            </w:r>
            <w:r>
              <w:rPr>
                <w:rFonts w:hint="eastAsia"/>
                <w:color w:val="auto"/>
              </w:rPr>
              <w:t>废气车间内排放</w:t>
            </w:r>
            <w:r>
              <w:rPr>
                <w:color w:val="auto"/>
              </w:rPr>
              <w:t>。</w:t>
            </w:r>
            <w:r>
              <w:rPr>
                <w:rFonts w:hint="eastAsia"/>
                <w:color w:val="auto"/>
              </w:rPr>
              <w:t>废气收集效率8</w:t>
            </w:r>
            <w:r>
              <w:rPr>
                <w:color w:val="auto"/>
              </w:rPr>
              <w:t>0</w:t>
            </w:r>
            <w:r>
              <w:rPr>
                <w:rFonts w:hint="eastAsia"/>
                <w:color w:val="auto"/>
              </w:rPr>
              <w:t>%，处理</w:t>
            </w:r>
            <w:r>
              <w:rPr>
                <w:color w:val="auto"/>
              </w:rPr>
              <w:t>效率按99%计，风机总风量约2500m</w:t>
            </w:r>
            <w:r>
              <w:rPr>
                <w:color w:val="auto"/>
                <w:vertAlign w:val="superscript"/>
              </w:rPr>
              <w:t>3</w:t>
            </w:r>
            <w:r>
              <w:rPr>
                <w:color w:val="auto"/>
              </w:rPr>
              <w:t>/h</w:t>
            </w:r>
            <w:r>
              <w:rPr>
                <w:rFonts w:hint="eastAsia"/>
                <w:color w:val="auto"/>
              </w:rPr>
              <w:t>。</w:t>
            </w:r>
            <w:r>
              <w:rPr>
                <w:rFonts w:hint="eastAsia" w:ascii="Times New Roman" w:hAnsi="Times New Roman" w:eastAsia="宋体" w:cs="Times New Roman"/>
                <w:color w:val="auto"/>
                <w:sz w:val="24"/>
                <w:szCs w:val="22"/>
                <w:lang w:val="en-GB" w:eastAsia="zh-CN" w:bidi="ar-SA"/>
              </w:rPr>
              <w:t>机加工粉尘产生及排放情况见</w:t>
            </w:r>
            <w:r>
              <w:rPr>
                <w:rFonts w:hint="eastAsia" w:ascii="Times New Roman" w:hAnsi="Times New Roman" w:eastAsia="宋体" w:cs="Times New Roman"/>
                <w:color w:val="auto"/>
                <w:sz w:val="24"/>
                <w:szCs w:val="22"/>
                <w:lang w:val="en-GB" w:eastAsia="zh-CN" w:bidi="ar-SA"/>
              </w:rPr>
              <w:fldChar w:fldCharType="begin"/>
            </w:r>
            <w:r>
              <w:rPr>
                <w:rFonts w:hint="eastAsia" w:ascii="Times New Roman" w:hAnsi="Times New Roman" w:eastAsia="宋体" w:cs="Times New Roman"/>
                <w:color w:val="auto"/>
                <w:sz w:val="24"/>
                <w:szCs w:val="22"/>
                <w:lang w:val="en-GB" w:eastAsia="zh-CN" w:bidi="ar-SA"/>
              </w:rPr>
              <w:instrText xml:space="preserve"> REF _Ref93410804 \r \h  \* MERGEFORMAT </w:instrText>
            </w:r>
            <w:r>
              <w:rPr>
                <w:rFonts w:hint="eastAsia" w:ascii="Times New Roman" w:hAnsi="Times New Roman" w:eastAsia="宋体" w:cs="Times New Roman"/>
                <w:color w:val="auto"/>
                <w:sz w:val="24"/>
                <w:szCs w:val="22"/>
                <w:lang w:val="en-GB" w:eastAsia="zh-CN" w:bidi="ar-SA"/>
              </w:rPr>
              <w:fldChar w:fldCharType="separate"/>
            </w:r>
            <w:r>
              <w:rPr>
                <w:rFonts w:hint="eastAsia" w:ascii="Times New Roman" w:hAnsi="Times New Roman" w:eastAsia="宋体" w:cs="Times New Roman"/>
                <w:color w:val="auto"/>
                <w:sz w:val="24"/>
                <w:szCs w:val="22"/>
                <w:lang w:val="en-GB" w:eastAsia="zh-CN" w:bidi="ar-SA"/>
              </w:rPr>
              <w:t>表4.1-6</w:t>
            </w:r>
            <w:r>
              <w:rPr>
                <w:rFonts w:hint="eastAsia" w:ascii="Times New Roman" w:hAnsi="Times New Roman" w:eastAsia="宋体" w:cs="Times New Roman"/>
                <w:color w:val="auto"/>
                <w:sz w:val="24"/>
                <w:szCs w:val="22"/>
                <w:lang w:val="en-GB" w:eastAsia="zh-CN" w:bidi="ar-SA"/>
              </w:rPr>
              <w:fldChar w:fldCharType="end"/>
            </w:r>
            <w:r>
              <w:rPr>
                <w:color w:val="auto"/>
                <w:sz w:val="24"/>
                <w:szCs w:val="24"/>
              </w:rPr>
              <w:t>。</w:t>
            </w:r>
          </w:p>
          <w:p w14:paraId="29495583">
            <w:pPr>
              <w:pStyle w:val="11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b/>
                <w:bCs/>
                <w:color w:val="auto"/>
              </w:rPr>
            </w:pPr>
            <w:bookmarkStart w:id="29" w:name="_Ref93410804"/>
            <w:r>
              <w:rPr>
                <w:rFonts w:hint="eastAsia" w:ascii="Times New Roman" w:hAnsi="Times New Roman" w:cs="Times New Roman"/>
                <w:b/>
                <w:bCs/>
                <w:color w:val="auto"/>
                <w:sz w:val="24"/>
                <w:szCs w:val="24"/>
                <w:lang w:val="en-US" w:eastAsia="zh-CN"/>
              </w:rPr>
              <w:t>表4.1-</w:t>
            </w:r>
            <w:r>
              <w:rPr>
                <w:rFonts w:hint="eastAsia" w:cs="Times New Roman"/>
                <w:b/>
                <w:bCs/>
                <w:color w:val="auto"/>
                <w:sz w:val="24"/>
                <w:szCs w:val="24"/>
                <w:lang w:val="en-US" w:eastAsia="zh-CN"/>
              </w:rPr>
              <w:t>6</w:t>
            </w:r>
            <w:r>
              <w:rPr>
                <w:rFonts w:hint="eastAsia" w:ascii="Times New Roman" w:hAnsi="Times New Roman" w:cs="Times New Roman"/>
                <w:b/>
                <w:bCs/>
                <w:color w:val="auto"/>
                <w:sz w:val="24"/>
                <w:szCs w:val="24"/>
                <w:lang w:val="en-US" w:eastAsia="zh-CN"/>
              </w:rPr>
              <w:t xml:space="preserve">  </w:t>
            </w:r>
            <w:r>
              <w:rPr>
                <w:rFonts w:hint="eastAsia"/>
                <w:b/>
                <w:bCs/>
                <w:color w:val="auto"/>
              </w:rPr>
              <w:t>机加工</w:t>
            </w:r>
            <w:r>
              <w:rPr>
                <w:rFonts w:hint="eastAsia" w:ascii="Times New Roman" w:hAnsi="Times New Roman" w:cs="Times New Roman"/>
                <w:b/>
                <w:bCs/>
                <w:color w:val="auto"/>
              </w:rPr>
              <w:t>废气产生及排放</w:t>
            </w:r>
            <w:r>
              <w:rPr>
                <w:rFonts w:ascii="Times New Roman" w:hAnsi="Times New Roman" w:cs="Times New Roman"/>
                <w:b/>
                <w:bCs/>
                <w:color w:val="auto"/>
              </w:rPr>
              <w:t>情况</w:t>
            </w:r>
            <w:bookmarkEnd w:id="29"/>
          </w:p>
          <w:tbl>
            <w:tblPr>
              <w:tblStyle w:val="23"/>
              <w:tblW w:w="847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952"/>
              <w:gridCol w:w="605"/>
              <w:gridCol w:w="712"/>
              <w:gridCol w:w="2408"/>
              <w:gridCol w:w="1107"/>
              <w:gridCol w:w="810"/>
              <w:gridCol w:w="800"/>
            </w:tblGrid>
            <w:tr w14:paraId="22ECB9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pct"/>
                  <w:vMerge w:val="restart"/>
                  <w:shd w:val="clear" w:color="auto" w:fill="auto"/>
                  <w:noWrap w:val="0"/>
                  <w:vAlign w:val="center"/>
                </w:tcPr>
                <w:p w14:paraId="1123C605">
                  <w:pPr>
                    <w:pStyle w:val="74"/>
                    <w:rPr>
                      <w:rFonts w:hint="eastAsia"/>
                      <w:color w:val="auto"/>
                    </w:rPr>
                  </w:pPr>
                  <w:r>
                    <w:rPr>
                      <w:rFonts w:hint="eastAsia"/>
                      <w:color w:val="auto"/>
                    </w:rPr>
                    <w:t>产污环节</w:t>
                  </w:r>
                </w:p>
              </w:tc>
              <w:tc>
                <w:tcPr>
                  <w:tcW w:w="561" w:type="pct"/>
                  <w:vMerge w:val="restart"/>
                  <w:shd w:val="clear" w:color="auto" w:fill="auto"/>
                  <w:noWrap w:val="0"/>
                  <w:vAlign w:val="center"/>
                </w:tcPr>
                <w:p w14:paraId="4DD430DF">
                  <w:pPr>
                    <w:pStyle w:val="74"/>
                    <w:rPr>
                      <w:rFonts w:hint="eastAsia"/>
                      <w:color w:val="auto"/>
                    </w:rPr>
                  </w:pPr>
                  <w:r>
                    <w:rPr>
                      <w:rFonts w:hint="eastAsia"/>
                      <w:color w:val="auto"/>
                    </w:rPr>
                    <w:t>污染物</w:t>
                  </w:r>
                </w:p>
              </w:tc>
              <w:tc>
                <w:tcPr>
                  <w:tcW w:w="777" w:type="pct"/>
                  <w:gridSpan w:val="2"/>
                  <w:shd w:val="clear" w:color="auto" w:fill="auto"/>
                  <w:noWrap w:val="0"/>
                  <w:vAlign w:val="center"/>
                </w:tcPr>
                <w:p w14:paraId="793DC1B0">
                  <w:pPr>
                    <w:pStyle w:val="74"/>
                    <w:rPr>
                      <w:rFonts w:hint="eastAsia"/>
                      <w:color w:val="auto"/>
                    </w:rPr>
                  </w:pPr>
                  <w:r>
                    <w:rPr>
                      <w:rFonts w:hint="eastAsia"/>
                      <w:color w:val="auto"/>
                    </w:rPr>
                    <w:t>产生量</w:t>
                  </w:r>
                </w:p>
              </w:tc>
              <w:tc>
                <w:tcPr>
                  <w:tcW w:w="1420" w:type="pct"/>
                  <w:vMerge w:val="restart"/>
                  <w:shd w:val="clear" w:color="auto" w:fill="auto"/>
                  <w:noWrap w:val="0"/>
                  <w:vAlign w:val="center"/>
                </w:tcPr>
                <w:p w14:paraId="3FB72E6D">
                  <w:pPr>
                    <w:pStyle w:val="74"/>
                    <w:rPr>
                      <w:rFonts w:hint="eastAsia"/>
                      <w:color w:val="auto"/>
                    </w:rPr>
                  </w:pPr>
                  <w:r>
                    <w:rPr>
                      <w:color w:val="auto"/>
                    </w:rPr>
                    <w:t>环保设施</w:t>
                  </w:r>
                </w:p>
              </w:tc>
              <w:tc>
                <w:tcPr>
                  <w:tcW w:w="653" w:type="pct"/>
                  <w:vMerge w:val="restart"/>
                  <w:shd w:val="clear" w:color="auto" w:fill="auto"/>
                  <w:noWrap w:val="0"/>
                  <w:vAlign w:val="center"/>
                </w:tcPr>
                <w:p w14:paraId="58B3D3ED">
                  <w:pPr>
                    <w:pStyle w:val="74"/>
                    <w:rPr>
                      <w:rFonts w:hint="eastAsia"/>
                      <w:color w:val="auto"/>
                    </w:rPr>
                  </w:pPr>
                  <w:r>
                    <w:rPr>
                      <w:rFonts w:hint="eastAsia"/>
                      <w:color w:val="auto"/>
                    </w:rPr>
                    <w:t>排放方式</w:t>
                  </w:r>
                </w:p>
              </w:tc>
              <w:tc>
                <w:tcPr>
                  <w:tcW w:w="950" w:type="pct"/>
                  <w:gridSpan w:val="2"/>
                  <w:shd w:val="clear" w:color="auto" w:fill="auto"/>
                  <w:noWrap w:val="0"/>
                  <w:vAlign w:val="center"/>
                </w:tcPr>
                <w:p w14:paraId="275023FE">
                  <w:pPr>
                    <w:pStyle w:val="74"/>
                    <w:rPr>
                      <w:rFonts w:hint="eastAsia"/>
                      <w:color w:val="auto"/>
                    </w:rPr>
                  </w:pPr>
                  <w:r>
                    <w:rPr>
                      <w:rFonts w:hint="eastAsia"/>
                      <w:color w:val="auto"/>
                    </w:rPr>
                    <w:t>排放量</w:t>
                  </w:r>
                </w:p>
              </w:tc>
            </w:tr>
            <w:tr w14:paraId="59EA10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pct"/>
                  <w:vMerge w:val="continue"/>
                  <w:shd w:val="clear" w:color="auto" w:fill="auto"/>
                  <w:noWrap w:val="0"/>
                  <w:vAlign w:val="center"/>
                </w:tcPr>
                <w:p w14:paraId="3FBEC66E">
                  <w:pPr>
                    <w:pStyle w:val="74"/>
                    <w:rPr>
                      <w:rFonts w:hint="eastAsia"/>
                      <w:color w:val="auto"/>
                    </w:rPr>
                  </w:pPr>
                </w:p>
              </w:tc>
              <w:tc>
                <w:tcPr>
                  <w:tcW w:w="561" w:type="pct"/>
                  <w:vMerge w:val="continue"/>
                  <w:shd w:val="clear" w:color="auto" w:fill="auto"/>
                  <w:noWrap w:val="0"/>
                  <w:vAlign w:val="center"/>
                </w:tcPr>
                <w:p w14:paraId="4D65613A">
                  <w:pPr>
                    <w:pStyle w:val="74"/>
                    <w:rPr>
                      <w:rFonts w:hint="eastAsia"/>
                      <w:color w:val="auto"/>
                    </w:rPr>
                  </w:pPr>
                </w:p>
              </w:tc>
              <w:tc>
                <w:tcPr>
                  <w:tcW w:w="357" w:type="pct"/>
                  <w:shd w:val="clear" w:color="auto" w:fill="auto"/>
                  <w:noWrap w:val="0"/>
                  <w:vAlign w:val="center"/>
                </w:tcPr>
                <w:p w14:paraId="65159EA4">
                  <w:pPr>
                    <w:pStyle w:val="74"/>
                    <w:rPr>
                      <w:rFonts w:hint="eastAsia"/>
                      <w:color w:val="auto"/>
                    </w:rPr>
                  </w:pPr>
                  <w:r>
                    <w:rPr>
                      <w:rFonts w:hint="eastAsia"/>
                      <w:color w:val="auto"/>
                    </w:rPr>
                    <w:t>t</w:t>
                  </w:r>
                  <w:r>
                    <w:rPr>
                      <w:color w:val="auto"/>
                    </w:rPr>
                    <w:t>/a</w:t>
                  </w:r>
                </w:p>
              </w:tc>
              <w:tc>
                <w:tcPr>
                  <w:tcW w:w="419" w:type="pct"/>
                  <w:shd w:val="clear" w:color="auto" w:fill="auto"/>
                  <w:noWrap w:val="0"/>
                  <w:vAlign w:val="center"/>
                </w:tcPr>
                <w:p w14:paraId="37BCA6B1">
                  <w:pPr>
                    <w:pStyle w:val="74"/>
                    <w:rPr>
                      <w:rFonts w:hint="eastAsia"/>
                      <w:color w:val="auto"/>
                    </w:rPr>
                  </w:pPr>
                  <w:r>
                    <w:rPr>
                      <w:rFonts w:hint="eastAsia"/>
                      <w:color w:val="auto"/>
                    </w:rPr>
                    <w:t>k</w:t>
                  </w:r>
                  <w:r>
                    <w:rPr>
                      <w:color w:val="auto"/>
                    </w:rPr>
                    <w:t>g/h</w:t>
                  </w:r>
                </w:p>
              </w:tc>
              <w:tc>
                <w:tcPr>
                  <w:tcW w:w="1420" w:type="pct"/>
                  <w:vMerge w:val="continue"/>
                  <w:shd w:val="clear" w:color="auto" w:fill="auto"/>
                  <w:noWrap w:val="0"/>
                  <w:vAlign w:val="center"/>
                </w:tcPr>
                <w:p w14:paraId="5F4B5AA9">
                  <w:pPr>
                    <w:pStyle w:val="74"/>
                    <w:rPr>
                      <w:rFonts w:hint="eastAsia"/>
                      <w:color w:val="auto"/>
                    </w:rPr>
                  </w:pPr>
                </w:p>
              </w:tc>
              <w:tc>
                <w:tcPr>
                  <w:tcW w:w="653" w:type="pct"/>
                  <w:vMerge w:val="continue"/>
                  <w:shd w:val="clear" w:color="auto" w:fill="auto"/>
                  <w:noWrap w:val="0"/>
                  <w:vAlign w:val="center"/>
                </w:tcPr>
                <w:p w14:paraId="4145A03A">
                  <w:pPr>
                    <w:pStyle w:val="74"/>
                    <w:rPr>
                      <w:rFonts w:hint="eastAsia"/>
                      <w:color w:val="auto"/>
                    </w:rPr>
                  </w:pPr>
                </w:p>
              </w:tc>
              <w:tc>
                <w:tcPr>
                  <w:tcW w:w="478" w:type="pct"/>
                  <w:shd w:val="clear" w:color="auto" w:fill="auto"/>
                  <w:noWrap w:val="0"/>
                  <w:vAlign w:val="center"/>
                </w:tcPr>
                <w:p w14:paraId="476731A4">
                  <w:pPr>
                    <w:pStyle w:val="74"/>
                    <w:rPr>
                      <w:rFonts w:hint="eastAsia"/>
                      <w:color w:val="auto"/>
                    </w:rPr>
                  </w:pPr>
                  <w:r>
                    <w:rPr>
                      <w:rFonts w:hint="eastAsia"/>
                      <w:color w:val="auto"/>
                    </w:rPr>
                    <w:t>t</w:t>
                  </w:r>
                  <w:r>
                    <w:rPr>
                      <w:color w:val="auto"/>
                    </w:rPr>
                    <w:t>/a</w:t>
                  </w:r>
                </w:p>
              </w:tc>
              <w:tc>
                <w:tcPr>
                  <w:tcW w:w="472" w:type="pct"/>
                  <w:shd w:val="clear" w:color="auto" w:fill="auto"/>
                  <w:noWrap w:val="0"/>
                  <w:vAlign w:val="center"/>
                </w:tcPr>
                <w:p w14:paraId="57C04F9B">
                  <w:pPr>
                    <w:pStyle w:val="74"/>
                    <w:rPr>
                      <w:rFonts w:hint="eastAsia"/>
                      <w:color w:val="auto"/>
                    </w:rPr>
                  </w:pPr>
                  <w:r>
                    <w:rPr>
                      <w:rFonts w:hint="eastAsia"/>
                      <w:color w:val="auto"/>
                    </w:rPr>
                    <w:t>k</w:t>
                  </w:r>
                  <w:r>
                    <w:rPr>
                      <w:color w:val="auto"/>
                    </w:rPr>
                    <w:t>g/h</w:t>
                  </w:r>
                </w:p>
              </w:tc>
            </w:tr>
            <w:tr w14:paraId="44EF81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pct"/>
                  <w:vMerge w:val="restart"/>
                  <w:shd w:val="clear" w:color="auto" w:fill="auto"/>
                  <w:noWrap w:val="0"/>
                  <w:vAlign w:val="center"/>
                </w:tcPr>
                <w:p w14:paraId="4FBEF72D">
                  <w:pPr>
                    <w:pStyle w:val="74"/>
                    <w:rPr>
                      <w:rFonts w:hint="eastAsia"/>
                      <w:color w:val="auto"/>
                    </w:rPr>
                  </w:pPr>
                  <w:r>
                    <w:rPr>
                      <w:rFonts w:hint="eastAsia"/>
                      <w:color w:val="auto"/>
                      <w:lang w:eastAsia="zh-CN"/>
                    </w:rPr>
                    <w:t>机加工</w:t>
                  </w:r>
                </w:p>
              </w:tc>
              <w:tc>
                <w:tcPr>
                  <w:tcW w:w="561" w:type="pct"/>
                  <w:shd w:val="clear" w:color="auto" w:fill="auto"/>
                  <w:noWrap w:val="0"/>
                  <w:vAlign w:val="center"/>
                </w:tcPr>
                <w:p w14:paraId="1FD31C37">
                  <w:pPr>
                    <w:pStyle w:val="74"/>
                    <w:rPr>
                      <w:rFonts w:hint="eastAsia"/>
                      <w:color w:val="auto"/>
                    </w:rPr>
                  </w:pPr>
                  <w:r>
                    <w:rPr>
                      <w:rFonts w:hint="eastAsia"/>
                      <w:color w:val="auto"/>
                    </w:rPr>
                    <w:t>颗粒物</w:t>
                  </w:r>
                </w:p>
              </w:tc>
              <w:tc>
                <w:tcPr>
                  <w:tcW w:w="605" w:type="dxa"/>
                  <w:shd w:val="clear" w:color="auto" w:fill="auto"/>
                  <w:noWrap w:val="0"/>
                  <w:vAlign w:val="center"/>
                </w:tcPr>
                <w:p w14:paraId="5224D521">
                  <w:pPr>
                    <w:keepNext w:val="0"/>
                    <w:keepLines w:val="0"/>
                    <w:widowControl/>
                    <w:suppressLineNumbers w:val="0"/>
                    <w:jc w:val="center"/>
                    <w:textAlignment w:val="center"/>
                    <w:rPr>
                      <w:rFonts w:hint="default"/>
                      <w:color w:val="auto"/>
                      <w:lang w:val="en-US"/>
                    </w:rPr>
                  </w:pPr>
                  <w:r>
                    <w:rPr>
                      <w:rFonts w:hint="eastAsia" w:cs="Times New Roman"/>
                      <w:i w:val="0"/>
                      <w:iCs w:val="0"/>
                      <w:color w:val="auto"/>
                      <w:kern w:val="0"/>
                      <w:sz w:val="21"/>
                      <w:szCs w:val="21"/>
                      <w:u w:val="none"/>
                      <w:lang w:val="en-US" w:eastAsia="zh-CN" w:bidi="ar"/>
                    </w:rPr>
                    <w:t>2.8382</w:t>
                  </w:r>
                </w:p>
              </w:tc>
              <w:tc>
                <w:tcPr>
                  <w:tcW w:w="712" w:type="dxa"/>
                  <w:shd w:val="clear" w:color="auto" w:fill="auto"/>
                  <w:noWrap w:val="0"/>
                  <w:vAlign w:val="center"/>
                </w:tcPr>
                <w:p w14:paraId="63B5B3B9">
                  <w:pPr>
                    <w:keepNext w:val="0"/>
                    <w:keepLines w:val="0"/>
                    <w:widowControl/>
                    <w:suppressLineNumbers w:val="0"/>
                    <w:jc w:val="center"/>
                    <w:textAlignment w:val="center"/>
                    <w:rPr>
                      <w:rFonts w:hint="default"/>
                      <w:color w:val="auto"/>
                      <w:lang w:val="en-US"/>
                    </w:rPr>
                  </w:pPr>
                  <w:r>
                    <w:rPr>
                      <w:rFonts w:hint="eastAsia" w:cs="Times New Roman"/>
                      <w:i w:val="0"/>
                      <w:iCs w:val="0"/>
                      <w:color w:val="auto"/>
                      <w:kern w:val="0"/>
                      <w:sz w:val="21"/>
                      <w:szCs w:val="21"/>
                      <w:u w:val="none"/>
                      <w:lang w:val="en-US" w:eastAsia="zh-CN" w:bidi="ar"/>
                    </w:rPr>
                    <w:t>1.0751</w:t>
                  </w:r>
                </w:p>
              </w:tc>
              <w:tc>
                <w:tcPr>
                  <w:tcW w:w="1420" w:type="pct"/>
                  <w:shd w:val="clear" w:color="auto" w:fill="auto"/>
                  <w:noWrap w:val="0"/>
                  <w:vAlign w:val="center"/>
                </w:tcPr>
                <w:p w14:paraId="1C3A3FBA">
                  <w:pPr>
                    <w:pStyle w:val="74"/>
                    <w:rPr>
                      <w:rFonts w:hint="eastAsia"/>
                      <w:color w:val="auto"/>
                    </w:rPr>
                  </w:pPr>
                  <w:r>
                    <w:rPr>
                      <w:color w:val="auto"/>
                    </w:rPr>
                    <w:t>集气系统+布袋除尘器</w:t>
                  </w:r>
                  <w:r>
                    <w:rPr>
                      <w:rFonts w:hint="eastAsia"/>
                      <w:color w:val="auto"/>
                    </w:rPr>
                    <w:t>；车间排放；收集效率8</w:t>
                  </w:r>
                  <w:r>
                    <w:rPr>
                      <w:color w:val="auto"/>
                    </w:rPr>
                    <w:t>0</w:t>
                  </w:r>
                  <w:r>
                    <w:rPr>
                      <w:rFonts w:hint="eastAsia"/>
                      <w:color w:val="auto"/>
                    </w:rPr>
                    <w:t>%；</w:t>
                  </w:r>
                  <w:r>
                    <w:rPr>
                      <w:color w:val="auto"/>
                    </w:rPr>
                    <w:t>除尘效率：99%</w:t>
                  </w:r>
                  <w:r>
                    <w:rPr>
                      <w:rFonts w:hint="eastAsia"/>
                      <w:color w:val="auto"/>
                    </w:rPr>
                    <w:t>；</w:t>
                  </w:r>
                  <w:r>
                    <w:rPr>
                      <w:color w:val="auto"/>
                    </w:rPr>
                    <w:t>为可行技术</w:t>
                  </w:r>
                </w:p>
              </w:tc>
              <w:tc>
                <w:tcPr>
                  <w:tcW w:w="1107" w:type="dxa"/>
                  <w:shd w:val="clear" w:color="auto" w:fill="auto"/>
                  <w:noWrap w:val="0"/>
                  <w:vAlign w:val="center"/>
                </w:tcPr>
                <w:p w14:paraId="28E5A79E">
                  <w:pPr>
                    <w:keepNext w:val="0"/>
                    <w:keepLines w:val="0"/>
                    <w:widowControl/>
                    <w:suppressLineNumbers w:val="0"/>
                    <w:jc w:val="center"/>
                    <w:textAlignment w:val="center"/>
                    <w:rPr>
                      <w:rFonts w:hint="eastAsia"/>
                      <w:color w:val="auto"/>
                    </w:rPr>
                  </w:pPr>
                  <w:r>
                    <w:rPr>
                      <w:rFonts w:hint="eastAsia" w:ascii="宋体" w:hAnsi="宋体" w:cs="宋体"/>
                      <w:i w:val="0"/>
                      <w:iCs w:val="0"/>
                      <w:color w:val="auto"/>
                      <w:kern w:val="0"/>
                      <w:sz w:val="21"/>
                      <w:szCs w:val="21"/>
                      <w:u w:val="none"/>
                      <w:lang w:val="en-US" w:eastAsia="zh-CN" w:bidi="ar"/>
                    </w:rPr>
                    <w:t>无</w:t>
                  </w:r>
                  <w:r>
                    <w:rPr>
                      <w:rFonts w:hint="eastAsia" w:ascii="宋体" w:hAnsi="宋体" w:eastAsia="宋体" w:cs="宋体"/>
                      <w:i w:val="0"/>
                      <w:iCs w:val="0"/>
                      <w:color w:val="auto"/>
                      <w:kern w:val="0"/>
                      <w:sz w:val="21"/>
                      <w:szCs w:val="21"/>
                      <w:u w:val="none"/>
                      <w:lang w:val="en-US" w:eastAsia="zh-CN" w:bidi="ar"/>
                    </w:rPr>
                    <w:t>组织</w:t>
                  </w:r>
                </w:p>
              </w:tc>
              <w:tc>
                <w:tcPr>
                  <w:tcW w:w="810" w:type="dxa"/>
                  <w:shd w:val="clear" w:color="auto" w:fill="auto"/>
                  <w:noWrap w:val="0"/>
                  <w:vAlign w:val="center"/>
                </w:tcPr>
                <w:p w14:paraId="75EE737B">
                  <w:pPr>
                    <w:keepNext w:val="0"/>
                    <w:keepLines w:val="0"/>
                    <w:widowControl/>
                    <w:suppressLineNumbers w:val="0"/>
                    <w:jc w:val="center"/>
                    <w:textAlignment w:val="center"/>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284</w:t>
                  </w:r>
                </w:p>
              </w:tc>
              <w:tc>
                <w:tcPr>
                  <w:tcW w:w="800" w:type="dxa"/>
                  <w:shd w:val="clear" w:color="auto" w:fill="auto"/>
                  <w:noWrap w:val="0"/>
                  <w:vAlign w:val="center"/>
                </w:tcPr>
                <w:p w14:paraId="1565D1ED">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108</w:t>
                  </w:r>
                  <w:r>
                    <w:rPr>
                      <w:rFonts w:hint="default" w:ascii="Times New Roman" w:hAnsi="Times New Roman" w:eastAsia="宋体" w:cs="Times New Roman"/>
                      <w:i w:val="0"/>
                      <w:iCs w:val="0"/>
                      <w:color w:val="auto"/>
                      <w:kern w:val="0"/>
                      <w:sz w:val="21"/>
                      <w:szCs w:val="21"/>
                      <w:u w:val="none"/>
                      <w:lang w:val="en-US" w:eastAsia="zh-CN" w:bidi="ar"/>
                    </w:rPr>
                    <w:t xml:space="preserve"> </w:t>
                  </w:r>
                </w:p>
              </w:tc>
            </w:tr>
            <w:tr w14:paraId="67793B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pct"/>
                  <w:vMerge w:val="continue"/>
                  <w:shd w:val="clear" w:color="auto" w:fill="auto"/>
                  <w:noWrap w:val="0"/>
                  <w:vAlign w:val="center"/>
                </w:tcPr>
                <w:p w14:paraId="6EEB7BD9">
                  <w:pPr>
                    <w:pStyle w:val="74"/>
                    <w:rPr>
                      <w:rFonts w:hint="eastAsia"/>
                      <w:color w:val="auto"/>
                    </w:rPr>
                  </w:pPr>
                </w:p>
              </w:tc>
              <w:tc>
                <w:tcPr>
                  <w:tcW w:w="561" w:type="pct"/>
                  <w:shd w:val="clear" w:color="auto" w:fill="auto"/>
                  <w:noWrap w:val="0"/>
                  <w:vAlign w:val="center"/>
                </w:tcPr>
                <w:p w14:paraId="494B6BE6">
                  <w:pPr>
                    <w:pStyle w:val="74"/>
                    <w:rPr>
                      <w:rFonts w:hint="eastAsia"/>
                      <w:color w:val="auto"/>
                    </w:rPr>
                  </w:pPr>
                  <w:r>
                    <w:rPr>
                      <w:rFonts w:hint="eastAsia"/>
                      <w:color w:val="auto"/>
                    </w:rPr>
                    <w:t>颗粒物</w:t>
                  </w:r>
                </w:p>
              </w:tc>
              <w:tc>
                <w:tcPr>
                  <w:tcW w:w="605" w:type="dxa"/>
                  <w:shd w:val="clear" w:color="auto" w:fill="auto"/>
                  <w:noWrap w:val="0"/>
                  <w:vAlign w:val="center"/>
                </w:tcPr>
                <w:p w14:paraId="0DD130BA">
                  <w:pPr>
                    <w:keepNext w:val="0"/>
                    <w:keepLines w:val="0"/>
                    <w:widowControl/>
                    <w:suppressLineNumbers w:val="0"/>
                    <w:jc w:val="center"/>
                    <w:textAlignment w:val="center"/>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7096</w:t>
                  </w:r>
                </w:p>
              </w:tc>
              <w:tc>
                <w:tcPr>
                  <w:tcW w:w="712" w:type="dxa"/>
                  <w:shd w:val="clear" w:color="auto" w:fill="auto"/>
                  <w:noWrap w:val="0"/>
                  <w:vAlign w:val="center"/>
                </w:tcPr>
                <w:p w14:paraId="27B92023">
                  <w:pPr>
                    <w:keepNext w:val="0"/>
                    <w:keepLines w:val="0"/>
                    <w:widowControl/>
                    <w:suppressLineNumbers w:val="0"/>
                    <w:jc w:val="center"/>
                    <w:textAlignment w:val="center"/>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2688</w:t>
                  </w:r>
                </w:p>
              </w:tc>
              <w:tc>
                <w:tcPr>
                  <w:tcW w:w="1420" w:type="pct"/>
                  <w:shd w:val="clear" w:color="auto" w:fill="auto"/>
                  <w:noWrap w:val="0"/>
                  <w:vAlign w:val="center"/>
                </w:tcPr>
                <w:p w14:paraId="2080014C">
                  <w:pPr>
                    <w:pStyle w:val="74"/>
                    <w:rPr>
                      <w:rFonts w:hint="eastAsia"/>
                      <w:color w:val="auto"/>
                    </w:rPr>
                  </w:pPr>
                  <w:r>
                    <w:rPr>
                      <w:rFonts w:hint="eastAsia"/>
                      <w:color w:val="auto"/>
                    </w:rPr>
                    <w:t>车间通风，及时清扫</w:t>
                  </w:r>
                </w:p>
              </w:tc>
              <w:tc>
                <w:tcPr>
                  <w:tcW w:w="1107" w:type="dxa"/>
                  <w:shd w:val="clear" w:color="auto" w:fill="auto"/>
                  <w:noWrap w:val="0"/>
                  <w:vAlign w:val="center"/>
                </w:tcPr>
                <w:p w14:paraId="2874049D">
                  <w:pPr>
                    <w:keepNext w:val="0"/>
                    <w:keepLines w:val="0"/>
                    <w:widowControl/>
                    <w:suppressLineNumbers w:val="0"/>
                    <w:jc w:val="center"/>
                    <w:textAlignment w:val="center"/>
                    <w:rPr>
                      <w:rFonts w:hint="eastAsia"/>
                      <w:color w:val="auto"/>
                    </w:rPr>
                  </w:pPr>
                  <w:r>
                    <w:rPr>
                      <w:rFonts w:hint="eastAsia" w:ascii="宋体" w:hAnsi="宋体" w:eastAsia="宋体" w:cs="宋体"/>
                      <w:i w:val="0"/>
                      <w:iCs w:val="0"/>
                      <w:color w:val="auto"/>
                      <w:kern w:val="0"/>
                      <w:sz w:val="21"/>
                      <w:szCs w:val="21"/>
                      <w:u w:val="none"/>
                      <w:lang w:val="en-US" w:eastAsia="zh-CN" w:bidi="ar"/>
                    </w:rPr>
                    <w:t>无组织</w:t>
                  </w:r>
                </w:p>
              </w:tc>
              <w:tc>
                <w:tcPr>
                  <w:tcW w:w="810" w:type="dxa"/>
                  <w:shd w:val="clear" w:color="auto" w:fill="auto"/>
                  <w:noWrap w:val="0"/>
                  <w:vAlign w:val="center"/>
                </w:tcPr>
                <w:p w14:paraId="39FE74CD">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7096</w:t>
                  </w:r>
                </w:p>
              </w:tc>
              <w:tc>
                <w:tcPr>
                  <w:tcW w:w="800" w:type="dxa"/>
                  <w:shd w:val="clear" w:color="auto" w:fill="auto"/>
                  <w:noWrap w:val="0"/>
                  <w:vAlign w:val="center"/>
                </w:tcPr>
                <w:p w14:paraId="4F6ED89E">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2688</w:t>
                  </w:r>
                </w:p>
              </w:tc>
            </w:tr>
            <w:tr w14:paraId="564FB7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9" w:type="pct"/>
                  <w:shd w:val="clear" w:color="auto" w:fill="auto"/>
                  <w:noWrap w:val="0"/>
                  <w:vAlign w:val="center"/>
                </w:tcPr>
                <w:p w14:paraId="4E40E404">
                  <w:pPr>
                    <w:pStyle w:val="74"/>
                    <w:rPr>
                      <w:rFonts w:hint="eastAsia"/>
                      <w:color w:val="auto"/>
                    </w:rPr>
                  </w:pPr>
                  <w:r>
                    <w:rPr>
                      <w:rFonts w:hint="eastAsia"/>
                      <w:color w:val="auto"/>
                    </w:rPr>
                    <w:t>合计</w:t>
                  </w:r>
                </w:p>
              </w:tc>
              <w:tc>
                <w:tcPr>
                  <w:tcW w:w="561" w:type="pct"/>
                  <w:shd w:val="clear" w:color="auto" w:fill="auto"/>
                  <w:noWrap w:val="0"/>
                  <w:vAlign w:val="center"/>
                </w:tcPr>
                <w:p w14:paraId="5F32246F">
                  <w:pPr>
                    <w:pStyle w:val="74"/>
                    <w:rPr>
                      <w:rFonts w:hint="eastAsia"/>
                      <w:color w:val="auto"/>
                    </w:rPr>
                  </w:pPr>
                  <w:r>
                    <w:rPr>
                      <w:rFonts w:hint="eastAsia"/>
                      <w:color w:val="auto"/>
                    </w:rPr>
                    <w:t>颗粒物</w:t>
                  </w:r>
                </w:p>
              </w:tc>
              <w:tc>
                <w:tcPr>
                  <w:tcW w:w="605" w:type="dxa"/>
                  <w:shd w:val="clear" w:color="auto" w:fill="auto"/>
                  <w:noWrap w:val="0"/>
                  <w:vAlign w:val="center"/>
                </w:tcPr>
                <w:p w14:paraId="001716F1">
                  <w:pPr>
                    <w:keepNext w:val="0"/>
                    <w:keepLines w:val="0"/>
                    <w:widowControl/>
                    <w:suppressLineNumbers w:val="0"/>
                    <w:jc w:val="center"/>
                    <w:textAlignment w:val="center"/>
                    <w:rPr>
                      <w:rFonts w:hint="default"/>
                      <w:color w:val="auto"/>
                      <w:lang w:val="en-US"/>
                    </w:rPr>
                  </w:pPr>
                  <w:r>
                    <w:rPr>
                      <w:rFonts w:hint="eastAsia" w:cs="Times New Roman"/>
                      <w:i w:val="0"/>
                      <w:iCs w:val="0"/>
                      <w:color w:val="auto"/>
                      <w:kern w:val="0"/>
                      <w:sz w:val="21"/>
                      <w:szCs w:val="21"/>
                      <w:u w:val="none"/>
                      <w:lang w:val="en-US" w:eastAsia="zh-CN" w:bidi="ar"/>
                    </w:rPr>
                    <w:t>3.5478</w:t>
                  </w:r>
                </w:p>
              </w:tc>
              <w:tc>
                <w:tcPr>
                  <w:tcW w:w="712" w:type="dxa"/>
                  <w:shd w:val="clear" w:color="auto" w:fill="auto"/>
                  <w:noWrap w:val="0"/>
                  <w:vAlign w:val="center"/>
                </w:tcPr>
                <w:p w14:paraId="09BD0AF0">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w:t>
                  </w:r>
                </w:p>
              </w:tc>
              <w:tc>
                <w:tcPr>
                  <w:tcW w:w="1420" w:type="pct"/>
                  <w:shd w:val="clear" w:color="auto" w:fill="auto"/>
                  <w:noWrap w:val="0"/>
                  <w:vAlign w:val="center"/>
                </w:tcPr>
                <w:p w14:paraId="693A0638">
                  <w:pPr>
                    <w:pStyle w:val="74"/>
                    <w:rPr>
                      <w:color w:val="auto"/>
                    </w:rPr>
                  </w:pPr>
                  <w:r>
                    <w:rPr>
                      <w:rFonts w:hint="eastAsia"/>
                      <w:color w:val="auto"/>
                    </w:rPr>
                    <w:t>/</w:t>
                  </w:r>
                </w:p>
              </w:tc>
              <w:tc>
                <w:tcPr>
                  <w:tcW w:w="1107" w:type="dxa"/>
                  <w:shd w:val="clear" w:color="auto" w:fill="auto"/>
                  <w:noWrap w:val="0"/>
                  <w:vAlign w:val="center"/>
                </w:tcPr>
                <w:p w14:paraId="0D3FE7B2">
                  <w:pPr>
                    <w:keepNext w:val="0"/>
                    <w:keepLines w:val="0"/>
                    <w:widowControl/>
                    <w:suppressLineNumbers w:val="0"/>
                    <w:jc w:val="center"/>
                    <w:textAlignment w:val="center"/>
                    <w:rPr>
                      <w:rFonts w:hint="eastAsia"/>
                      <w:color w:val="auto"/>
                    </w:rPr>
                  </w:pPr>
                  <w:r>
                    <w:rPr>
                      <w:rFonts w:hint="eastAsia" w:ascii="宋体" w:hAnsi="宋体" w:eastAsia="宋体" w:cs="宋体"/>
                      <w:i w:val="0"/>
                      <w:iCs w:val="0"/>
                      <w:color w:val="auto"/>
                      <w:kern w:val="0"/>
                      <w:sz w:val="21"/>
                      <w:szCs w:val="21"/>
                      <w:u w:val="none"/>
                      <w:lang w:val="en-US" w:eastAsia="zh-CN" w:bidi="ar"/>
                    </w:rPr>
                    <w:t>无组织</w:t>
                  </w:r>
                </w:p>
              </w:tc>
              <w:tc>
                <w:tcPr>
                  <w:tcW w:w="810" w:type="dxa"/>
                  <w:shd w:val="clear" w:color="auto" w:fill="auto"/>
                  <w:noWrap w:val="0"/>
                  <w:vAlign w:val="bottom"/>
                </w:tcPr>
                <w:p w14:paraId="12E7A487">
                  <w:pPr>
                    <w:keepNext w:val="0"/>
                    <w:keepLines w:val="0"/>
                    <w:widowControl/>
                    <w:suppressLineNumbers w:val="0"/>
                    <w:jc w:val="center"/>
                    <w:textAlignment w:val="bottom"/>
                    <w:rPr>
                      <w:rFonts w:hint="default"/>
                      <w:color w:val="auto"/>
                      <w:lang w:val="en-US"/>
                    </w:rPr>
                  </w:pPr>
                  <w:r>
                    <w:rPr>
                      <w:rFonts w:hint="eastAsia" w:cs="Times New Roman"/>
                      <w:i w:val="0"/>
                      <w:iCs w:val="0"/>
                      <w:color w:val="auto"/>
                      <w:kern w:val="0"/>
                      <w:sz w:val="21"/>
                      <w:szCs w:val="21"/>
                      <w:u w:val="none"/>
                      <w:lang w:val="en-US" w:eastAsia="zh-CN" w:bidi="ar"/>
                    </w:rPr>
                    <w:t>0.738</w:t>
                  </w:r>
                </w:p>
              </w:tc>
              <w:tc>
                <w:tcPr>
                  <w:tcW w:w="800" w:type="dxa"/>
                  <w:shd w:val="clear" w:color="auto" w:fill="auto"/>
                  <w:noWrap w:val="0"/>
                  <w:vAlign w:val="bottom"/>
                </w:tcPr>
                <w:p w14:paraId="14C5DAA2">
                  <w:pPr>
                    <w:keepNext w:val="0"/>
                    <w:keepLines w:val="0"/>
                    <w:widowControl/>
                    <w:suppressLineNumbers w:val="0"/>
                    <w:jc w:val="center"/>
                    <w:textAlignment w:val="bottom"/>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2795</w:t>
                  </w:r>
                </w:p>
              </w:tc>
            </w:tr>
          </w:tbl>
          <w:p w14:paraId="550EA996">
            <w:pPr>
              <w:pStyle w:val="55"/>
              <w:ind w:firstLine="482"/>
              <w:rPr>
                <w:b/>
                <w:bCs/>
                <w:color w:val="auto"/>
                <w:sz w:val="24"/>
                <w:szCs w:val="24"/>
              </w:rPr>
            </w:pPr>
            <w:r>
              <w:rPr>
                <w:rFonts w:hint="eastAsia"/>
                <w:b/>
                <w:bCs/>
                <w:color w:val="auto"/>
                <w:sz w:val="24"/>
                <w:szCs w:val="24"/>
              </w:rPr>
              <w:t>（</w:t>
            </w:r>
            <w:r>
              <w:rPr>
                <w:b/>
                <w:bCs/>
                <w:color w:val="auto"/>
                <w:sz w:val="24"/>
                <w:szCs w:val="24"/>
              </w:rPr>
              <w:t>4</w:t>
            </w:r>
            <w:r>
              <w:rPr>
                <w:rFonts w:hint="eastAsia"/>
                <w:b/>
                <w:bCs/>
                <w:color w:val="auto"/>
                <w:sz w:val="24"/>
                <w:szCs w:val="24"/>
              </w:rPr>
              <w:t>）破碎</w:t>
            </w:r>
            <w:r>
              <w:rPr>
                <w:b/>
                <w:bCs/>
                <w:color w:val="auto"/>
                <w:sz w:val="24"/>
                <w:szCs w:val="24"/>
              </w:rPr>
              <w:t>粉尘</w:t>
            </w:r>
          </w:p>
          <w:p w14:paraId="72E3F9B8">
            <w:pPr>
              <w:pStyle w:val="55"/>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根据工艺流程分析，项目在</w:t>
            </w:r>
            <w:r>
              <w:rPr>
                <w:rFonts w:hint="eastAsia" w:cs="Times New Roman"/>
                <w:color w:val="auto"/>
                <w:sz w:val="24"/>
                <w:szCs w:val="24"/>
                <w:highlight w:val="none"/>
                <w:lang w:eastAsia="zh-CN"/>
              </w:rPr>
              <w:t>边角料</w:t>
            </w:r>
            <w:r>
              <w:rPr>
                <w:rFonts w:hint="eastAsia"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lang w:eastAsia="zh-CN"/>
              </w:rPr>
              <w:t>不合格品</w:t>
            </w:r>
            <w:r>
              <w:rPr>
                <w:rFonts w:hint="eastAsia" w:ascii="Times New Roman" w:hAnsi="Times New Roman" w:eastAsia="宋体" w:cs="Times New Roman"/>
                <w:color w:val="auto"/>
                <w:sz w:val="24"/>
                <w:szCs w:val="24"/>
              </w:rPr>
              <w:t>破碎工序会产生一定量的粉尘，主要是塑料颗粒物。粉尘废气参照《</w:t>
            </w:r>
            <w:r>
              <w:rPr>
                <w:rFonts w:hint="eastAsia" w:ascii="Times New Roman" w:hAnsi="Times New Roman" w:eastAsia="宋体" w:cs="Times New Roman"/>
                <w:color w:val="auto"/>
                <w:sz w:val="24"/>
                <w:szCs w:val="24"/>
                <w:lang w:eastAsia="zh-CN"/>
              </w:rPr>
              <w:t>排放源统计调查产排污核算方法和系数手册</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42</w:t>
            </w:r>
            <w:r>
              <w:rPr>
                <w:rFonts w:hint="eastAsia" w:ascii="Times New Roman" w:hAnsi="Times New Roman" w:eastAsia="宋体" w:cs="Times New Roman"/>
                <w:color w:val="auto"/>
                <w:sz w:val="24"/>
                <w:szCs w:val="24"/>
                <w:lang w:eastAsia="zh-CN"/>
              </w:rPr>
              <w:t>废弃资源综合利用行业</w:t>
            </w:r>
            <w:r>
              <w:rPr>
                <w:rFonts w:hint="eastAsia" w:ascii="Times New Roman" w:hAnsi="Times New Roman" w:eastAsia="宋体" w:cs="Times New Roman"/>
                <w:color w:val="auto"/>
                <w:sz w:val="24"/>
                <w:szCs w:val="24"/>
                <w:lang w:val="en-US" w:eastAsia="zh-CN"/>
              </w:rPr>
              <w:t>-4220非金属废料和碎屑加工处理行业</w:t>
            </w:r>
            <w:r>
              <w:rPr>
                <w:rFonts w:hint="eastAsia" w:ascii="Times New Roman" w:hAnsi="Times New Roman" w:eastAsia="宋体" w:cs="Times New Roman"/>
                <w:color w:val="auto"/>
                <w:sz w:val="24"/>
                <w:szCs w:val="24"/>
                <w:lang w:eastAsia="zh-CN"/>
              </w:rPr>
              <w:t>系数</w:t>
            </w:r>
            <w:r>
              <w:rPr>
                <w:rFonts w:hint="eastAsia" w:ascii="Times New Roman" w:hAnsi="Times New Roman" w:eastAsia="宋体" w:cs="Times New Roman"/>
                <w:color w:val="auto"/>
                <w:sz w:val="24"/>
                <w:szCs w:val="24"/>
              </w:rPr>
              <w:t>，详见</w:t>
            </w:r>
            <w:r>
              <w:rPr>
                <w:rFonts w:hint="eastAsia" w:ascii="Times New Roman" w:hAnsi="Times New Roman" w:eastAsia="宋体" w:cs="Times New Roman"/>
                <w:color w:val="auto"/>
                <w:sz w:val="24"/>
                <w:szCs w:val="24"/>
              </w:rPr>
              <w:fldChar w:fldCharType="begin"/>
            </w:r>
            <w:r>
              <w:rPr>
                <w:rFonts w:hint="eastAsia" w:ascii="Times New Roman" w:hAnsi="Times New Roman" w:eastAsia="宋体" w:cs="Times New Roman"/>
                <w:color w:val="auto"/>
                <w:sz w:val="24"/>
                <w:szCs w:val="24"/>
              </w:rPr>
              <w:instrText xml:space="preserve"> REF _Ref69742870 \r \h  \* MERGEFORMAT </w:instrText>
            </w:r>
            <w:r>
              <w:rPr>
                <w:rFonts w:hint="eastAsia" w:ascii="Times New Roman" w:hAnsi="Times New Roman" w:eastAsia="宋体" w:cs="Times New Roman"/>
                <w:color w:val="auto"/>
                <w:sz w:val="24"/>
                <w:szCs w:val="24"/>
              </w:rPr>
              <w:fldChar w:fldCharType="separate"/>
            </w:r>
            <w:r>
              <w:rPr>
                <w:rFonts w:hint="eastAsia" w:ascii="Times New Roman" w:hAnsi="Times New Roman" w:eastAsia="宋体" w:cs="Times New Roman"/>
                <w:color w:val="auto"/>
                <w:sz w:val="24"/>
                <w:szCs w:val="24"/>
              </w:rPr>
              <w:t>表4.1-7</w:t>
            </w:r>
            <w:r>
              <w:rPr>
                <w:rFonts w:hint="eastAsia" w:ascii="Times New Roman" w:hAnsi="Times New Roman" w:eastAsia="宋体" w:cs="Times New Roman"/>
                <w:color w:val="auto"/>
                <w:sz w:val="24"/>
                <w:szCs w:val="24"/>
              </w:rPr>
              <w:fldChar w:fldCharType="end"/>
            </w:r>
            <w:r>
              <w:rPr>
                <w:rFonts w:hint="eastAsia" w:ascii="Times New Roman" w:hAnsi="Times New Roman" w:eastAsia="宋体" w:cs="Times New Roman"/>
                <w:color w:val="auto"/>
                <w:sz w:val="24"/>
                <w:szCs w:val="24"/>
              </w:rPr>
              <w:t>。</w:t>
            </w:r>
          </w:p>
          <w:p w14:paraId="432FCF51">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color w:val="auto"/>
              </w:rPr>
            </w:pPr>
            <w:r>
              <w:rPr>
                <w:rFonts w:hint="eastAsia" w:ascii="Times New Roman" w:hAnsi="Times New Roman" w:cs="Times New Roman"/>
                <w:b/>
                <w:bCs/>
                <w:color w:val="auto"/>
                <w:sz w:val="24"/>
                <w:szCs w:val="24"/>
                <w:lang w:val="en-US" w:eastAsia="zh-CN"/>
              </w:rPr>
              <w:t>表4.1-</w:t>
            </w:r>
            <w:r>
              <w:rPr>
                <w:rFonts w:hint="eastAsia" w:cs="Times New Roman"/>
                <w:b/>
                <w:bCs/>
                <w:color w:val="auto"/>
                <w:sz w:val="24"/>
                <w:szCs w:val="24"/>
                <w:lang w:val="en-US" w:eastAsia="zh-CN"/>
              </w:rPr>
              <w:t>7</w:t>
            </w:r>
            <w:r>
              <w:rPr>
                <w:rFonts w:hint="eastAsia" w:ascii="Times New Roman" w:hAnsi="Times New Roman" w:cs="Times New Roman"/>
                <w:b/>
                <w:bCs/>
                <w:color w:val="auto"/>
                <w:sz w:val="24"/>
                <w:szCs w:val="24"/>
                <w:lang w:val="en-US" w:eastAsia="zh-CN"/>
              </w:rPr>
              <w:t xml:space="preserve">  </w:t>
            </w:r>
            <w:r>
              <w:rPr>
                <w:rFonts w:ascii="Times New Roman" w:hAnsi="Times New Roman" w:cs="Times New Roman"/>
                <w:b/>
                <w:bCs/>
                <w:color w:val="auto"/>
              </w:rPr>
              <w:t>产排污系数表（摘录）</w:t>
            </w:r>
          </w:p>
          <w:tbl>
            <w:tblPr>
              <w:tblStyle w:val="23"/>
              <w:tblW w:w="847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939"/>
              <w:gridCol w:w="1267"/>
              <w:gridCol w:w="870"/>
              <w:gridCol w:w="967"/>
              <w:gridCol w:w="895"/>
              <w:gridCol w:w="921"/>
              <w:gridCol w:w="1575"/>
            </w:tblGrid>
            <w:tr w14:paraId="5C5E19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6" w:type="pct"/>
                  <w:shd w:val="clear" w:color="auto" w:fill="auto"/>
                  <w:noWrap w:val="0"/>
                  <w:vAlign w:val="center"/>
                </w:tcPr>
                <w:p w14:paraId="212DB972">
                  <w:pPr>
                    <w:pStyle w:val="74"/>
                    <w:rPr>
                      <w:rFonts w:hint="eastAsia"/>
                      <w:color w:val="auto"/>
                    </w:rPr>
                  </w:pPr>
                  <w:r>
                    <w:rPr>
                      <w:rFonts w:hint="eastAsia"/>
                      <w:color w:val="auto"/>
                    </w:rPr>
                    <w:t>产品</w:t>
                  </w:r>
                </w:p>
                <w:p w14:paraId="767D5542">
                  <w:pPr>
                    <w:pStyle w:val="74"/>
                    <w:rPr>
                      <w:color w:val="auto"/>
                    </w:rPr>
                  </w:pPr>
                  <w:r>
                    <w:rPr>
                      <w:rFonts w:hint="eastAsia"/>
                      <w:color w:val="auto"/>
                    </w:rPr>
                    <w:t>名称</w:t>
                  </w:r>
                </w:p>
              </w:tc>
              <w:tc>
                <w:tcPr>
                  <w:tcW w:w="553" w:type="pct"/>
                  <w:shd w:val="clear" w:color="auto" w:fill="auto"/>
                  <w:noWrap w:val="0"/>
                  <w:vAlign w:val="center"/>
                </w:tcPr>
                <w:p w14:paraId="41D9B2A4">
                  <w:pPr>
                    <w:pStyle w:val="74"/>
                    <w:rPr>
                      <w:rFonts w:hint="eastAsia"/>
                      <w:color w:val="auto"/>
                    </w:rPr>
                  </w:pPr>
                  <w:r>
                    <w:rPr>
                      <w:rFonts w:hint="eastAsia"/>
                      <w:color w:val="auto"/>
                    </w:rPr>
                    <w:t>原料</w:t>
                  </w:r>
                </w:p>
                <w:p w14:paraId="19FD7F9F">
                  <w:pPr>
                    <w:pStyle w:val="74"/>
                    <w:rPr>
                      <w:rFonts w:hint="eastAsia"/>
                      <w:color w:val="auto"/>
                    </w:rPr>
                  </w:pPr>
                  <w:r>
                    <w:rPr>
                      <w:rFonts w:hint="eastAsia"/>
                      <w:color w:val="auto"/>
                    </w:rPr>
                    <w:t>名称</w:t>
                  </w:r>
                </w:p>
              </w:tc>
              <w:tc>
                <w:tcPr>
                  <w:tcW w:w="747" w:type="pct"/>
                  <w:shd w:val="clear" w:color="auto" w:fill="auto"/>
                  <w:noWrap w:val="0"/>
                  <w:vAlign w:val="center"/>
                </w:tcPr>
                <w:p w14:paraId="7ADBA3DF">
                  <w:pPr>
                    <w:pStyle w:val="74"/>
                    <w:rPr>
                      <w:rFonts w:hint="eastAsia"/>
                      <w:color w:val="auto"/>
                    </w:rPr>
                  </w:pPr>
                  <w:r>
                    <w:rPr>
                      <w:rFonts w:hint="eastAsia"/>
                      <w:color w:val="auto"/>
                    </w:rPr>
                    <w:t>工艺名称</w:t>
                  </w:r>
                </w:p>
              </w:tc>
              <w:tc>
                <w:tcPr>
                  <w:tcW w:w="513" w:type="pct"/>
                  <w:shd w:val="clear" w:color="auto" w:fill="auto"/>
                  <w:noWrap w:val="0"/>
                  <w:vAlign w:val="center"/>
                </w:tcPr>
                <w:p w14:paraId="23F91BD4">
                  <w:pPr>
                    <w:pStyle w:val="74"/>
                    <w:rPr>
                      <w:rFonts w:hint="eastAsia"/>
                      <w:color w:val="auto"/>
                    </w:rPr>
                  </w:pPr>
                  <w:r>
                    <w:rPr>
                      <w:rFonts w:hint="eastAsia"/>
                      <w:color w:val="auto"/>
                    </w:rPr>
                    <w:t>规模等级</w:t>
                  </w:r>
                </w:p>
              </w:tc>
              <w:tc>
                <w:tcPr>
                  <w:tcW w:w="570" w:type="pct"/>
                  <w:shd w:val="clear" w:color="auto" w:fill="auto"/>
                  <w:noWrap w:val="0"/>
                  <w:vAlign w:val="center"/>
                </w:tcPr>
                <w:p w14:paraId="7F60C085">
                  <w:pPr>
                    <w:pStyle w:val="74"/>
                    <w:rPr>
                      <w:rFonts w:hint="eastAsia"/>
                      <w:color w:val="auto"/>
                    </w:rPr>
                  </w:pPr>
                  <w:r>
                    <w:rPr>
                      <w:rFonts w:hint="eastAsia"/>
                      <w:color w:val="auto"/>
                    </w:rPr>
                    <w:t>污染物类别</w:t>
                  </w:r>
                </w:p>
              </w:tc>
              <w:tc>
                <w:tcPr>
                  <w:tcW w:w="527" w:type="pct"/>
                  <w:shd w:val="clear" w:color="auto" w:fill="auto"/>
                  <w:noWrap w:val="0"/>
                  <w:vAlign w:val="center"/>
                </w:tcPr>
                <w:p w14:paraId="44474295">
                  <w:pPr>
                    <w:pStyle w:val="74"/>
                    <w:rPr>
                      <w:rFonts w:hint="eastAsia"/>
                      <w:color w:val="auto"/>
                    </w:rPr>
                  </w:pPr>
                  <w:r>
                    <w:rPr>
                      <w:rFonts w:hint="eastAsia"/>
                      <w:color w:val="auto"/>
                    </w:rPr>
                    <w:t>污染物指标</w:t>
                  </w:r>
                </w:p>
              </w:tc>
              <w:tc>
                <w:tcPr>
                  <w:tcW w:w="543" w:type="pct"/>
                  <w:shd w:val="clear" w:color="auto" w:fill="auto"/>
                  <w:noWrap w:val="0"/>
                  <w:vAlign w:val="center"/>
                </w:tcPr>
                <w:p w14:paraId="3E1D371E">
                  <w:pPr>
                    <w:pStyle w:val="74"/>
                    <w:rPr>
                      <w:rFonts w:hint="eastAsia"/>
                      <w:color w:val="auto"/>
                    </w:rPr>
                  </w:pPr>
                  <w:r>
                    <w:rPr>
                      <w:rFonts w:hint="eastAsia"/>
                      <w:color w:val="auto"/>
                    </w:rPr>
                    <w:t>单位</w:t>
                  </w:r>
                </w:p>
              </w:tc>
              <w:tc>
                <w:tcPr>
                  <w:tcW w:w="928" w:type="pct"/>
                  <w:shd w:val="clear" w:color="auto" w:fill="auto"/>
                  <w:noWrap w:val="0"/>
                  <w:vAlign w:val="center"/>
                </w:tcPr>
                <w:p w14:paraId="7EF5A656">
                  <w:pPr>
                    <w:pStyle w:val="74"/>
                    <w:rPr>
                      <w:rFonts w:hint="eastAsia"/>
                      <w:color w:val="auto"/>
                    </w:rPr>
                  </w:pPr>
                  <w:r>
                    <w:rPr>
                      <w:rFonts w:hint="eastAsia"/>
                      <w:color w:val="auto"/>
                    </w:rPr>
                    <w:t>产污系数</w:t>
                  </w:r>
                </w:p>
              </w:tc>
            </w:tr>
            <w:tr w14:paraId="6979EF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8"/>
                  <w:shd w:val="clear" w:color="auto" w:fill="auto"/>
                  <w:noWrap w:val="0"/>
                  <w:vAlign w:val="center"/>
                </w:tcPr>
                <w:p w14:paraId="2866C765">
                  <w:pPr>
                    <w:pStyle w:val="74"/>
                    <w:jc w:val="both"/>
                    <w:rPr>
                      <w:rFonts w:hint="eastAsia"/>
                      <w:color w:val="auto"/>
                    </w:rPr>
                  </w:pPr>
                  <w:r>
                    <w:rPr>
                      <w:rFonts w:hint="eastAsia" w:ascii="Times New Roman" w:hAnsi="Times New Roman" w:eastAsia="宋体" w:cs="Times New Roman"/>
                      <w:color w:val="auto"/>
                      <w:kern w:val="2"/>
                      <w:sz w:val="21"/>
                      <w:szCs w:val="24"/>
                      <w:lang w:val="en-US" w:eastAsia="zh-CN" w:bidi="ar-SA"/>
                    </w:rPr>
                    <w:t>4220非金属废料和碎屑加工处理行业</w:t>
                  </w:r>
                </w:p>
              </w:tc>
            </w:tr>
            <w:tr w14:paraId="2882A7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6" w:type="pct"/>
                  <w:shd w:val="clear" w:color="auto" w:fill="auto"/>
                  <w:noWrap w:val="0"/>
                  <w:vAlign w:val="center"/>
                </w:tcPr>
                <w:p w14:paraId="2473AF57">
                  <w:pPr>
                    <w:pStyle w:val="74"/>
                    <w:rPr>
                      <w:rFonts w:hint="eastAsia" w:eastAsia="宋体"/>
                      <w:color w:val="auto"/>
                      <w:lang w:eastAsia="zh-CN"/>
                    </w:rPr>
                  </w:pPr>
                  <w:r>
                    <w:rPr>
                      <w:rFonts w:hint="eastAsia"/>
                      <w:color w:val="auto"/>
                      <w:lang w:eastAsia="zh-CN"/>
                    </w:rPr>
                    <w:t>再生塑料粒子</w:t>
                  </w:r>
                </w:p>
              </w:tc>
              <w:tc>
                <w:tcPr>
                  <w:tcW w:w="553" w:type="pct"/>
                  <w:shd w:val="clear" w:color="auto" w:fill="auto"/>
                  <w:noWrap w:val="0"/>
                  <w:vAlign w:val="center"/>
                </w:tcPr>
                <w:p w14:paraId="2FFA0850">
                  <w:pPr>
                    <w:pStyle w:val="74"/>
                    <w:rPr>
                      <w:rFonts w:hint="default" w:eastAsia="宋体"/>
                      <w:color w:val="auto"/>
                      <w:lang w:val="en-US" w:eastAsia="zh-CN"/>
                    </w:rPr>
                  </w:pPr>
                  <w:r>
                    <w:rPr>
                      <w:rFonts w:hint="eastAsia"/>
                      <w:color w:val="auto"/>
                      <w:lang w:eastAsia="zh-CN"/>
                    </w:rPr>
                    <w:t>废</w:t>
                  </w:r>
                  <w:r>
                    <w:rPr>
                      <w:rFonts w:hint="eastAsia"/>
                      <w:color w:val="auto"/>
                      <w:lang w:val="en-US" w:eastAsia="zh-CN"/>
                    </w:rPr>
                    <w:t>PE/PP</w:t>
                  </w:r>
                </w:p>
              </w:tc>
              <w:tc>
                <w:tcPr>
                  <w:tcW w:w="747" w:type="pct"/>
                  <w:shd w:val="clear" w:color="auto" w:fill="auto"/>
                  <w:noWrap w:val="0"/>
                  <w:vAlign w:val="center"/>
                </w:tcPr>
                <w:p w14:paraId="0164B9ED">
                  <w:pPr>
                    <w:pStyle w:val="74"/>
                    <w:rPr>
                      <w:rFonts w:hint="default" w:eastAsia="宋体"/>
                      <w:color w:val="auto"/>
                      <w:lang w:val="en-US" w:eastAsia="zh-CN"/>
                    </w:rPr>
                  </w:pPr>
                  <w:r>
                    <w:rPr>
                      <w:rFonts w:hint="eastAsia"/>
                      <w:color w:val="auto"/>
                      <w:lang w:val="en-US" w:eastAsia="zh-CN"/>
                    </w:rPr>
                    <w:t>干法破碎</w:t>
                  </w:r>
                </w:p>
              </w:tc>
              <w:tc>
                <w:tcPr>
                  <w:tcW w:w="513" w:type="pct"/>
                  <w:shd w:val="clear" w:color="auto" w:fill="auto"/>
                  <w:noWrap w:val="0"/>
                  <w:vAlign w:val="center"/>
                </w:tcPr>
                <w:p w14:paraId="211B08A4">
                  <w:pPr>
                    <w:pStyle w:val="74"/>
                    <w:rPr>
                      <w:rFonts w:hint="eastAsia"/>
                      <w:color w:val="auto"/>
                      <w:lang w:val="en-US" w:eastAsia="zh-CN"/>
                    </w:rPr>
                  </w:pPr>
                  <w:r>
                    <w:rPr>
                      <w:rFonts w:hint="eastAsia"/>
                      <w:color w:val="auto"/>
                      <w:lang w:val="en-US" w:eastAsia="zh-CN"/>
                    </w:rPr>
                    <w:t>所有</w:t>
                  </w:r>
                </w:p>
                <w:p w14:paraId="14CC9990">
                  <w:pPr>
                    <w:pStyle w:val="74"/>
                    <w:rPr>
                      <w:rFonts w:hint="default" w:eastAsia="宋体"/>
                      <w:color w:val="auto"/>
                      <w:lang w:val="en-US" w:eastAsia="zh-CN"/>
                    </w:rPr>
                  </w:pPr>
                  <w:r>
                    <w:rPr>
                      <w:rFonts w:hint="eastAsia"/>
                      <w:color w:val="auto"/>
                      <w:lang w:val="en-US" w:eastAsia="zh-CN"/>
                    </w:rPr>
                    <w:t>规模</w:t>
                  </w:r>
                </w:p>
              </w:tc>
              <w:tc>
                <w:tcPr>
                  <w:tcW w:w="570" w:type="pct"/>
                  <w:shd w:val="clear" w:color="auto" w:fill="auto"/>
                  <w:noWrap w:val="0"/>
                  <w:vAlign w:val="center"/>
                </w:tcPr>
                <w:p w14:paraId="74A540DA">
                  <w:pPr>
                    <w:pStyle w:val="74"/>
                    <w:rPr>
                      <w:rFonts w:hint="eastAsia"/>
                      <w:color w:val="auto"/>
                    </w:rPr>
                  </w:pPr>
                  <w:r>
                    <w:rPr>
                      <w:rFonts w:hint="eastAsia"/>
                      <w:color w:val="auto"/>
                    </w:rPr>
                    <w:t>废气</w:t>
                  </w:r>
                </w:p>
              </w:tc>
              <w:tc>
                <w:tcPr>
                  <w:tcW w:w="527" w:type="pct"/>
                  <w:shd w:val="clear" w:color="auto" w:fill="auto"/>
                  <w:noWrap w:val="0"/>
                  <w:vAlign w:val="center"/>
                </w:tcPr>
                <w:p w14:paraId="6E4C4B72">
                  <w:pPr>
                    <w:pStyle w:val="74"/>
                    <w:rPr>
                      <w:rFonts w:hint="eastAsia"/>
                      <w:color w:val="auto"/>
                    </w:rPr>
                  </w:pPr>
                  <w:r>
                    <w:rPr>
                      <w:rFonts w:hint="eastAsia"/>
                      <w:color w:val="auto"/>
                    </w:rPr>
                    <w:t>颗粒物</w:t>
                  </w:r>
                </w:p>
              </w:tc>
              <w:tc>
                <w:tcPr>
                  <w:tcW w:w="543" w:type="pct"/>
                  <w:shd w:val="clear" w:color="auto" w:fill="auto"/>
                  <w:noWrap w:val="0"/>
                  <w:vAlign w:val="center"/>
                </w:tcPr>
                <w:p w14:paraId="5294D26D">
                  <w:pPr>
                    <w:pStyle w:val="74"/>
                    <w:rPr>
                      <w:rFonts w:hint="eastAsia" w:eastAsia="宋体"/>
                      <w:color w:val="auto"/>
                      <w:lang w:eastAsia="zh-CN"/>
                    </w:rPr>
                  </w:pPr>
                  <w:r>
                    <w:rPr>
                      <w:rFonts w:hint="eastAsia"/>
                      <w:color w:val="auto"/>
                    </w:rPr>
                    <w:t>克</w:t>
                  </w:r>
                  <w:r>
                    <w:rPr>
                      <w:color w:val="auto"/>
                    </w:rPr>
                    <w:t>/</w:t>
                  </w:r>
                  <w:r>
                    <w:rPr>
                      <w:rFonts w:hint="eastAsia"/>
                      <w:color w:val="auto"/>
                    </w:rPr>
                    <w:t>吨</w:t>
                  </w:r>
                  <w:r>
                    <w:rPr>
                      <w:color w:val="auto"/>
                    </w:rPr>
                    <w:t>-</w:t>
                  </w:r>
                  <w:r>
                    <w:rPr>
                      <w:rFonts w:hint="eastAsia"/>
                      <w:color w:val="auto"/>
                      <w:lang w:eastAsia="zh-CN"/>
                    </w:rPr>
                    <w:t>原料</w:t>
                  </w:r>
                </w:p>
              </w:tc>
              <w:tc>
                <w:tcPr>
                  <w:tcW w:w="928" w:type="pct"/>
                  <w:shd w:val="clear" w:color="auto" w:fill="auto"/>
                  <w:noWrap w:val="0"/>
                  <w:vAlign w:val="center"/>
                </w:tcPr>
                <w:p w14:paraId="7213A8D6">
                  <w:pPr>
                    <w:pStyle w:val="74"/>
                    <w:rPr>
                      <w:rFonts w:hint="default" w:eastAsia="宋体"/>
                      <w:color w:val="auto"/>
                      <w:lang w:val="en-US" w:eastAsia="zh-CN"/>
                    </w:rPr>
                  </w:pPr>
                  <w:r>
                    <w:rPr>
                      <w:rFonts w:hint="eastAsia"/>
                      <w:color w:val="auto"/>
                      <w:lang w:val="en-US" w:eastAsia="zh-CN"/>
                    </w:rPr>
                    <w:t>375</w:t>
                  </w:r>
                </w:p>
              </w:tc>
            </w:tr>
          </w:tbl>
          <w:p w14:paraId="044E0A5E">
            <w:pPr>
              <w:pStyle w:val="55"/>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建设单位提供资料边角料、不合格品约产品量的10%，则本项目破碎量约210t/a，破碎设备采用密闭一体化设备，破碎设备出风口连接废气收集管道，含尘废气通过管道全部排至袋式除尘器处理，处理效率按99%计，风机总风量约5000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/h，处理后废气车间内排放。破碎工序每天开工一次，每次4h，年工作330天，破碎粉尘产生及排放情况见</w:t>
            </w:r>
            <w:r>
              <w:rPr>
                <w:rFonts w:hint="eastAsia" w:ascii="Times New Roman" w:hAnsi="Times New Roman" w:eastAsia="宋体" w:cs="Times New Roman"/>
                <w:color w:val="auto"/>
                <w:sz w:val="24"/>
                <w:szCs w:val="24"/>
                <w:lang w:val="en-US" w:eastAsia="zh-CN"/>
              </w:rPr>
              <w:fldChar w:fldCharType="begin"/>
            </w:r>
            <w:r>
              <w:rPr>
                <w:rFonts w:hint="eastAsia" w:ascii="Times New Roman" w:hAnsi="Times New Roman" w:eastAsia="宋体" w:cs="Times New Roman"/>
                <w:color w:val="auto"/>
                <w:sz w:val="24"/>
                <w:szCs w:val="24"/>
                <w:lang w:val="en-US" w:eastAsia="zh-CN"/>
              </w:rPr>
              <w:instrText xml:space="preserve"> REF _Ref70230617 \r \h  \* MERGEFORMAT </w:instrText>
            </w:r>
            <w:r>
              <w:rPr>
                <w:rFonts w:hint="eastAsia" w:ascii="Times New Roman" w:hAnsi="Times New Roman" w:eastAsia="宋体" w:cs="Times New Roman"/>
                <w:color w:val="auto"/>
                <w:sz w:val="24"/>
                <w:szCs w:val="24"/>
                <w:lang w:val="en-US" w:eastAsia="zh-CN"/>
              </w:rPr>
              <w:fldChar w:fldCharType="separate"/>
            </w:r>
            <w:r>
              <w:rPr>
                <w:rFonts w:hint="eastAsia" w:ascii="Times New Roman" w:hAnsi="Times New Roman" w:eastAsia="宋体" w:cs="Times New Roman"/>
                <w:color w:val="auto"/>
                <w:sz w:val="24"/>
                <w:szCs w:val="24"/>
                <w:lang w:val="en-US" w:eastAsia="zh-CN"/>
              </w:rPr>
              <w:t>表4.1-8</w:t>
            </w:r>
            <w:r>
              <w:rPr>
                <w:rFonts w:hint="eastAsia" w:ascii="Times New Roman" w:hAnsi="Times New Roman" w:eastAsia="宋体" w:cs="Times New Roman"/>
                <w:color w:val="auto"/>
                <w:sz w:val="24"/>
                <w:szCs w:val="24"/>
                <w:lang w:val="en-US" w:eastAsia="zh-CN"/>
              </w:rPr>
              <w:fldChar w:fldCharType="end"/>
            </w:r>
            <w:r>
              <w:rPr>
                <w:rFonts w:hint="eastAsia" w:ascii="Times New Roman" w:hAnsi="Times New Roman" w:eastAsia="宋体" w:cs="Times New Roman"/>
                <w:color w:val="auto"/>
                <w:sz w:val="24"/>
                <w:szCs w:val="24"/>
                <w:lang w:val="en-US" w:eastAsia="zh-CN"/>
              </w:rPr>
              <w:t>。</w:t>
            </w:r>
          </w:p>
          <w:p w14:paraId="57CE4228">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b/>
                <w:bCs/>
                <w:color w:val="auto"/>
              </w:rPr>
            </w:pPr>
            <w:bookmarkStart w:id="30" w:name="_Ref70230617"/>
            <w:r>
              <w:rPr>
                <w:rFonts w:hint="eastAsia" w:ascii="Times New Roman" w:hAnsi="Times New Roman" w:cs="Times New Roman"/>
                <w:b/>
                <w:bCs/>
                <w:color w:val="auto"/>
                <w:sz w:val="24"/>
                <w:szCs w:val="24"/>
                <w:lang w:val="en-US" w:eastAsia="zh-CN"/>
              </w:rPr>
              <w:t>表4.1-</w:t>
            </w:r>
            <w:r>
              <w:rPr>
                <w:rFonts w:hint="eastAsia" w:cs="Times New Roman"/>
                <w:b/>
                <w:bCs/>
                <w:color w:val="auto"/>
                <w:sz w:val="24"/>
                <w:szCs w:val="24"/>
                <w:lang w:val="en-US" w:eastAsia="zh-CN"/>
              </w:rPr>
              <w:t>8</w:t>
            </w:r>
            <w:r>
              <w:rPr>
                <w:rFonts w:hint="eastAsia"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auto"/>
              </w:rPr>
              <w:t>破碎</w:t>
            </w:r>
            <w:r>
              <w:rPr>
                <w:rFonts w:ascii="Times New Roman" w:hAnsi="Times New Roman" w:cs="Times New Roman"/>
                <w:b/>
                <w:bCs/>
                <w:color w:val="auto"/>
              </w:rPr>
              <w:t>粉尘排放情况</w:t>
            </w:r>
            <w:bookmarkEnd w:id="30"/>
          </w:p>
          <w:tbl>
            <w:tblPr>
              <w:tblStyle w:val="23"/>
              <w:tblW w:w="8513"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723"/>
              <w:gridCol w:w="569"/>
              <w:gridCol w:w="690"/>
              <w:gridCol w:w="2283"/>
              <w:gridCol w:w="1112"/>
              <w:gridCol w:w="970"/>
              <w:gridCol w:w="1051"/>
              <w:gridCol w:w="1115"/>
            </w:tblGrid>
            <w:tr w14:paraId="5D19C9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75" w:hRule="atLeast"/>
              </w:trPr>
              <w:tc>
                <w:tcPr>
                  <w:tcW w:w="425" w:type="pct"/>
                  <w:vMerge w:val="restart"/>
                  <w:noWrap w:val="0"/>
                  <w:vAlign w:val="center"/>
                </w:tcPr>
                <w:p w14:paraId="112663F8">
                  <w:pPr>
                    <w:pStyle w:val="74"/>
                    <w:rPr>
                      <w:color w:val="auto"/>
                    </w:rPr>
                  </w:pPr>
                  <w:r>
                    <w:rPr>
                      <w:rFonts w:hint="eastAsia"/>
                      <w:color w:val="auto"/>
                    </w:rPr>
                    <w:t>污染物</w:t>
                  </w:r>
                </w:p>
              </w:tc>
              <w:tc>
                <w:tcPr>
                  <w:tcW w:w="738" w:type="pct"/>
                  <w:gridSpan w:val="2"/>
                  <w:noWrap w:val="0"/>
                  <w:vAlign w:val="center"/>
                </w:tcPr>
                <w:p w14:paraId="334CC361">
                  <w:pPr>
                    <w:pStyle w:val="74"/>
                    <w:rPr>
                      <w:color w:val="auto"/>
                    </w:rPr>
                  </w:pPr>
                  <w:r>
                    <w:rPr>
                      <w:rFonts w:hint="eastAsia"/>
                      <w:color w:val="auto"/>
                    </w:rPr>
                    <w:t>产生量</w:t>
                  </w:r>
                </w:p>
              </w:tc>
              <w:tc>
                <w:tcPr>
                  <w:tcW w:w="1341" w:type="pct"/>
                  <w:vMerge w:val="restart"/>
                  <w:noWrap w:val="0"/>
                  <w:vAlign w:val="center"/>
                </w:tcPr>
                <w:p w14:paraId="3AF6D52B">
                  <w:pPr>
                    <w:pStyle w:val="74"/>
                    <w:rPr>
                      <w:color w:val="auto"/>
                    </w:rPr>
                  </w:pPr>
                  <w:r>
                    <w:rPr>
                      <w:color w:val="auto"/>
                    </w:rPr>
                    <w:t>环保设施</w:t>
                  </w:r>
                </w:p>
              </w:tc>
              <w:tc>
                <w:tcPr>
                  <w:tcW w:w="2496" w:type="pct"/>
                  <w:gridSpan w:val="4"/>
                  <w:tcBorders>
                    <w:bottom w:val="single" w:color="auto" w:sz="4" w:space="0"/>
                  </w:tcBorders>
                  <w:noWrap w:val="0"/>
                  <w:vAlign w:val="center"/>
                </w:tcPr>
                <w:p w14:paraId="28AB34A6">
                  <w:pPr>
                    <w:pStyle w:val="74"/>
                    <w:rPr>
                      <w:color w:val="auto"/>
                    </w:rPr>
                  </w:pPr>
                  <w:r>
                    <w:rPr>
                      <w:color w:val="auto"/>
                    </w:rPr>
                    <w:t>排放情况</w:t>
                  </w:r>
                </w:p>
              </w:tc>
            </w:tr>
            <w:tr w14:paraId="462D3F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74" w:hRule="atLeast"/>
              </w:trPr>
              <w:tc>
                <w:tcPr>
                  <w:tcW w:w="425" w:type="pct"/>
                  <w:vMerge w:val="continue"/>
                  <w:noWrap w:val="0"/>
                  <w:vAlign w:val="center"/>
                </w:tcPr>
                <w:p w14:paraId="0BC70C2C">
                  <w:pPr>
                    <w:pStyle w:val="74"/>
                    <w:rPr>
                      <w:color w:val="auto"/>
                    </w:rPr>
                  </w:pPr>
                </w:p>
              </w:tc>
              <w:tc>
                <w:tcPr>
                  <w:tcW w:w="334" w:type="pct"/>
                  <w:noWrap w:val="0"/>
                  <w:vAlign w:val="center"/>
                </w:tcPr>
                <w:p w14:paraId="6D8EA9D3">
                  <w:pPr>
                    <w:pStyle w:val="74"/>
                    <w:rPr>
                      <w:color w:val="auto"/>
                    </w:rPr>
                  </w:pPr>
                  <w:r>
                    <w:rPr>
                      <w:rFonts w:hint="eastAsia"/>
                      <w:color w:val="auto"/>
                    </w:rPr>
                    <w:t>t/a</w:t>
                  </w:r>
                </w:p>
              </w:tc>
              <w:tc>
                <w:tcPr>
                  <w:tcW w:w="405" w:type="pct"/>
                  <w:noWrap w:val="0"/>
                  <w:vAlign w:val="center"/>
                </w:tcPr>
                <w:p w14:paraId="4EAA38AA">
                  <w:pPr>
                    <w:pStyle w:val="74"/>
                    <w:rPr>
                      <w:color w:val="auto"/>
                    </w:rPr>
                  </w:pPr>
                  <w:r>
                    <w:rPr>
                      <w:rFonts w:hint="eastAsia"/>
                      <w:color w:val="auto"/>
                    </w:rPr>
                    <w:t>kg/h</w:t>
                  </w:r>
                </w:p>
              </w:tc>
              <w:tc>
                <w:tcPr>
                  <w:tcW w:w="1341" w:type="pct"/>
                  <w:vMerge w:val="continue"/>
                  <w:noWrap w:val="0"/>
                  <w:vAlign w:val="center"/>
                </w:tcPr>
                <w:p w14:paraId="5B1A3B87">
                  <w:pPr>
                    <w:pStyle w:val="74"/>
                    <w:rPr>
                      <w:color w:val="auto"/>
                    </w:rPr>
                  </w:pPr>
                </w:p>
              </w:tc>
              <w:tc>
                <w:tcPr>
                  <w:tcW w:w="653" w:type="pct"/>
                  <w:tcBorders>
                    <w:bottom w:val="single" w:color="auto" w:sz="4" w:space="0"/>
                  </w:tcBorders>
                  <w:noWrap w:val="0"/>
                  <w:vAlign w:val="center"/>
                </w:tcPr>
                <w:p w14:paraId="12C445ED">
                  <w:pPr>
                    <w:pStyle w:val="74"/>
                    <w:rPr>
                      <w:color w:val="auto"/>
                    </w:rPr>
                  </w:pPr>
                  <w:r>
                    <w:rPr>
                      <w:rFonts w:hint="eastAsia"/>
                      <w:color w:val="auto"/>
                    </w:rPr>
                    <w:t>速率kg/h</w:t>
                  </w:r>
                </w:p>
              </w:tc>
              <w:tc>
                <w:tcPr>
                  <w:tcW w:w="570" w:type="pct"/>
                  <w:tcBorders>
                    <w:bottom w:val="single" w:color="auto" w:sz="4" w:space="0"/>
                  </w:tcBorders>
                  <w:noWrap w:val="0"/>
                  <w:vAlign w:val="center"/>
                </w:tcPr>
                <w:p w14:paraId="2C3467A1">
                  <w:pPr>
                    <w:pStyle w:val="74"/>
                    <w:rPr>
                      <w:rFonts w:hint="eastAsia"/>
                      <w:color w:val="auto"/>
                    </w:rPr>
                  </w:pPr>
                  <w:r>
                    <w:rPr>
                      <w:rFonts w:hint="eastAsia"/>
                      <w:color w:val="auto"/>
                      <w:lang w:val="en-US" w:eastAsia="zh-CN"/>
                    </w:rPr>
                    <w:t>排放</w:t>
                  </w:r>
                  <w:r>
                    <w:rPr>
                      <w:rFonts w:hint="eastAsia"/>
                      <w:color w:val="auto"/>
                    </w:rPr>
                    <w:t>量t/a</w:t>
                  </w:r>
                </w:p>
              </w:tc>
              <w:tc>
                <w:tcPr>
                  <w:tcW w:w="617" w:type="pct"/>
                  <w:tcBorders>
                    <w:bottom w:val="single" w:color="auto" w:sz="4" w:space="0"/>
                  </w:tcBorders>
                  <w:noWrap w:val="0"/>
                  <w:vAlign w:val="center"/>
                </w:tcPr>
                <w:p w14:paraId="1EA254EE">
                  <w:pPr>
                    <w:pStyle w:val="74"/>
                    <w:rPr>
                      <w:color w:val="auto"/>
                    </w:rPr>
                  </w:pPr>
                  <w:r>
                    <w:rPr>
                      <w:rFonts w:hint="eastAsia"/>
                      <w:color w:val="auto"/>
                    </w:rPr>
                    <w:t>风量m</w:t>
                  </w:r>
                  <w:r>
                    <w:rPr>
                      <w:color w:val="auto"/>
                      <w:vertAlign w:val="superscript"/>
                    </w:rPr>
                    <w:t>3</w:t>
                  </w:r>
                  <w:r>
                    <w:rPr>
                      <w:color w:val="auto"/>
                    </w:rPr>
                    <w:t>/</w:t>
                  </w:r>
                  <w:r>
                    <w:rPr>
                      <w:rFonts w:hint="eastAsia"/>
                      <w:color w:val="auto"/>
                    </w:rPr>
                    <w:t>h</w:t>
                  </w:r>
                </w:p>
              </w:tc>
              <w:tc>
                <w:tcPr>
                  <w:tcW w:w="655" w:type="pct"/>
                  <w:noWrap w:val="0"/>
                  <w:vAlign w:val="center"/>
                </w:tcPr>
                <w:p w14:paraId="56738D20">
                  <w:pPr>
                    <w:pStyle w:val="74"/>
                    <w:rPr>
                      <w:color w:val="auto"/>
                    </w:rPr>
                  </w:pPr>
                  <w:r>
                    <w:rPr>
                      <w:color w:val="auto"/>
                    </w:rPr>
                    <w:t>浓度mg/m</w:t>
                  </w:r>
                  <w:r>
                    <w:rPr>
                      <w:color w:val="auto"/>
                      <w:vertAlign w:val="superscript"/>
                    </w:rPr>
                    <w:t>3</w:t>
                  </w:r>
                </w:p>
              </w:tc>
            </w:tr>
            <w:tr w14:paraId="32FFCF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39" w:hRule="atLeast"/>
              </w:trPr>
              <w:tc>
                <w:tcPr>
                  <w:tcW w:w="425" w:type="pct"/>
                  <w:noWrap w:val="0"/>
                  <w:vAlign w:val="center"/>
                </w:tcPr>
                <w:p w14:paraId="164D8CDF">
                  <w:pPr>
                    <w:pStyle w:val="74"/>
                    <w:rPr>
                      <w:rFonts w:hint="eastAsia"/>
                      <w:color w:val="auto"/>
                    </w:rPr>
                  </w:pPr>
                  <w:r>
                    <w:rPr>
                      <w:rFonts w:hint="eastAsia"/>
                      <w:color w:val="auto"/>
                    </w:rPr>
                    <w:t>颗粒物</w:t>
                  </w:r>
                </w:p>
              </w:tc>
              <w:tc>
                <w:tcPr>
                  <w:tcW w:w="569" w:type="dxa"/>
                  <w:noWrap w:val="0"/>
                  <w:vAlign w:val="center"/>
                </w:tcPr>
                <w:p w14:paraId="0F43D99C">
                  <w:pPr>
                    <w:keepNext w:val="0"/>
                    <w:keepLines w:val="0"/>
                    <w:widowControl/>
                    <w:suppressLineNumbers w:val="0"/>
                    <w:jc w:val="center"/>
                    <w:textAlignment w:val="center"/>
                    <w:rPr>
                      <w:rFonts w:hint="default" w:eastAsia="宋体"/>
                      <w:color w:val="auto"/>
                      <w:lang w:val="en-US" w:eastAsia="zh-CN"/>
                    </w:rPr>
                  </w:pPr>
                  <w:r>
                    <w:rPr>
                      <w:rFonts w:hint="eastAsia"/>
                      <w:color w:val="auto"/>
                      <w:lang w:val="en-US" w:eastAsia="zh-CN"/>
                    </w:rPr>
                    <w:t>0.0788</w:t>
                  </w:r>
                </w:p>
              </w:tc>
              <w:tc>
                <w:tcPr>
                  <w:tcW w:w="690" w:type="dxa"/>
                  <w:noWrap w:val="0"/>
                  <w:vAlign w:val="center"/>
                </w:tcPr>
                <w:p w14:paraId="6D07A520">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0597</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1341" w:type="pct"/>
                  <w:noWrap w:val="0"/>
                  <w:vAlign w:val="center"/>
                </w:tcPr>
                <w:p w14:paraId="67AB9F63">
                  <w:pPr>
                    <w:pStyle w:val="69"/>
                    <w:rPr>
                      <w:color w:val="auto"/>
                    </w:rPr>
                  </w:pPr>
                  <w:r>
                    <w:rPr>
                      <w:color w:val="auto"/>
                    </w:rPr>
                    <w:t>集气系统+布袋除尘器</w:t>
                  </w:r>
                </w:p>
                <w:p w14:paraId="16320D4D">
                  <w:pPr>
                    <w:pStyle w:val="69"/>
                    <w:rPr>
                      <w:color w:val="auto"/>
                    </w:rPr>
                  </w:pPr>
                  <w:r>
                    <w:rPr>
                      <w:rFonts w:hint="eastAsia"/>
                      <w:color w:val="auto"/>
                    </w:rPr>
                    <w:t>车间排放</w:t>
                  </w:r>
                </w:p>
                <w:p w14:paraId="093F6089">
                  <w:pPr>
                    <w:pStyle w:val="69"/>
                    <w:rPr>
                      <w:color w:val="auto"/>
                    </w:rPr>
                  </w:pPr>
                  <w:r>
                    <w:rPr>
                      <w:color w:val="auto"/>
                    </w:rPr>
                    <w:t>除尘效率：99%</w:t>
                  </w:r>
                </w:p>
                <w:p w14:paraId="52E9CBCE">
                  <w:pPr>
                    <w:pStyle w:val="74"/>
                    <w:rPr>
                      <w:color w:val="auto"/>
                    </w:rPr>
                  </w:pPr>
                  <w:r>
                    <w:rPr>
                      <w:color w:val="auto"/>
                    </w:rPr>
                    <w:t>为可行技术</w:t>
                  </w:r>
                </w:p>
              </w:tc>
              <w:tc>
                <w:tcPr>
                  <w:tcW w:w="1112" w:type="dxa"/>
                  <w:tcBorders>
                    <w:right w:val="single" w:color="auto" w:sz="4" w:space="0"/>
                  </w:tcBorders>
                  <w:noWrap w:val="0"/>
                  <w:vAlign w:val="center"/>
                </w:tcPr>
                <w:p w14:paraId="2B3718E3">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0030</w:t>
                  </w:r>
                </w:p>
              </w:tc>
              <w:tc>
                <w:tcPr>
                  <w:tcW w:w="970" w:type="dxa"/>
                  <w:tcBorders>
                    <w:left w:val="single" w:color="auto" w:sz="4" w:space="0"/>
                    <w:right w:val="single" w:color="auto" w:sz="4" w:space="0"/>
                  </w:tcBorders>
                  <w:noWrap w:val="0"/>
                  <w:vAlign w:val="center"/>
                </w:tcPr>
                <w:p w14:paraId="4CDDEC3C">
                  <w:pPr>
                    <w:keepNext w:val="0"/>
                    <w:keepLines w:val="0"/>
                    <w:widowControl/>
                    <w:suppressLineNumbers w:val="0"/>
                    <w:jc w:val="center"/>
                    <w:textAlignment w:val="center"/>
                    <w:rPr>
                      <w:rFonts w:hint="eastAsia"/>
                      <w:color w:val="auto"/>
                    </w:rPr>
                  </w:pPr>
                  <w:r>
                    <w:rPr>
                      <w:rFonts w:hint="eastAsia"/>
                      <w:color w:val="auto"/>
                      <w:lang w:val="en-US" w:eastAsia="zh-CN"/>
                    </w:rPr>
                    <w:t>0.0079</w:t>
                  </w:r>
                </w:p>
              </w:tc>
              <w:tc>
                <w:tcPr>
                  <w:tcW w:w="1051" w:type="dxa"/>
                  <w:tcBorders>
                    <w:left w:val="single" w:color="auto" w:sz="4" w:space="0"/>
                  </w:tcBorders>
                  <w:noWrap w:val="0"/>
                  <w:vAlign w:val="center"/>
                </w:tcPr>
                <w:p w14:paraId="78855B02">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5000</w:t>
                  </w:r>
                </w:p>
              </w:tc>
              <w:tc>
                <w:tcPr>
                  <w:tcW w:w="1115" w:type="dxa"/>
                  <w:noWrap w:val="0"/>
                  <w:vAlign w:val="center"/>
                </w:tcPr>
                <w:p w14:paraId="15409DEA">
                  <w:pPr>
                    <w:keepNext w:val="0"/>
                    <w:keepLines w:val="0"/>
                    <w:widowControl/>
                    <w:suppressLineNumbers w:val="0"/>
                    <w:jc w:val="center"/>
                    <w:textAlignment w:val="center"/>
                    <w:rPr>
                      <w:rFonts w:hint="default"/>
                      <w:color w:val="auto"/>
                      <w:lang w:val="en-US"/>
                    </w:rPr>
                  </w:pPr>
                  <w:r>
                    <w:rPr>
                      <w:rFonts w:hint="default" w:ascii="Times New Roman" w:hAnsi="Times New Roman" w:eastAsia="宋体" w:cs="Times New Roman"/>
                      <w:i w:val="0"/>
                      <w:iCs w:val="0"/>
                      <w:color w:val="auto"/>
                      <w:kern w:val="0"/>
                      <w:sz w:val="21"/>
                      <w:szCs w:val="21"/>
                      <w:u w:val="none"/>
                      <w:lang w:val="en-US" w:eastAsia="zh-CN" w:bidi="ar"/>
                    </w:rPr>
                    <w:t>1.</w:t>
                  </w:r>
                  <w:r>
                    <w:rPr>
                      <w:rFonts w:hint="eastAsia" w:cs="Times New Roman"/>
                      <w:i w:val="0"/>
                      <w:iCs w:val="0"/>
                      <w:color w:val="auto"/>
                      <w:kern w:val="0"/>
                      <w:sz w:val="21"/>
                      <w:szCs w:val="21"/>
                      <w:u w:val="none"/>
                      <w:lang w:val="en-US" w:eastAsia="zh-CN" w:bidi="ar"/>
                    </w:rPr>
                    <w:t>2</w:t>
                  </w:r>
                </w:p>
              </w:tc>
            </w:tr>
          </w:tbl>
          <w:p w14:paraId="10778C97">
            <w:pPr>
              <w:pStyle w:val="62"/>
              <w:numPr>
                <w:ilvl w:val="2"/>
                <w:numId w:val="0"/>
              </w:numPr>
              <w:ind w:leftChars="0"/>
              <w:rPr>
                <w:rFonts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4.1.2</w:t>
            </w:r>
            <w:r>
              <w:rPr>
                <w:rFonts w:ascii="Times New Roman" w:hAnsi="Times New Roman" w:cs="Times New Roman"/>
                <w:color w:val="auto"/>
                <w:sz w:val="24"/>
                <w:szCs w:val="24"/>
              </w:rPr>
              <w:t>污染物排放情况汇总及达标排放情况</w:t>
            </w:r>
          </w:p>
          <w:p w14:paraId="70C11929">
            <w:pPr>
              <w:pStyle w:val="55"/>
              <w:ind w:firstLine="422"/>
              <w:rPr>
                <w:b/>
                <w:bCs/>
                <w:color w:val="auto"/>
                <w:sz w:val="24"/>
                <w:szCs w:val="24"/>
              </w:rPr>
            </w:pPr>
            <w:r>
              <w:rPr>
                <w:b/>
                <w:bCs/>
                <w:color w:val="auto"/>
                <w:sz w:val="24"/>
                <w:szCs w:val="24"/>
              </w:rPr>
              <w:t>（1）有组织排放</w:t>
            </w:r>
          </w:p>
          <w:p w14:paraId="41B521DD">
            <w:pPr>
              <w:pStyle w:val="116"/>
              <w:jc w:val="left"/>
              <w:rPr>
                <w:color w:val="auto"/>
                <w:sz w:val="24"/>
                <w:szCs w:val="24"/>
              </w:rPr>
            </w:pPr>
            <w:r>
              <w:rPr>
                <w:color w:val="auto"/>
                <w:sz w:val="24"/>
                <w:szCs w:val="24"/>
              </w:rPr>
              <w:t>各有组织排放及达标情况见</w:t>
            </w:r>
            <w:r>
              <w:rPr>
                <w:color w:val="auto"/>
                <w:sz w:val="24"/>
                <w:szCs w:val="24"/>
              </w:rPr>
              <w:fldChar w:fldCharType="begin"/>
            </w:r>
            <w:r>
              <w:rPr>
                <w:color w:val="auto"/>
                <w:sz w:val="24"/>
                <w:szCs w:val="24"/>
              </w:rPr>
              <w:instrText xml:space="preserve"> REF _Ref70155706 \r \h  \* MERGEFORMAT </w:instrText>
            </w:r>
            <w:r>
              <w:rPr>
                <w:color w:val="auto"/>
                <w:sz w:val="24"/>
                <w:szCs w:val="24"/>
              </w:rPr>
              <w:fldChar w:fldCharType="separate"/>
            </w:r>
            <w:r>
              <w:rPr>
                <w:rFonts w:hint="eastAsia"/>
                <w:color w:val="auto"/>
                <w:sz w:val="24"/>
                <w:szCs w:val="24"/>
              </w:rPr>
              <w:t>表4.1-</w:t>
            </w:r>
            <w:r>
              <w:rPr>
                <w:rFonts w:hint="eastAsia"/>
                <w:color w:val="auto"/>
                <w:sz w:val="24"/>
                <w:szCs w:val="24"/>
                <w:lang w:val="en-US" w:eastAsia="zh-CN"/>
              </w:rPr>
              <w:t>9</w:t>
            </w:r>
            <w:r>
              <w:rPr>
                <w:color w:val="auto"/>
                <w:sz w:val="24"/>
                <w:szCs w:val="24"/>
              </w:rPr>
              <w:fldChar w:fldCharType="end"/>
            </w:r>
            <w:r>
              <w:rPr>
                <w:color w:val="auto"/>
                <w:sz w:val="24"/>
                <w:szCs w:val="24"/>
              </w:rPr>
              <w:t>。</w:t>
            </w:r>
          </w:p>
          <w:p w14:paraId="6E19E78A">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b/>
                <w:bCs/>
                <w:color w:val="auto"/>
                <w:sz w:val="24"/>
                <w:szCs w:val="24"/>
              </w:rPr>
            </w:pPr>
            <w:bookmarkStart w:id="31" w:name="_Ref70155706"/>
            <w:r>
              <w:rPr>
                <w:rFonts w:hint="eastAsia" w:ascii="Times New Roman" w:hAnsi="Times New Roman" w:cs="Times New Roman"/>
                <w:b/>
                <w:bCs/>
                <w:color w:val="auto"/>
                <w:sz w:val="24"/>
                <w:szCs w:val="24"/>
                <w:lang w:val="en-US" w:eastAsia="zh-CN"/>
              </w:rPr>
              <w:t>表4.1-</w:t>
            </w:r>
            <w:r>
              <w:rPr>
                <w:rFonts w:hint="eastAsia" w:cs="Times New Roman"/>
                <w:b/>
                <w:bCs/>
                <w:color w:val="auto"/>
                <w:sz w:val="24"/>
                <w:szCs w:val="24"/>
                <w:lang w:val="en-US" w:eastAsia="zh-CN"/>
              </w:rPr>
              <w:t>9</w:t>
            </w:r>
            <w:r>
              <w:rPr>
                <w:rFonts w:hint="eastAsia" w:ascii="Times New Roman" w:hAnsi="Times New Roman" w:cs="Times New Roman"/>
                <w:b/>
                <w:bCs/>
                <w:color w:val="auto"/>
                <w:sz w:val="24"/>
                <w:szCs w:val="24"/>
                <w:lang w:val="en-US" w:eastAsia="zh-CN"/>
              </w:rPr>
              <w:t xml:space="preserve">  </w:t>
            </w:r>
            <w:r>
              <w:rPr>
                <w:rFonts w:ascii="Times New Roman" w:hAnsi="Times New Roman" w:cs="Times New Roman"/>
                <w:b/>
                <w:bCs/>
                <w:color w:val="auto"/>
                <w:sz w:val="24"/>
                <w:szCs w:val="24"/>
              </w:rPr>
              <w:t>有组织排放及达标情况一览表</w:t>
            </w:r>
            <w:bookmarkEnd w:id="31"/>
          </w:p>
          <w:tbl>
            <w:tblPr>
              <w:tblStyle w:val="23"/>
              <w:tblW w:w="8515"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1002"/>
              <w:gridCol w:w="871"/>
              <w:gridCol w:w="725"/>
              <w:gridCol w:w="725"/>
              <w:gridCol w:w="1393"/>
              <w:gridCol w:w="971"/>
              <w:gridCol w:w="778"/>
              <w:gridCol w:w="829"/>
              <w:gridCol w:w="628"/>
              <w:gridCol w:w="593"/>
            </w:tblGrid>
            <w:tr w14:paraId="6082C6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74" w:hRule="atLeast"/>
              </w:trPr>
              <w:tc>
                <w:tcPr>
                  <w:tcW w:w="588" w:type="pct"/>
                  <w:vMerge w:val="restart"/>
                  <w:noWrap w:val="0"/>
                  <w:vAlign w:val="center"/>
                </w:tcPr>
                <w:p w14:paraId="6E4E38B4">
                  <w:pPr>
                    <w:pStyle w:val="74"/>
                    <w:rPr>
                      <w:color w:val="auto"/>
                    </w:rPr>
                  </w:pPr>
                  <w:r>
                    <w:rPr>
                      <w:color w:val="auto"/>
                    </w:rPr>
                    <w:t>污染源</w:t>
                  </w:r>
                </w:p>
                <w:p w14:paraId="6DDCDD61">
                  <w:pPr>
                    <w:pStyle w:val="74"/>
                    <w:rPr>
                      <w:color w:val="auto"/>
                    </w:rPr>
                  </w:pPr>
                  <w:r>
                    <w:rPr>
                      <w:color w:val="auto"/>
                    </w:rPr>
                    <w:t>名称</w:t>
                  </w:r>
                </w:p>
              </w:tc>
              <w:tc>
                <w:tcPr>
                  <w:tcW w:w="511" w:type="pct"/>
                  <w:vMerge w:val="restart"/>
                  <w:noWrap w:val="0"/>
                  <w:vAlign w:val="center"/>
                </w:tcPr>
                <w:p w14:paraId="7AF3ECD1">
                  <w:pPr>
                    <w:pStyle w:val="74"/>
                    <w:rPr>
                      <w:color w:val="auto"/>
                    </w:rPr>
                  </w:pPr>
                  <w:r>
                    <w:rPr>
                      <w:color w:val="auto"/>
                    </w:rPr>
                    <w:t>废气量</w:t>
                  </w:r>
                </w:p>
                <w:p w14:paraId="4ABB6330">
                  <w:pPr>
                    <w:pStyle w:val="74"/>
                    <w:rPr>
                      <w:color w:val="auto"/>
                    </w:rPr>
                  </w:pPr>
                  <w:r>
                    <w:rPr>
                      <w:color w:val="auto"/>
                    </w:rPr>
                    <w:t>(m</w:t>
                  </w:r>
                  <w:r>
                    <w:rPr>
                      <w:color w:val="auto"/>
                      <w:vertAlign w:val="superscript"/>
                    </w:rPr>
                    <w:t>3</w:t>
                  </w:r>
                  <w:r>
                    <w:rPr>
                      <w:color w:val="auto"/>
                    </w:rPr>
                    <w:t>/</w:t>
                  </w:r>
                  <w:r>
                    <w:rPr>
                      <w:rFonts w:hint="eastAsia"/>
                      <w:color w:val="auto"/>
                    </w:rPr>
                    <w:t>h</w:t>
                  </w:r>
                  <w:r>
                    <w:rPr>
                      <w:color w:val="auto"/>
                    </w:rPr>
                    <w:t>)</w:t>
                  </w:r>
                </w:p>
              </w:tc>
              <w:tc>
                <w:tcPr>
                  <w:tcW w:w="425" w:type="pct"/>
                  <w:vMerge w:val="restart"/>
                  <w:noWrap w:val="0"/>
                  <w:vAlign w:val="center"/>
                </w:tcPr>
                <w:p w14:paraId="69772529">
                  <w:pPr>
                    <w:pStyle w:val="74"/>
                    <w:rPr>
                      <w:color w:val="auto"/>
                    </w:rPr>
                  </w:pPr>
                  <w:r>
                    <w:rPr>
                      <w:color w:val="auto"/>
                    </w:rPr>
                    <w:t>年排放小时数(h)</w:t>
                  </w:r>
                </w:p>
              </w:tc>
              <w:tc>
                <w:tcPr>
                  <w:tcW w:w="425" w:type="pct"/>
                  <w:vMerge w:val="restart"/>
                  <w:noWrap w:val="0"/>
                  <w:vAlign w:val="center"/>
                </w:tcPr>
                <w:p w14:paraId="5442D217">
                  <w:pPr>
                    <w:pStyle w:val="74"/>
                    <w:rPr>
                      <w:color w:val="auto"/>
                    </w:rPr>
                  </w:pPr>
                  <w:r>
                    <w:rPr>
                      <w:color w:val="auto"/>
                    </w:rPr>
                    <w:t>排放</w:t>
                  </w:r>
                </w:p>
                <w:p w14:paraId="1A1136A5">
                  <w:pPr>
                    <w:pStyle w:val="74"/>
                    <w:rPr>
                      <w:color w:val="auto"/>
                    </w:rPr>
                  </w:pPr>
                  <w:r>
                    <w:rPr>
                      <w:color w:val="auto"/>
                    </w:rPr>
                    <w:t>工况</w:t>
                  </w:r>
                </w:p>
              </w:tc>
              <w:tc>
                <w:tcPr>
                  <w:tcW w:w="2331" w:type="pct"/>
                  <w:gridSpan w:val="4"/>
                  <w:tcBorders>
                    <w:bottom w:val="single" w:color="auto" w:sz="4" w:space="0"/>
                  </w:tcBorders>
                  <w:noWrap w:val="0"/>
                  <w:vAlign w:val="center"/>
                </w:tcPr>
                <w:p w14:paraId="606F7BA5">
                  <w:pPr>
                    <w:pStyle w:val="74"/>
                    <w:rPr>
                      <w:color w:val="auto"/>
                    </w:rPr>
                  </w:pPr>
                  <w:r>
                    <w:rPr>
                      <w:color w:val="auto"/>
                    </w:rPr>
                    <w:t>排放情况</w:t>
                  </w:r>
                </w:p>
              </w:tc>
              <w:tc>
                <w:tcPr>
                  <w:tcW w:w="368" w:type="pct"/>
                  <w:vMerge w:val="restart"/>
                  <w:tcBorders>
                    <w:right w:val="single" w:color="auto" w:sz="4" w:space="0"/>
                  </w:tcBorders>
                  <w:noWrap w:val="0"/>
                  <w:vAlign w:val="center"/>
                </w:tcPr>
                <w:p w14:paraId="6C17A163">
                  <w:pPr>
                    <w:pStyle w:val="74"/>
                    <w:rPr>
                      <w:color w:val="auto"/>
                    </w:rPr>
                  </w:pPr>
                  <w:r>
                    <w:rPr>
                      <w:color w:val="auto"/>
                    </w:rPr>
                    <w:t>排放标准mg/m</w:t>
                  </w:r>
                  <w:r>
                    <w:rPr>
                      <w:color w:val="auto"/>
                      <w:vertAlign w:val="superscript"/>
                    </w:rPr>
                    <w:t>3</w:t>
                  </w:r>
                </w:p>
              </w:tc>
              <w:tc>
                <w:tcPr>
                  <w:tcW w:w="348" w:type="pct"/>
                  <w:vMerge w:val="restart"/>
                  <w:tcBorders>
                    <w:left w:val="single" w:color="auto" w:sz="4" w:space="0"/>
                  </w:tcBorders>
                  <w:noWrap w:val="0"/>
                  <w:vAlign w:val="center"/>
                </w:tcPr>
                <w:p w14:paraId="1E518D66">
                  <w:pPr>
                    <w:pStyle w:val="74"/>
                    <w:rPr>
                      <w:color w:val="auto"/>
                    </w:rPr>
                  </w:pPr>
                  <w:r>
                    <w:rPr>
                      <w:color w:val="auto"/>
                    </w:rPr>
                    <w:t>达标情况</w:t>
                  </w:r>
                </w:p>
              </w:tc>
            </w:tr>
            <w:tr w14:paraId="6EE5A7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73" w:hRule="atLeast"/>
              </w:trPr>
              <w:tc>
                <w:tcPr>
                  <w:tcW w:w="588" w:type="pct"/>
                  <w:vMerge w:val="continue"/>
                  <w:noWrap w:val="0"/>
                  <w:vAlign w:val="center"/>
                </w:tcPr>
                <w:p w14:paraId="2E166831">
                  <w:pPr>
                    <w:pStyle w:val="74"/>
                    <w:rPr>
                      <w:color w:val="auto"/>
                    </w:rPr>
                  </w:pPr>
                </w:p>
              </w:tc>
              <w:tc>
                <w:tcPr>
                  <w:tcW w:w="511" w:type="pct"/>
                  <w:vMerge w:val="continue"/>
                  <w:noWrap w:val="0"/>
                  <w:vAlign w:val="center"/>
                </w:tcPr>
                <w:p w14:paraId="4378E3F9">
                  <w:pPr>
                    <w:pStyle w:val="74"/>
                    <w:rPr>
                      <w:color w:val="auto"/>
                    </w:rPr>
                  </w:pPr>
                </w:p>
              </w:tc>
              <w:tc>
                <w:tcPr>
                  <w:tcW w:w="425" w:type="pct"/>
                  <w:vMerge w:val="continue"/>
                  <w:noWrap w:val="0"/>
                  <w:vAlign w:val="center"/>
                </w:tcPr>
                <w:p w14:paraId="0B46CD9C">
                  <w:pPr>
                    <w:pStyle w:val="74"/>
                    <w:rPr>
                      <w:color w:val="auto"/>
                    </w:rPr>
                  </w:pPr>
                </w:p>
              </w:tc>
              <w:tc>
                <w:tcPr>
                  <w:tcW w:w="425" w:type="pct"/>
                  <w:vMerge w:val="continue"/>
                  <w:noWrap w:val="0"/>
                  <w:vAlign w:val="center"/>
                </w:tcPr>
                <w:p w14:paraId="5418512B">
                  <w:pPr>
                    <w:pStyle w:val="74"/>
                    <w:rPr>
                      <w:color w:val="auto"/>
                    </w:rPr>
                  </w:pPr>
                </w:p>
              </w:tc>
              <w:tc>
                <w:tcPr>
                  <w:tcW w:w="817" w:type="pct"/>
                  <w:tcBorders>
                    <w:bottom w:val="single" w:color="auto" w:sz="4" w:space="0"/>
                  </w:tcBorders>
                  <w:noWrap w:val="0"/>
                  <w:vAlign w:val="center"/>
                </w:tcPr>
                <w:p w14:paraId="6D521F88">
                  <w:pPr>
                    <w:pStyle w:val="74"/>
                    <w:rPr>
                      <w:color w:val="auto"/>
                    </w:rPr>
                  </w:pPr>
                  <w:r>
                    <w:rPr>
                      <w:rFonts w:hint="eastAsia"/>
                      <w:color w:val="auto"/>
                    </w:rPr>
                    <w:t>污染物</w:t>
                  </w:r>
                </w:p>
              </w:tc>
              <w:tc>
                <w:tcPr>
                  <w:tcW w:w="570" w:type="pct"/>
                  <w:tcBorders>
                    <w:bottom w:val="single" w:color="auto" w:sz="4" w:space="0"/>
                  </w:tcBorders>
                  <w:noWrap w:val="0"/>
                  <w:vAlign w:val="center"/>
                </w:tcPr>
                <w:p w14:paraId="4B08E44E">
                  <w:pPr>
                    <w:pStyle w:val="74"/>
                    <w:rPr>
                      <w:rFonts w:hint="eastAsia"/>
                      <w:color w:val="auto"/>
                    </w:rPr>
                  </w:pPr>
                  <w:r>
                    <w:rPr>
                      <w:rFonts w:hint="eastAsia"/>
                      <w:color w:val="auto"/>
                    </w:rPr>
                    <w:t>速率kg/h</w:t>
                  </w:r>
                </w:p>
              </w:tc>
              <w:tc>
                <w:tcPr>
                  <w:tcW w:w="456" w:type="pct"/>
                  <w:tcBorders>
                    <w:bottom w:val="single" w:color="auto" w:sz="4" w:space="0"/>
                  </w:tcBorders>
                  <w:noWrap w:val="0"/>
                  <w:vAlign w:val="center"/>
                </w:tcPr>
                <w:p w14:paraId="122745E0">
                  <w:pPr>
                    <w:pStyle w:val="74"/>
                    <w:rPr>
                      <w:color w:val="auto"/>
                    </w:rPr>
                  </w:pPr>
                  <w:r>
                    <w:rPr>
                      <w:rFonts w:hint="eastAsia"/>
                      <w:color w:val="auto"/>
                    </w:rPr>
                    <w:t>量t/a</w:t>
                  </w:r>
                </w:p>
              </w:tc>
              <w:tc>
                <w:tcPr>
                  <w:tcW w:w="486" w:type="pct"/>
                  <w:noWrap w:val="0"/>
                  <w:vAlign w:val="center"/>
                </w:tcPr>
                <w:p w14:paraId="0BDC311A">
                  <w:pPr>
                    <w:pStyle w:val="74"/>
                    <w:rPr>
                      <w:color w:val="auto"/>
                    </w:rPr>
                  </w:pPr>
                  <w:r>
                    <w:rPr>
                      <w:color w:val="auto"/>
                    </w:rPr>
                    <w:t>浓度</w:t>
                  </w:r>
                </w:p>
                <w:p w14:paraId="3E37FDF7">
                  <w:pPr>
                    <w:pStyle w:val="74"/>
                    <w:rPr>
                      <w:color w:val="auto"/>
                    </w:rPr>
                  </w:pPr>
                  <w:r>
                    <w:rPr>
                      <w:color w:val="auto"/>
                    </w:rPr>
                    <w:t>mg/m</w:t>
                  </w:r>
                  <w:r>
                    <w:rPr>
                      <w:color w:val="auto"/>
                      <w:vertAlign w:val="superscript"/>
                    </w:rPr>
                    <w:t>3</w:t>
                  </w:r>
                </w:p>
              </w:tc>
              <w:tc>
                <w:tcPr>
                  <w:tcW w:w="368" w:type="pct"/>
                  <w:vMerge w:val="continue"/>
                  <w:tcBorders>
                    <w:bottom w:val="single" w:color="auto" w:sz="4" w:space="0"/>
                    <w:right w:val="single" w:color="auto" w:sz="4" w:space="0"/>
                  </w:tcBorders>
                  <w:noWrap w:val="0"/>
                  <w:vAlign w:val="center"/>
                </w:tcPr>
                <w:p w14:paraId="2D83821A">
                  <w:pPr>
                    <w:pStyle w:val="74"/>
                    <w:rPr>
                      <w:color w:val="auto"/>
                    </w:rPr>
                  </w:pPr>
                </w:p>
              </w:tc>
              <w:tc>
                <w:tcPr>
                  <w:tcW w:w="348" w:type="pct"/>
                  <w:vMerge w:val="continue"/>
                  <w:tcBorders>
                    <w:left w:val="single" w:color="auto" w:sz="4" w:space="0"/>
                  </w:tcBorders>
                  <w:noWrap w:val="0"/>
                  <w:vAlign w:val="center"/>
                </w:tcPr>
                <w:p w14:paraId="3D4800ED">
                  <w:pPr>
                    <w:pStyle w:val="74"/>
                    <w:rPr>
                      <w:color w:val="auto"/>
                    </w:rPr>
                  </w:pPr>
                </w:p>
              </w:tc>
            </w:tr>
            <w:tr w14:paraId="4FED90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38" w:hRule="atLeast"/>
              </w:trPr>
              <w:tc>
                <w:tcPr>
                  <w:tcW w:w="588" w:type="pct"/>
                  <w:vMerge w:val="restart"/>
                  <w:noWrap w:val="0"/>
                  <w:vAlign w:val="center"/>
                </w:tcPr>
                <w:p w14:paraId="748C8BF6">
                  <w:pPr>
                    <w:pStyle w:val="74"/>
                    <w:rPr>
                      <w:rFonts w:hint="eastAsia"/>
                      <w:color w:val="auto"/>
                    </w:rPr>
                  </w:pPr>
                  <w:r>
                    <w:rPr>
                      <w:rFonts w:hint="eastAsia"/>
                      <w:color w:val="auto"/>
                    </w:rPr>
                    <w:t>熔融挤压（</w:t>
                  </w:r>
                  <w:r>
                    <w:rPr>
                      <w:color w:val="auto"/>
                    </w:rPr>
                    <w:t>DA001</w:t>
                  </w:r>
                  <w:r>
                    <w:rPr>
                      <w:rFonts w:hint="eastAsia"/>
                      <w:color w:val="auto"/>
                    </w:rPr>
                    <w:t>）</w:t>
                  </w:r>
                </w:p>
              </w:tc>
              <w:tc>
                <w:tcPr>
                  <w:tcW w:w="511" w:type="pct"/>
                  <w:vMerge w:val="restart"/>
                  <w:noWrap w:val="0"/>
                  <w:vAlign w:val="center"/>
                </w:tcPr>
                <w:p w14:paraId="4FED6820">
                  <w:pPr>
                    <w:pStyle w:val="74"/>
                    <w:rPr>
                      <w:rFonts w:hint="eastAsia"/>
                      <w:color w:val="auto"/>
                    </w:rPr>
                  </w:pPr>
                  <w:r>
                    <w:rPr>
                      <w:rFonts w:hint="eastAsia"/>
                      <w:color w:val="auto"/>
                      <w:lang w:val="en-US" w:eastAsia="zh-CN"/>
                    </w:rPr>
                    <w:t>50</w:t>
                  </w:r>
                  <w:r>
                    <w:rPr>
                      <w:color w:val="auto"/>
                    </w:rPr>
                    <w:t>00</w:t>
                  </w:r>
                </w:p>
              </w:tc>
              <w:tc>
                <w:tcPr>
                  <w:tcW w:w="425" w:type="pct"/>
                  <w:vMerge w:val="restart"/>
                  <w:noWrap w:val="0"/>
                  <w:vAlign w:val="center"/>
                </w:tcPr>
                <w:p w14:paraId="0CDACD9E">
                  <w:pPr>
                    <w:pStyle w:val="74"/>
                    <w:rPr>
                      <w:color w:val="auto"/>
                    </w:rPr>
                  </w:pPr>
                  <w:r>
                    <w:rPr>
                      <w:rFonts w:hint="eastAsia"/>
                      <w:color w:val="auto"/>
                    </w:rPr>
                    <w:t>2</w:t>
                  </w:r>
                  <w:r>
                    <w:rPr>
                      <w:color w:val="auto"/>
                    </w:rPr>
                    <w:t>640</w:t>
                  </w:r>
                </w:p>
              </w:tc>
              <w:tc>
                <w:tcPr>
                  <w:tcW w:w="425" w:type="pct"/>
                  <w:vMerge w:val="restart"/>
                  <w:noWrap w:val="0"/>
                  <w:vAlign w:val="center"/>
                </w:tcPr>
                <w:p w14:paraId="4BB1605A">
                  <w:pPr>
                    <w:pStyle w:val="74"/>
                    <w:rPr>
                      <w:color w:val="auto"/>
                    </w:rPr>
                  </w:pPr>
                  <w:r>
                    <w:rPr>
                      <w:color w:val="auto"/>
                    </w:rPr>
                    <w:t>正常</w:t>
                  </w:r>
                </w:p>
                <w:p w14:paraId="286042D9">
                  <w:pPr>
                    <w:pStyle w:val="74"/>
                    <w:rPr>
                      <w:color w:val="auto"/>
                    </w:rPr>
                  </w:pPr>
                  <w:r>
                    <w:rPr>
                      <w:color w:val="auto"/>
                    </w:rPr>
                    <w:t>排放</w:t>
                  </w:r>
                </w:p>
              </w:tc>
              <w:tc>
                <w:tcPr>
                  <w:tcW w:w="817" w:type="pct"/>
                  <w:tcBorders>
                    <w:right w:val="single" w:color="auto" w:sz="4" w:space="0"/>
                  </w:tcBorders>
                  <w:noWrap w:val="0"/>
                  <w:vAlign w:val="center"/>
                </w:tcPr>
                <w:p w14:paraId="287D989C">
                  <w:pPr>
                    <w:pStyle w:val="74"/>
                    <w:rPr>
                      <w:color w:val="auto"/>
                    </w:rPr>
                  </w:pPr>
                  <w:r>
                    <w:rPr>
                      <w:color w:val="auto"/>
                    </w:rPr>
                    <w:t>非甲烷总烃</w:t>
                  </w:r>
                </w:p>
              </w:tc>
              <w:tc>
                <w:tcPr>
                  <w:tcW w:w="570" w:type="pct"/>
                  <w:tcBorders>
                    <w:left w:val="single" w:color="auto" w:sz="4" w:space="0"/>
                    <w:right w:val="single" w:color="auto" w:sz="4" w:space="0"/>
                  </w:tcBorders>
                  <w:noWrap w:val="0"/>
                  <w:vAlign w:val="center"/>
                </w:tcPr>
                <w:p w14:paraId="45B5E65B">
                  <w:pPr>
                    <w:keepNext w:val="0"/>
                    <w:keepLines w:val="0"/>
                    <w:widowControl/>
                    <w:suppressLineNumbers w:val="0"/>
                    <w:jc w:val="center"/>
                    <w:textAlignment w:val="center"/>
                    <w:rPr>
                      <w:rFonts w:hint="default" w:eastAsia="宋体"/>
                      <w:color w:val="auto"/>
                      <w:lang w:val="en-US" w:eastAsia="zh-CN"/>
                    </w:rPr>
                  </w:pPr>
                  <w:r>
                    <w:rPr>
                      <w:rFonts w:hint="eastAsia" w:cs="Times New Roman"/>
                      <w:i w:val="0"/>
                      <w:iCs w:val="0"/>
                      <w:color w:val="auto"/>
                      <w:kern w:val="0"/>
                      <w:sz w:val="21"/>
                      <w:szCs w:val="21"/>
                      <w:u w:val="none"/>
                      <w:lang w:val="en-US" w:eastAsia="zh-CN" w:bidi="ar"/>
                    </w:rPr>
                    <w:t>0.2386</w:t>
                  </w:r>
                </w:p>
              </w:tc>
              <w:tc>
                <w:tcPr>
                  <w:tcW w:w="456" w:type="pct"/>
                  <w:tcBorders>
                    <w:left w:val="single" w:color="auto" w:sz="4" w:space="0"/>
                  </w:tcBorders>
                  <w:noWrap w:val="0"/>
                  <w:vAlign w:val="center"/>
                </w:tcPr>
                <w:p w14:paraId="6C2C5E3A">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 </w:t>
                  </w:r>
                  <w:r>
                    <w:rPr>
                      <w:rFonts w:hint="eastAsia" w:cs="Times New Roman"/>
                      <w:i w:val="0"/>
                      <w:iCs w:val="0"/>
                      <w:color w:val="auto"/>
                      <w:kern w:val="0"/>
                      <w:sz w:val="21"/>
                      <w:szCs w:val="21"/>
                      <w:u w:val="none"/>
                      <w:lang w:val="en-US" w:eastAsia="zh-CN" w:bidi="ar"/>
                    </w:rPr>
                    <w:t>0.63</w:t>
                  </w:r>
                </w:p>
              </w:tc>
              <w:tc>
                <w:tcPr>
                  <w:tcW w:w="486" w:type="pct"/>
                  <w:noWrap w:val="0"/>
                  <w:vAlign w:val="center"/>
                </w:tcPr>
                <w:p w14:paraId="4DF1F575">
                  <w:pPr>
                    <w:pStyle w:val="74"/>
                    <w:rPr>
                      <w:rFonts w:hint="default" w:eastAsia="宋体"/>
                      <w:color w:val="auto"/>
                      <w:lang w:val="en-US" w:eastAsia="zh-CN"/>
                    </w:rPr>
                  </w:pPr>
                  <w:r>
                    <w:rPr>
                      <w:rFonts w:hint="eastAsia"/>
                      <w:color w:val="auto"/>
                      <w:lang w:val="en-US" w:eastAsia="zh-CN"/>
                    </w:rPr>
                    <w:t>47.72</w:t>
                  </w:r>
                </w:p>
              </w:tc>
              <w:tc>
                <w:tcPr>
                  <w:tcW w:w="368" w:type="pct"/>
                  <w:tcBorders>
                    <w:left w:val="single" w:color="auto" w:sz="4" w:space="0"/>
                    <w:right w:val="single" w:color="auto" w:sz="4" w:space="0"/>
                  </w:tcBorders>
                  <w:noWrap w:val="0"/>
                  <w:vAlign w:val="center"/>
                </w:tcPr>
                <w:p w14:paraId="04D7E683">
                  <w:pPr>
                    <w:pStyle w:val="74"/>
                    <w:rPr>
                      <w:color w:val="auto"/>
                    </w:rPr>
                  </w:pPr>
                  <w:r>
                    <w:rPr>
                      <w:rFonts w:hint="eastAsia"/>
                      <w:color w:val="auto"/>
                    </w:rPr>
                    <w:t>1</w:t>
                  </w:r>
                  <w:r>
                    <w:rPr>
                      <w:color w:val="auto"/>
                    </w:rPr>
                    <w:t>00</w:t>
                  </w:r>
                </w:p>
              </w:tc>
              <w:tc>
                <w:tcPr>
                  <w:tcW w:w="348" w:type="pct"/>
                  <w:tcBorders>
                    <w:left w:val="single" w:color="auto" w:sz="4" w:space="0"/>
                  </w:tcBorders>
                  <w:noWrap w:val="0"/>
                  <w:vAlign w:val="center"/>
                </w:tcPr>
                <w:p w14:paraId="54EC5F41">
                  <w:pPr>
                    <w:pStyle w:val="74"/>
                    <w:rPr>
                      <w:color w:val="auto"/>
                    </w:rPr>
                  </w:pPr>
                  <w:r>
                    <w:rPr>
                      <w:color w:val="auto"/>
                    </w:rPr>
                    <w:t>达标</w:t>
                  </w:r>
                </w:p>
              </w:tc>
            </w:tr>
            <w:tr w14:paraId="4B2F66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38" w:hRule="atLeast"/>
              </w:trPr>
              <w:tc>
                <w:tcPr>
                  <w:tcW w:w="588" w:type="pct"/>
                  <w:vMerge w:val="continue"/>
                  <w:noWrap w:val="0"/>
                  <w:vAlign w:val="center"/>
                </w:tcPr>
                <w:p w14:paraId="704B4C13">
                  <w:pPr>
                    <w:pStyle w:val="74"/>
                    <w:rPr>
                      <w:rFonts w:hint="eastAsia"/>
                      <w:color w:val="auto"/>
                    </w:rPr>
                  </w:pPr>
                </w:p>
              </w:tc>
              <w:tc>
                <w:tcPr>
                  <w:tcW w:w="511" w:type="pct"/>
                  <w:vMerge w:val="continue"/>
                  <w:noWrap w:val="0"/>
                  <w:vAlign w:val="center"/>
                </w:tcPr>
                <w:p w14:paraId="5925181D">
                  <w:pPr>
                    <w:pStyle w:val="74"/>
                    <w:rPr>
                      <w:rFonts w:hint="eastAsia"/>
                      <w:color w:val="auto"/>
                      <w:lang w:val="en-US" w:eastAsia="zh-CN"/>
                    </w:rPr>
                  </w:pPr>
                </w:p>
              </w:tc>
              <w:tc>
                <w:tcPr>
                  <w:tcW w:w="425" w:type="pct"/>
                  <w:vMerge w:val="continue"/>
                  <w:noWrap w:val="0"/>
                  <w:vAlign w:val="center"/>
                </w:tcPr>
                <w:p w14:paraId="706AF247">
                  <w:pPr>
                    <w:pStyle w:val="74"/>
                    <w:rPr>
                      <w:rFonts w:hint="eastAsia"/>
                      <w:color w:val="auto"/>
                    </w:rPr>
                  </w:pPr>
                </w:p>
              </w:tc>
              <w:tc>
                <w:tcPr>
                  <w:tcW w:w="425" w:type="pct"/>
                  <w:vMerge w:val="continue"/>
                  <w:noWrap w:val="0"/>
                  <w:vAlign w:val="center"/>
                </w:tcPr>
                <w:p w14:paraId="38A9A4CB">
                  <w:pPr>
                    <w:pStyle w:val="74"/>
                    <w:rPr>
                      <w:color w:val="auto"/>
                    </w:rPr>
                  </w:pPr>
                </w:p>
              </w:tc>
              <w:tc>
                <w:tcPr>
                  <w:tcW w:w="817" w:type="pct"/>
                  <w:tcBorders>
                    <w:right w:val="single" w:color="auto" w:sz="4" w:space="0"/>
                  </w:tcBorders>
                  <w:noWrap w:val="0"/>
                  <w:vAlign w:val="center"/>
                </w:tcPr>
                <w:p w14:paraId="1ACBEB84">
                  <w:pPr>
                    <w:pStyle w:val="74"/>
                    <w:rPr>
                      <w:rFonts w:hint="default" w:eastAsia="宋体"/>
                      <w:color w:val="auto"/>
                      <w:lang w:val="en-US" w:eastAsia="zh-CN"/>
                    </w:rPr>
                  </w:pPr>
                  <w:r>
                    <w:rPr>
                      <w:rFonts w:hint="eastAsia"/>
                      <w:color w:val="auto"/>
                      <w:lang w:val="en-US" w:eastAsia="zh-CN"/>
                    </w:rPr>
                    <w:t>臭气浓度</w:t>
                  </w:r>
                </w:p>
              </w:tc>
              <w:tc>
                <w:tcPr>
                  <w:tcW w:w="570" w:type="pct"/>
                  <w:tcBorders>
                    <w:left w:val="single" w:color="auto" w:sz="4" w:space="0"/>
                    <w:right w:val="single" w:color="auto" w:sz="4" w:space="0"/>
                  </w:tcBorders>
                  <w:noWrap w:val="0"/>
                  <w:vAlign w:val="center"/>
                </w:tcPr>
                <w:p w14:paraId="09DF1760">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456" w:type="pct"/>
                  <w:tcBorders>
                    <w:left w:val="single" w:color="auto" w:sz="4" w:space="0"/>
                  </w:tcBorders>
                  <w:noWrap w:val="0"/>
                  <w:vAlign w:val="center"/>
                </w:tcPr>
                <w:p w14:paraId="479EEF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486" w:type="pct"/>
                  <w:noWrap w:val="0"/>
                  <w:vAlign w:val="center"/>
                </w:tcPr>
                <w:p w14:paraId="65B3F61D">
                  <w:pPr>
                    <w:pStyle w:val="74"/>
                    <w:rPr>
                      <w:rFonts w:hint="eastAsia"/>
                      <w:color w:val="auto"/>
                      <w:lang w:val="en-US" w:eastAsia="zh-CN"/>
                    </w:rPr>
                  </w:pPr>
                  <w:r>
                    <w:rPr>
                      <w:rFonts w:hint="eastAsia" w:ascii="Arial" w:hAnsi="Arial" w:cs="Arial"/>
                      <w:color w:val="auto"/>
                      <w:lang w:val="en-US" w:eastAsia="zh-CN"/>
                    </w:rPr>
                    <w:t>/</w:t>
                  </w:r>
                </w:p>
              </w:tc>
              <w:tc>
                <w:tcPr>
                  <w:tcW w:w="368" w:type="pct"/>
                  <w:tcBorders>
                    <w:left w:val="single" w:color="auto" w:sz="4" w:space="0"/>
                    <w:right w:val="single" w:color="auto" w:sz="4" w:space="0"/>
                  </w:tcBorders>
                  <w:noWrap w:val="0"/>
                  <w:vAlign w:val="center"/>
                </w:tcPr>
                <w:p w14:paraId="76DBD3DB">
                  <w:pPr>
                    <w:pStyle w:val="74"/>
                    <w:rPr>
                      <w:rFonts w:hint="eastAsia"/>
                      <w:color w:val="auto"/>
                    </w:rPr>
                  </w:pPr>
                  <w:r>
                    <w:rPr>
                      <w:rFonts w:hint="eastAsia"/>
                      <w:color w:val="auto"/>
                      <w:lang w:val="en-US" w:eastAsia="zh-CN"/>
                    </w:rPr>
                    <w:t>2000</w:t>
                  </w:r>
                </w:p>
              </w:tc>
              <w:tc>
                <w:tcPr>
                  <w:tcW w:w="348" w:type="pct"/>
                  <w:tcBorders>
                    <w:left w:val="single" w:color="auto" w:sz="4" w:space="0"/>
                  </w:tcBorders>
                  <w:noWrap w:val="0"/>
                  <w:vAlign w:val="center"/>
                </w:tcPr>
                <w:p w14:paraId="3D10A2AF">
                  <w:pPr>
                    <w:pStyle w:val="74"/>
                    <w:rPr>
                      <w:rFonts w:hint="eastAsia" w:eastAsia="宋体"/>
                      <w:color w:val="auto"/>
                      <w:lang w:eastAsia="zh-CN"/>
                    </w:rPr>
                  </w:pPr>
                  <w:r>
                    <w:rPr>
                      <w:rFonts w:hint="eastAsia"/>
                      <w:color w:val="auto"/>
                      <w:lang w:eastAsia="zh-CN"/>
                    </w:rPr>
                    <w:t>预计满足</w:t>
                  </w:r>
                </w:p>
              </w:tc>
            </w:tr>
            <w:tr w14:paraId="725882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38" w:hRule="atLeast"/>
              </w:trPr>
              <w:tc>
                <w:tcPr>
                  <w:tcW w:w="5000" w:type="pct"/>
                  <w:gridSpan w:val="10"/>
                  <w:noWrap w:val="0"/>
                  <w:vAlign w:val="center"/>
                </w:tcPr>
                <w:p w14:paraId="0BC43845">
                  <w:pPr>
                    <w:pStyle w:val="74"/>
                    <w:rPr>
                      <w:color w:val="auto"/>
                    </w:rPr>
                  </w:pPr>
                  <w:r>
                    <w:rPr>
                      <w:color w:val="auto"/>
                    </w:rPr>
                    <w:t>注：</w:t>
                  </w:r>
                  <w:r>
                    <w:rPr>
                      <w:rFonts w:hint="eastAsia"/>
                      <w:color w:val="auto"/>
                    </w:rPr>
                    <w:t>非甲烷总烃</w:t>
                  </w:r>
                  <w:r>
                    <w:rPr>
                      <w:color w:val="auto"/>
                    </w:rPr>
                    <w:t>执行</w:t>
                  </w:r>
                  <w:r>
                    <w:rPr>
                      <w:rFonts w:hint="eastAsia"/>
                      <w:color w:val="auto"/>
                      <w:lang w:eastAsia="zh-CN"/>
                    </w:rPr>
                    <w:t>《合成树脂工业污染物排放标准》（GB 31572-2015，含2024年修改单）</w:t>
                  </w:r>
                  <w:r>
                    <w:rPr>
                      <w:rFonts w:hint="eastAsia"/>
                      <w:color w:val="auto"/>
                    </w:rPr>
                    <w:t>表4标准</w:t>
                  </w:r>
                </w:p>
              </w:tc>
            </w:tr>
          </w:tbl>
          <w:p w14:paraId="2CFB1BB4">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b/>
                <w:bCs/>
                <w:color w:val="auto"/>
                <w:sz w:val="24"/>
                <w:szCs w:val="24"/>
              </w:rPr>
            </w:pPr>
            <w:r>
              <w:rPr>
                <w:rFonts w:hint="eastAsia" w:ascii="Times New Roman" w:hAnsi="Times New Roman" w:cs="Times New Roman"/>
                <w:b/>
                <w:bCs/>
                <w:color w:val="auto"/>
                <w:sz w:val="24"/>
                <w:szCs w:val="24"/>
                <w:lang w:val="en-US" w:eastAsia="zh-CN"/>
              </w:rPr>
              <w:t>表4.1-</w:t>
            </w:r>
            <w:r>
              <w:rPr>
                <w:rFonts w:hint="eastAsia" w:cs="Times New Roman"/>
                <w:b/>
                <w:bCs/>
                <w:color w:val="auto"/>
                <w:sz w:val="24"/>
                <w:szCs w:val="24"/>
                <w:lang w:val="en-US" w:eastAsia="zh-CN"/>
              </w:rPr>
              <w:t>10</w:t>
            </w:r>
            <w:r>
              <w:rPr>
                <w:rFonts w:hint="eastAsia" w:ascii="Times New Roman" w:hAnsi="Times New Roman" w:cs="Times New Roman"/>
                <w:b w:val="0"/>
                <w:bCs w:val="0"/>
                <w:color w:val="auto"/>
                <w:sz w:val="24"/>
                <w:szCs w:val="24"/>
                <w:lang w:val="en-US" w:eastAsia="zh-CN"/>
              </w:rPr>
              <w:t xml:space="preserve">  </w:t>
            </w:r>
            <w:r>
              <w:rPr>
                <w:rFonts w:ascii="Times New Roman" w:hAnsi="Times New Roman" w:cs="Times New Roman"/>
                <w:b/>
                <w:bCs/>
                <w:color w:val="auto"/>
                <w:sz w:val="24"/>
                <w:szCs w:val="24"/>
              </w:rPr>
              <w:t>排气筒参数</w:t>
            </w:r>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999"/>
              <w:gridCol w:w="1891"/>
              <w:gridCol w:w="1020"/>
              <w:gridCol w:w="1018"/>
              <w:gridCol w:w="1167"/>
              <w:gridCol w:w="1162"/>
              <w:gridCol w:w="1220"/>
            </w:tblGrid>
            <w:tr w14:paraId="10F5DD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589" w:type="pct"/>
                  <w:noWrap w:val="0"/>
                  <w:vAlign w:val="center"/>
                </w:tcPr>
                <w:p w14:paraId="4EE398DD">
                  <w:pPr>
                    <w:pStyle w:val="74"/>
                    <w:rPr>
                      <w:color w:val="auto"/>
                    </w:rPr>
                  </w:pPr>
                  <w:r>
                    <w:rPr>
                      <w:color w:val="auto"/>
                    </w:rPr>
                    <w:t>排气筒编号</w:t>
                  </w:r>
                </w:p>
              </w:tc>
              <w:tc>
                <w:tcPr>
                  <w:tcW w:w="1115" w:type="pct"/>
                  <w:noWrap w:val="0"/>
                  <w:vAlign w:val="center"/>
                </w:tcPr>
                <w:p w14:paraId="2FD616FC">
                  <w:pPr>
                    <w:pStyle w:val="74"/>
                    <w:rPr>
                      <w:color w:val="auto"/>
                    </w:rPr>
                  </w:pPr>
                  <w:r>
                    <w:rPr>
                      <w:color w:val="auto"/>
                    </w:rPr>
                    <w:t>排放口经纬度</w:t>
                  </w:r>
                </w:p>
              </w:tc>
              <w:tc>
                <w:tcPr>
                  <w:tcW w:w="601" w:type="pct"/>
                  <w:noWrap w:val="0"/>
                  <w:vAlign w:val="center"/>
                </w:tcPr>
                <w:p w14:paraId="0573734D">
                  <w:pPr>
                    <w:pStyle w:val="74"/>
                    <w:rPr>
                      <w:color w:val="auto"/>
                    </w:rPr>
                  </w:pPr>
                  <w:r>
                    <w:rPr>
                      <w:color w:val="auto"/>
                    </w:rPr>
                    <w:t>高度</w:t>
                  </w:r>
                </w:p>
                <w:p w14:paraId="17D53398">
                  <w:pPr>
                    <w:pStyle w:val="74"/>
                    <w:rPr>
                      <w:color w:val="auto"/>
                    </w:rPr>
                  </w:pPr>
                  <w:r>
                    <w:rPr>
                      <w:color w:val="auto"/>
                    </w:rPr>
                    <w:t>(m)</w:t>
                  </w:r>
                </w:p>
              </w:tc>
              <w:tc>
                <w:tcPr>
                  <w:tcW w:w="600" w:type="pct"/>
                  <w:noWrap w:val="0"/>
                  <w:vAlign w:val="center"/>
                </w:tcPr>
                <w:p w14:paraId="3F27BBBE">
                  <w:pPr>
                    <w:pStyle w:val="74"/>
                    <w:rPr>
                      <w:color w:val="auto"/>
                    </w:rPr>
                  </w:pPr>
                  <w:r>
                    <w:rPr>
                      <w:color w:val="auto"/>
                    </w:rPr>
                    <w:t>内径</w:t>
                  </w:r>
                </w:p>
                <w:p w14:paraId="27D349CB">
                  <w:pPr>
                    <w:pStyle w:val="74"/>
                    <w:rPr>
                      <w:color w:val="auto"/>
                    </w:rPr>
                  </w:pPr>
                  <w:r>
                    <w:rPr>
                      <w:color w:val="auto"/>
                    </w:rPr>
                    <w:t>(m)</w:t>
                  </w:r>
                </w:p>
              </w:tc>
              <w:tc>
                <w:tcPr>
                  <w:tcW w:w="688" w:type="pct"/>
                  <w:noWrap w:val="0"/>
                  <w:vAlign w:val="center"/>
                </w:tcPr>
                <w:p w14:paraId="7E44AC53">
                  <w:pPr>
                    <w:pStyle w:val="74"/>
                    <w:rPr>
                      <w:color w:val="auto"/>
                    </w:rPr>
                  </w:pPr>
                  <w:r>
                    <w:rPr>
                      <w:color w:val="auto"/>
                    </w:rPr>
                    <w:t>烟气量</w:t>
                  </w:r>
                </w:p>
                <w:p w14:paraId="10593E64">
                  <w:pPr>
                    <w:jc w:val="center"/>
                    <w:rPr>
                      <w:rFonts w:hint="eastAsia"/>
                      <w:color w:val="auto"/>
                    </w:rPr>
                  </w:pPr>
                  <w:r>
                    <w:rPr>
                      <w:color w:val="auto"/>
                    </w:rPr>
                    <w:t>(m</w:t>
                  </w:r>
                  <w:r>
                    <w:rPr>
                      <w:color w:val="auto"/>
                      <w:vertAlign w:val="superscript"/>
                    </w:rPr>
                    <w:t>3</w:t>
                  </w:r>
                  <w:r>
                    <w:rPr>
                      <w:color w:val="auto"/>
                    </w:rPr>
                    <w:t>/h)</w:t>
                  </w:r>
                </w:p>
              </w:tc>
              <w:tc>
                <w:tcPr>
                  <w:tcW w:w="685" w:type="pct"/>
                  <w:noWrap w:val="0"/>
                  <w:vAlign w:val="center"/>
                </w:tcPr>
                <w:p w14:paraId="6EBD0F75">
                  <w:pPr>
                    <w:pStyle w:val="74"/>
                    <w:rPr>
                      <w:color w:val="auto"/>
                    </w:rPr>
                  </w:pPr>
                  <w:r>
                    <w:rPr>
                      <w:color w:val="auto"/>
                    </w:rPr>
                    <w:t>烟气温度</w:t>
                  </w:r>
                </w:p>
                <w:p w14:paraId="15109D87">
                  <w:pPr>
                    <w:pStyle w:val="74"/>
                    <w:rPr>
                      <w:color w:val="auto"/>
                    </w:rPr>
                  </w:pPr>
                  <w:r>
                    <w:rPr>
                      <w:color w:val="auto"/>
                    </w:rPr>
                    <w:t>(℃)</w:t>
                  </w:r>
                </w:p>
              </w:tc>
              <w:tc>
                <w:tcPr>
                  <w:tcW w:w="719" w:type="pct"/>
                  <w:noWrap w:val="0"/>
                  <w:vAlign w:val="center"/>
                </w:tcPr>
                <w:p w14:paraId="18EEA24F">
                  <w:pPr>
                    <w:pStyle w:val="74"/>
                    <w:rPr>
                      <w:color w:val="auto"/>
                    </w:rPr>
                  </w:pPr>
                  <w:r>
                    <w:rPr>
                      <w:color w:val="auto"/>
                    </w:rPr>
                    <w:t>排放口类型</w:t>
                  </w:r>
                </w:p>
              </w:tc>
            </w:tr>
            <w:tr w14:paraId="5E859A9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589" w:type="pct"/>
                  <w:noWrap w:val="0"/>
                  <w:vAlign w:val="center"/>
                </w:tcPr>
                <w:p w14:paraId="546A5DDE">
                  <w:pPr>
                    <w:pStyle w:val="74"/>
                    <w:rPr>
                      <w:color w:val="auto"/>
                    </w:rPr>
                  </w:pPr>
                  <w:r>
                    <w:rPr>
                      <w:color w:val="auto"/>
                    </w:rPr>
                    <w:t>DA001</w:t>
                  </w:r>
                </w:p>
              </w:tc>
              <w:tc>
                <w:tcPr>
                  <w:tcW w:w="1115" w:type="pct"/>
                  <w:noWrap w:val="0"/>
                  <w:vAlign w:val="center"/>
                </w:tcPr>
                <w:p w14:paraId="1318E574">
                  <w:pPr>
                    <w:pStyle w:val="74"/>
                    <w:rPr>
                      <w:color w:val="auto"/>
                    </w:rPr>
                  </w:pPr>
                  <w:r>
                    <w:rPr>
                      <w:color w:val="auto"/>
                    </w:rPr>
                    <w:t>119°23′6.91″</w:t>
                  </w:r>
                </w:p>
                <w:p w14:paraId="5989D137">
                  <w:pPr>
                    <w:pStyle w:val="74"/>
                    <w:rPr>
                      <w:color w:val="auto"/>
                    </w:rPr>
                  </w:pPr>
                  <w:r>
                    <w:rPr>
                      <w:color w:val="auto"/>
                    </w:rPr>
                    <w:t>25°54′20.14″</w:t>
                  </w:r>
                </w:p>
              </w:tc>
              <w:tc>
                <w:tcPr>
                  <w:tcW w:w="601" w:type="pct"/>
                  <w:noWrap w:val="0"/>
                  <w:vAlign w:val="center"/>
                </w:tcPr>
                <w:p w14:paraId="17AB39BA">
                  <w:pPr>
                    <w:pStyle w:val="74"/>
                    <w:rPr>
                      <w:rFonts w:hint="default" w:eastAsia="宋体"/>
                      <w:color w:val="auto"/>
                      <w:lang w:val="en-US" w:eastAsia="zh-CN"/>
                    </w:rPr>
                  </w:pPr>
                  <w:r>
                    <w:rPr>
                      <w:rFonts w:hint="eastAsia"/>
                      <w:color w:val="auto"/>
                      <w:lang w:val="en-US" w:eastAsia="zh-CN"/>
                    </w:rPr>
                    <w:t>15</w:t>
                  </w:r>
                </w:p>
              </w:tc>
              <w:tc>
                <w:tcPr>
                  <w:tcW w:w="600" w:type="pct"/>
                  <w:noWrap w:val="0"/>
                  <w:vAlign w:val="center"/>
                </w:tcPr>
                <w:p w14:paraId="62647A1B">
                  <w:pPr>
                    <w:pStyle w:val="74"/>
                    <w:rPr>
                      <w:color w:val="auto"/>
                    </w:rPr>
                  </w:pPr>
                  <w:r>
                    <w:rPr>
                      <w:color w:val="auto"/>
                    </w:rPr>
                    <w:t>0.5</w:t>
                  </w:r>
                </w:p>
              </w:tc>
              <w:tc>
                <w:tcPr>
                  <w:tcW w:w="688" w:type="pct"/>
                  <w:noWrap w:val="0"/>
                  <w:vAlign w:val="center"/>
                </w:tcPr>
                <w:p w14:paraId="065DBA32">
                  <w:pPr>
                    <w:pStyle w:val="74"/>
                    <w:rPr>
                      <w:color w:val="auto"/>
                    </w:rPr>
                  </w:pPr>
                  <w:r>
                    <w:rPr>
                      <w:rFonts w:hint="eastAsia"/>
                      <w:color w:val="auto"/>
                      <w:lang w:val="en-US" w:eastAsia="zh-CN"/>
                    </w:rPr>
                    <w:t>50</w:t>
                  </w:r>
                  <w:r>
                    <w:rPr>
                      <w:color w:val="auto"/>
                    </w:rPr>
                    <w:t>00</w:t>
                  </w:r>
                </w:p>
              </w:tc>
              <w:tc>
                <w:tcPr>
                  <w:tcW w:w="685" w:type="pct"/>
                  <w:noWrap w:val="0"/>
                  <w:vAlign w:val="center"/>
                </w:tcPr>
                <w:p w14:paraId="477CEF05">
                  <w:pPr>
                    <w:pStyle w:val="74"/>
                    <w:rPr>
                      <w:color w:val="auto"/>
                    </w:rPr>
                  </w:pPr>
                  <w:r>
                    <w:rPr>
                      <w:color w:val="auto"/>
                    </w:rPr>
                    <w:t>30</w:t>
                  </w:r>
                </w:p>
              </w:tc>
              <w:tc>
                <w:tcPr>
                  <w:tcW w:w="719" w:type="pct"/>
                  <w:noWrap w:val="0"/>
                  <w:vAlign w:val="center"/>
                </w:tcPr>
                <w:p w14:paraId="192F7E95">
                  <w:pPr>
                    <w:pStyle w:val="74"/>
                    <w:rPr>
                      <w:color w:val="auto"/>
                    </w:rPr>
                  </w:pPr>
                  <w:r>
                    <w:rPr>
                      <w:color w:val="auto"/>
                    </w:rPr>
                    <w:t>一般排放口</w:t>
                  </w:r>
                </w:p>
              </w:tc>
            </w:tr>
          </w:tbl>
          <w:p w14:paraId="10BBAF47">
            <w:pPr>
              <w:pStyle w:val="116"/>
              <w:keepNext w:val="0"/>
              <w:keepLines w:val="0"/>
              <w:pageBreakBefore w:val="0"/>
              <w:widowControl w:val="0"/>
              <w:kinsoku/>
              <w:wordWrap/>
              <w:overflowPunct/>
              <w:topLinePunct w:val="0"/>
              <w:autoSpaceDE/>
              <w:autoSpaceDN/>
              <w:bidi w:val="0"/>
              <w:adjustRightInd w:val="0"/>
              <w:snapToGrid w:val="0"/>
              <w:spacing w:before="152" w:beforeLines="50"/>
              <w:jc w:val="left"/>
              <w:textAlignment w:val="auto"/>
              <w:rPr>
                <w:color w:val="auto"/>
                <w:sz w:val="24"/>
                <w:szCs w:val="24"/>
              </w:rPr>
            </w:pPr>
            <w:r>
              <w:rPr>
                <w:color w:val="auto"/>
                <w:sz w:val="24"/>
                <w:szCs w:val="24"/>
              </w:rPr>
              <w:t>由上表可知，本项目排气筒各污染物均可达标排放。</w:t>
            </w:r>
          </w:p>
          <w:p w14:paraId="0A323498">
            <w:pPr>
              <w:pStyle w:val="55"/>
              <w:ind w:firstLine="422"/>
              <w:rPr>
                <w:b/>
                <w:bCs/>
                <w:color w:val="auto"/>
                <w:sz w:val="24"/>
                <w:szCs w:val="24"/>
              </w:rPr>
            </w:pPr>
            <w:r>
              <w:rPr>
                <w:b/>
                <w:bCs/>
                <w:color w:val="auto"/>
                <w:sz w:val="24"/>
                <w:szCs w:val="24"/>
              </w:rPr>
              <w:t>（2）无组织排放</w:t>
            </w:r>
          </w:p>
          <w:p w14:paraId="47558A75">
            <w:pPr>
              <w:pStyle w:val="55"/>
              <w:jc w:val="left"/>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本项目</w:t>
            </w:r>
            <w:r>
              <w:rPr>
                <w:rFonts w:hint="eastAsia" w:ascii="Times New Roman" w:hAnsi="Times New Roman" w:cs="Times New Roman"/>
                <w:color w:val="auto"/>
                <w:sz w:val="24"/>
                <w:szCs w:val="24"/>
                <w:lang w:eastAsia="zh-CN"/>
              </w:rPr>
              <w:t>称量、</w:t>
            </w:r>
            <w:r>
              <w:rPr>
                <w:rFonts w:hint="eastAsia" w:ascii="Times New Roman" w:hAnsi="Times New Roman" w:cs="Times New Roman"/>
                <w:color w:val="auto"/>
                <w:sz w:val="24"/>
                <w:szCs w:val="24"/>
                <w:lang w:val="en-US" w:eastAsia="zh-CN"/>
              </w:rPr>
              <w:t>上料、混料、机加工、</w:t>
            </w:r>
            <w:r>
              <w:rPr>
                <w:rFonts w:hint="eastAsia" w:ascii="Times New Roman" w:hAnsi="Times New Roman" w:cs="Times New Roman"/>
                <w:color w:val="auto"/>
                <w:sz w:val="24"/>
                <w:szCs w:val="24"/>
              </w:rPr>
              <w:t>破碎、熔融挤出工序均在一层车间内进行生产，因此，无组织排放源以车间一层为单位，主要为未收集部分熔融废气、处理后粉尘，无组织排放情况见</w:t>
            </w:r>
            <w:r>
              <w:rPr>
                <w:rFonts w:hint="eastAsia" w:ascii="Times New Roman" w:hAnsi="Times New Roman" w:cs="Times New Roman"/>
                <w:color w:val="auto"/>
                <w:sz w:val="24"/>
                <w:szCs w:val="24"/>
              </w:rPr>
              <w:fldChar w:fldCharType="begin"/>
            </w:r>
            <w:r>
              <w:rPr>
                <w:rFonts w:hint="eastAsia" w:ascii="Times New Roman" w:hAnsi="Times New Roman" w:cs="Times New Roman"/>
                <w:color w:val="auto"/>
                <w:sz w:val="24"/>
                <w:szCs w:val="24"/>
              </w:rPr>
              <w:instrText xml:space="preserve"> REF _Ref70155716 \r \h  \* MERGEFORMAT </w:instrText>
            </w:r>
            <w:r>
              <w:rPr>
                <w:rFonts w:hint="eastAsia" w:ascii="Times New Roman" w:hAnsi="Times New Roman" w:cs="Times New Roman"/>
                <w:color w:val="auto"/>
                <w:sz w:val="24"/>
                <w:szCs w:val="24"/>
              </w:rPr>
              <w:fldChar w:fldCharType="separate"/>
            </w:r>
            <w:r>
              <w:rPr>
                <w:rFonts w:hint="eastAsia" w:ascii="Times New Roman" w:hAnsi="Times New Roman" w:cs="Times New Roman"/>
                <w:color w:val="auto"/>
                <w:sz w:val="24"/>
                <w:szCs w:val="24"/>
              </w:rPr>
              <w:t>表4.1-</w:t>
            </w:r>
            <w:r>
              <w:rPr>
                <w:rFonts w:hint="eastAsia" w:cs="Times New Roman"/>
                <w:color w:val="auto"/>
                <w:sz w:val="24"/>
                <w:szCs w:val="24"/>
                <w:lang w:val="en-US" w:eastAsia="zh-CN"/>
              </w:rPr>
              <w:t>1</w:t>
            </w:r>
            <w:r>
              <w:rPr>
                <w:rFonts w:hint="eastAsia" w:ascii="Times New Roman" w:hAnsi="Times New Roman" w:cs="Times New Roman"/>
                <w:color w:val="auto"/>
                <w:sz w:val="24"/>
                <w:szCs w:val="24"/>
              </w:rPr>
              <w:fldChar w:fldCharType="end"/>
            </w:r>
            <w:r>
              <w:rPr>
                <w:rFonts w:hint="eastAsia" w:cs="Times New Roman"/>
                <w:color w:val="auto"/>
                <w:sz w:val="24"/>
                <w:szCs w:val="24"/>
                <w:lang w:val="en-US" w:eastAsia="zh-CN"/>
              </w:rPr>
              <w:t>1</w:t>
            </w:r>
            <w:r>
              <w:rPr>
                <w:rFonts w:hint="eastAsia" w:ascii="Times New Roman" w:hAnsi="Times New Roman" w:cs="Times New Roman"/>
                <w:color w:val="auto"/>
                <w:sz w:val="24"/>
                <w:szCs w:val="24"/>
              </w:rPr>
              <w:t>。</w:t>
            </w:r>
            <w:bookmarkStart w:id="32" w:name="_Ref70155716"/>
          </w:p>
          <w:p w14:paraId="12A0FF86">
            <w:pPr>
              <w:pStyle w:val="55"/>
              <w:keepNext w:val="0"/>
              <w:keepLines w:val="0"/>
              <w:pageBreakBefore w:val="0"/>
              <w:widowControl w:val="0"/>
              <w:kinsoku/>
              <w:wordWrap/>
              <w:overflowPunct/>
              <w:topLinePunct w:val="0"/>
              <w:autoSpaceDE/>
              <w:autoSpaceDN/>
              <w:bidi w:val="0"/>
              <w:adjustRightInd w:val="0"/>
              <w:snapToGrid w:val="0"/>
              <w:spacing w:before="152" w:beforeLines="50"/>
              <w:ind w:firstLineChars="0"/>
              <w:jc w:val="center"/>
              <w:textAlignment w:val="auto"/>
              <w:rPr>
                <w:rFonts w:hint="eastAsia" w:cs="Times New Roman"/>
                <w:b w:val="0"/>
                <w:bCs w:val="0"/>
                <w:color w:val="auto"/>
                <w:sz w:val="24"/>
                <w:szCs w:val="24"/>
                <w:lang w:val="en-US" w:eastAsia="zh-CN"/>
              </w:rPr>
            </w:pPr>
          </w:p>
          <w:p w14:paraId="5ECC8E28">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hint="eastAsia"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 xml:space="preserve">表4.1-11  </w:t>
            </w:r>
            <w:r>
              <w:rPr>
                <w:rFonts w:hint="eastAsia" w:ascii="Times New Roman" w:hAnsi="Times New Roman" w:cs="Times New Roman"/>
                <w:b/>
                <w:bCs/>
                <w:color w:val="auto"/>
                <w:sz w:val="24"/>
                <w:szCs w:val="24"/>
                <w:lang w:val="en-US" w:eastAsia="zh-CN"/>
              </w:rPr>
              <w:t>无组织排放情况一览表</w:t>
            </w:r>
            <w:bookmarkEnd w:id="32"/>
          </w:p>
          <w:tbl>
            <w:tblPr>
              <w:tblStyle w:val="23"/>
              <w:tblW w:w="8480"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708"/>
              <w:gridCol w:w="544"/>
              <w:gridCol w:w="543"/>
              <w:gridCol w:w="909"/>
              <w:gridCol w:w="704"/>
              <w:gridCol w:w="751"/>
              <w:gridCol w:w="1574"/>
              <w:gridCol w:w="1119"/>
              <w:gridCol w:w="921"/>
              <w:gridCol w:w="707"/>
            </w:tblGrid>
            <w:tr w14:paraId="63B62B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17" w:type="pct"/>
                  <w:vMerge w:val="restart"/>
                  <w:noWrap w:val="0"/>
                  <w:vAlign w:val="center"/>
                </w:tcPr>
                <w:p w14:paraId="2A4D0A68">
                  <w:pPr>
                    <w:pStyle w:val="74"/>
                    <w:rPr>
                      <w:color w:val="auto"/>
                      <w:szCs w:val="21"/>
                    </w:rPr>
                  </w:pPr>
                  <w:r>
                    <w:rPr>
                      <w:color w:val="auto"/>
                      <w:szCs w:val="21"/>
                    </w:rPr>
                    <w:t>污染源</w:t>
                  </w:r>
                </w:p>
                <w:p w14:paraId="7CAC32BD">
                  <w:pPr>
                    <w:pStyle w:val="74"/>
                    <w:rPr>
                      <w:color w:val="auto"/>
                      <w:szCs w:val="21"/>
                    </w:rPr>
                  </w:pPr>
                  <w:r>
                    <w:rPr>
                      <w:color w:val="auto"/>
                      <w:szCs w:val="21"/>
                    </w:rPr>
                    <w:t>名称</w:t>
                  </w:r>
                </w:p>
              </w:tc>
              <w:tc>
                <w:tcPr>
                  <w:tcW w:w="1591" w:type="pct"/>
                  <w:gridSpan w:val="4"/>
                  <w:noWrap w:val="0"/>
                  <w:vAlign w:val="center"/>
                </w:tcPr>
                <w:p w14:paraId="1A8FD552">
                  <w:pPr>
                    <w:pStyle w:val="74"/>
                    <w:rPr>
                      <w:color w:val="auto"/>
                      <w:szCs w:val="21"/>
                    </w:rPr>
                  </w:pPr>
                  <w:r>
                    <w:rPr>
                      <w:color w:val="auto"/>
                      <w:szCs w:val="21"/>
                    </w:rPr>
                    <w:t>矩形面源</w:t>
                  </w:r>
                </w:p>
              </w:tc>
              <w:tc>
                <w:tcPr>
                  <w:tcW w:w="442" w:type="pct"/>
                  <w:vMerge w:val="restart"/>
                  <w:noWrap/>
                  <w:vAlign w:val="center"/>
                </w:tcPr>
                <w:p w14:paraId="12348A6D">
                  <w:pPr>
                    <w:pStyle w:val="74"/>
                    <w:rPr>
                      <w:color w:val="auto"/>
                      <w:szCs w:val="21"/>
                    </w:rPr>
                  </w:pPr>
                  <w:r>
                    <w:rPr>
                      <w:color w:val="auto"/>
                      <w:szCs w:val="21"/>
                    </w:rPr>
                    <w:t>年排放</w:t>
                  </w:r>
                </w:p>
                <w:p w14:paraId="6E489932">
                  <w:pPr>
                    <w:pStyle w:val="74"/>
                    <w:rPr>
                      <w:color w:val="auto"/>
                      <w:szCs w:val="21"/>
                    </w:rPr>
                  </w:pPr>
                  <w:r>
                    <w:rPr>
                      <w:color w:val="auto"/>
                      <w:szCs w:val="21"/>
                    </w:rPr>
                    <w:t>小时数</w:t>
                  </w:r>
                </w:p>
                <w:p w14:paraId="6347932F">
                  <w:pPr>
                    <w:pStyle w:val="74"/>
                    <w:rPr>
                      <w:color w:val="auto"/>
                      <w:szCs w:val="21"/>
                    </w:rPr>
                  </w:pPr>
                  <w:r>
                    <w:rPr>
                      <w:color w:val="auto"/>
                      <w:szCs w:val="21"/>
                    </w:rPr>
                    <w:t>（h）</w:t>
                  </w:r>
                </w:p>
              </w:tc>
              <w:tc>
                <w:tcPr>
                  <w:tcW w:w="928" w:type="pct"/>
                  <w:vMerge w:val="restart"/>
                  <w:noWrap/>
                  <w:vAlign w:val="center"/>
                </w:tcPr>
                <w:p w14:paraId="48682674">
                  <w:pPr>
                    <w:pStyle w:val="74"/>
                    <w:rPr>
                      <w:color w:val="auto"/>
                      <w:szCs w:val="21"/>
                    </w:rPr>
                  </w:pPr>
                  <w:r>
                    <w:rPr>
                      <w:color w:val="auto"/>
                      <w:szCs w:val="21"/>
                    </w:rPr>
                    <w:t>排放工况</w:t>
                  </w:r>
                </w:p>
              </w:tc>
              <w:tc>
                <w:tcPr>
                  <w:tcW w:w="1619" w:type="pct"/>
                  <w:gridSpan w:val="3"/>
                  <w:tcBorders>
                    <w:bottom w:val="single" w:color="auto" w:sz="4" w:space="0"/>
                  </w:tcBorders>
                  <w:noWrap w:val="0"/>
                  <w:vAlign w:val="center"/>
                </w:tcPr>
                <w:p w14:paraId="6F9C3AA1">
                  <w:pPr>
                    <w:pStyle w:val="74"/>
                    <w:rPr>
                      <w:color w:val="auto"/>
                      <w:szCs w:val="21"/>
                    </w:rPr>
                  </w:pPr>
                  <w:r>
                    <w:rPr>
                      <w:color w:val="auto"/>
                      <w:szCs w:val="21"/>
                    </w:rPr>
                    <w:t>排放情况</w:t>
                  </w:r>
                </w:p>
              </w:tc>
            </w:tr>
            <w:tr w14:paraId="1584EC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17" w:type="pct"/>
                  <w:vMerge w:val="continue"/>
                  <w:noWrap w:val="0"/>
                  <w:vAlign w:val="center"/>
                </w:tcPr>
                <w:p w14:paraId="258D4FF9">
                  <w:pPr>
                    <w:pStyle w:val="74"/>
                    <w:rPr>
                      <w:color w:val="auto"/>
                      <w:szCs w:val="21"/>
                    </w:rPr>
                  </w:pPr>
                </w:p>
              </w:tc>
              <w:tc>
                <w:tcPr>
                  <w:tcW w:w="320" w:type="pct"/>
                  <w:noWrap w:val="0"/>
                  <w:vAlign w:val="center"/>
                </w:tcPr>
                <w:p w14:paraId="71D71D13">
                  <w:pPr>
                    <w:pStyle w:val="74"/>
                    <w:rPr>
                      <w:color w:val="auto"/>
                      <w:szCs w:val="21"/>
                    </w:rPr>
                  </w:pPr>
                  <w:r>
                    <w:rPr>
                      <w:color w:val="auto"/>
                      <w:szCs w:val="21"/>
                    </w:rPr>
                    <w:t>长度</w:t>
                  </w:r>
                </w:p>
                <w:p w14:paraId="62EA089C">
                  <w:pPr>
                    <w:pStyle w:val="74"/>
                    <w:rPr>
                      <w:color w:val="auto"/>
                      <w:szCs w:val="21"/>
                    </w:rPr>
                  </w:pPr>
                  <w:r>
                    <w:rPr>
                      <w:color w:val="auto"/>
                      <w:szCs w:val="21"/>
                    </w:rPr>
                    <w:t>(m)</w:t>
                  </w:r>
                </w:p>
              </w:tc>
              <w:tc>
                <w:tcPr>
                  <w:tcW w:w="320" w:type="pct"/>
                  <w:noWrap w:val="0"/>
                  <w:vAlign w:val="center"/>
                </w:tcPr>
                <w:p w14:paraId="2C30A7CC">
                  <w:pPr>
                    <w:pStyle w:val="74"/>
                    <w:rPr>
                      <w:color w:val="auto"/>
                      <w:szCs w:val="21"/>
                    </w:rPr>
                  </w:pPr>
                  <w:r>
                    <w:rPr>
                      <w:color w:val="auto"/>
                      <w:szCs w:val="21"/>
                    </w:rPr>
                    <w:t>宽度</w:t>
                  </w:r>
                </w:p>
                <w:p w14:paraId="15BCCFDB">
                  <w:pPr>
                    <w:pStyle w:val="74"/>
                    <w:rPr>
                      <w:color w:val="auto"/>
                      <w:szCs w:val="21"/>
                    </w:rPr>
                  </w:pPr>
                  <w:r>
                    <w:rPr>
                      <w:color w:val="auto"/>
                      <w:szCs w:val="21"/>
                    </w:rPr>
                    <w:t>(m)</w:t>
                  </w:r>
                </w:p>
              </w:tc>
              <w:tc>
                <w:tcPr>
                  <w:tcW w:w="535" w:type="pct"/>
                  <w:noWrap w:val="0"/>
                  <w:vAlign w:val="center"/>
                </w:tcPr>
                <w:p w14:paraId="391DBD16">
                  <w:pPr>
                    <w:pStyle w:val="74"/>
                    <w:rPr>
                      <w:color w:val="auto"/>
                      <w:szCs w:val="21"/>
                    </w:rPr>
                  </w:pPr>
                  <w:r>
                    <w:rPr>
                      <w:color w:val="auto"/>
                      <w:szCs w:val="21"/>
                    </w:rPr>
                    <w:t>有效高度</w:t>
                  </w:r>
                </w:p>
                <w:p w14:paraId="610CEFC1">
                  <w:pPr>
                    <w:pStyle w:val="74"/>
                    <w:rPr>
                      <w:color w:val="auto"/>
                      <w:szCs w:val="21"/>
                    </w:rPr>
                  </w:pPr>
                  <w:r>
                    <w:rPr>
                      <w:color w:val="auto"/>
                      <w:szCs w:val="21"/>
                    </w:rPr>
                    <w:t>(m)</w:t>
                  </w:r>
                </w:p>
              </w:tc>
              <w:tc>
                <w:tcPr>
                  <w:tcW w:w="415" w:type="pct"/>
                  <w:noWrap/>
                  <w:vAlign w:val="center"/>
                </w:tcPr>
                <w:p w14:paraId="5D425A9F">
                  <w:pPr>
                    <w:pStyle w:val="74"/>
                    <w:rPr>
                      <w:color w:val="auto"/>
                      <w:szCs w:val="21"/>
                    </w:rPr>
                  </w:pPr>
                  <w:r>
                    <w:rPr>
                      <w:color w:val="auto"/>
                      <w:szCs w:val="21"/>
                    </w:rPr>
                    <w:t>与正北夹角</w:t>
                  </w:r>
                </w:p>
              </w:tc>
              <w:tc>
                <w:tcPr>
                  <w:tcW w:w="442" w:type="pct"/>
                  <w:vMerge w:val="continue"/>
                  <w:noWrap w:val="0"/>
                  <w:vAlign w:val="center"/>
                </w:tcPr>
                <w:p w14:paraId="560A1AB0">
                  <w:pPr>
                    <w:pStyle w:val="74"/>
                    <w:rPr>
                      <w:color w:val="auto"/>
                      <w:szCs w:val="21"/>
                    </w:rPr>
                  </w:pPr>
                </w:p>
              </w:tc>
              <w:tc>
                <w:tcPr>
                  <w:tcW w:w="928" w:type="pct"/>
                  <w:vMerge w:val="continue"/>
                  <w:noWrap/>
                  <w:vAlign w:val="center"/>
                </w:tcPr>
                <w:p w14:paraId="6EE5237A">
                  <w:pPr>
                    <w:pStyle w:val="74"/>
                    <w:rPr>
                      <w:color w:val="auto"/>
                      <w:szCs w:val="21"/>
                    </w:rPr>
                  </w:pPr>
                </w:p>
              </w:tc>
              <w:tc>
                <w:tcPr>
                  <w:tcW w:w="659" w:type="pct"/>
                  <w:tcBorders>
                    <w:top w:val="single" w:color="auto" w:sz="4" w:space="0"/>
                    <w:right w:val="single" w:color="auto" w:sz="4" w:space="0"/>
                  </w:tcBorders>
                  <w:noWrap w:val="0"/>
                  <w:vAlign w:val="center"/>
                </w:tcPr>
                <w:p w14:paraId="787DEA68">
                  <w:pPr>
                    <w:pStyle w:val="74"/>
                    <w:rPr>
                      <w:color w:val="auto"/>
                      <w:szCs w:val="21"/>
                    </w:rPr>
                  </w:pPr>
                  <w:r>
                    <w:rPr>
                      <w:color w:val="auto"/>
                      <w:szCs w:val="21"/>
                    </w:rPr>
                    <w:t>污染物</w:t>
                  </w:r>
                </w:p>
              </w:tc>
              <w:tc>
                <w:tcPr>
                  <w:tcW w:w="543" w:type="pct"/>
                  <w:tcBorders>
                    <w:top w:val="single" w:color="auto" w:sz="4" w:space="0"/>
                    <w:left w:val="single" w:color="auto" w:sz="4" w:space="0"/>
                    <w:right w:val="single" w:color="auto" w:sz="4" w:space="0"/>
                  </w:tcBorders>
                  <w:noWrap w:val="0"/>
                  <w:vAlign w:val="center"/>
                </w:tcPr>
                <w:p w14:paraId="4EFA0486">
                  <w:pPr>
                    <w:pStyle w:val="74"/>
                    <w:rPr>
                      <w:color w:val="auto"/>
                      <w:szCs w:val="21"/>
                    </w:rPr>
                  </w:pPr>
                  <w:r>
                    <w:rPr>
                      <w:color w:val="auto"/>
                      <w:szCs w:val="21"/>
                    </w:rPr>
                    <w:t>排放速率</w:t>
                  </w:r>
                </w:p>
                <w:p w14:paraId="0D452B37">
                  <w:pPr>
                    <w:pStyle w:val="74"/>
                    <w:rPr>
                      <w:color w:val="auto"/>
                      <w:szCs w:val="21"/>
                    </w:rPr>
                  </w:pPr>
                  <w:r>
                    <w:rPr>
                      <w:rFonts w:hint="eastAsia"/>
                      <w:color w:val="auto"/>
                      <w:szCs w:val="21"/>
                    </w:rPr>
                    <w:t>k</w:t>
                  </w:r>
                  <w:r>
                    <w:rPr>
                      <w:color w:val="auto"/>
                      <w:szCs w:val="21"/>
                    </w:rPr>
                    <w:t>g/h</w:t>
                  </w:r>
                </w:p>
              </w:tc>
              <w:tc>
                <w:tcPr>
                  <w:tcW w:w="416" w:type="pct"/>
                  <w:tcBorders>
                    <w:top w:val="single" w:color="auto" w:sz="4" w:space="0"/>
                    <w:left w:val="single" w:color="auto" w:sz="4" w:space="0"/>
                  </w:tcBorders>
                  <w:noWrap w:val="0"/>
                  <w:vAlign w:val="center"/>
                </w:tcPr>
                <w:p w14:paraId="448706E0">
                  <w:pPr>
                    <w:pStyle w:val="74"/>
                    <w:rPr>
                      <w:color w:val="auto"/>
                      <w:szCs w:val="21"/>
                    </w:rPr>
                  </w:pPr>
                  <w:r>
                    <w:rPr>
                      <w:color w:val="auto"/>
                      <w:szCs w:val="21"/>
                    </w:rPr>
                    <w:t>排放量</w:t>
                  </w:r>
                </w:p>
                <w:p w14:paraId="34CCCBCE">
                  <w:pPr>
                    <w:pStyle w:val="74"/>
                    <w:rPr>
                      <w:color w:val="auto"/>
                      <w:szCs w:val="21"/>
                    </w:rPr>
                  </w:pPr>
                  <w:r>
                    <w:rPr>
                      <w:rFonts w:hint="eastAsia"/>
                      <w:color w:val="auto"/>
                      <w:szCs w:val="21"/>
                    </w:rPr>
                    <w:t>t</w:t>
                  </w:r>
                  <w:r>
                    <w:rPr>
                      <w:color w:val="auto"/>
                      <w:szCs w:val="21"/>
                    </w:rPr>
                    <w:t>/a</w:t>
                  </w:r>
                </w:p>
              </w:tc>
            </w:tr>
            <w:tr w14:paraId="03FB0B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17" w:type="pct"/>
                  <w:vMerge w:val="restart"/>
                  <w:noWrap w:val="0"/>
                  <w:vAlign w:val="center"/>
                </w:tcPr>
                <w:p w14:paraId="1385763F">
                  <w:pPr>
                    <w:pStyle w:val="74"/>
                    <w:rPr>
                      <w:color w:val="auto"/>
                      <w:szCs w:val="21"/>
                      <w:highlight w:val="none"/>
                    </w:rPr>
                  </w:pPr>
                  <w:r>
                    <w:rPr>
                      <w:rFonts w:hint="eastAsia"/>
                      <w:color w:val="auto"/>
                      <w:szCs w:val="21"/>
                      <w:highlight w:val="none"/>
                    </w:rPr>
                    <w:t>一</w:t>
                  </w:r>
                  <w:r>
                    <w:rPr>
                      <w:color w:val="auto"/>
                      <w:szCs w:val="21"/>
                      <w:highlight w:val="none"/>
                    </w:rPr>
                    <w:t>层</w:t>
                  </w:r>
                </w:p>
                <w:p w14:paraId="62CE070F">
                  <w:pPr>
                    <w:pStyle w:val="74"/>
                    <w:rPr>
                      <w:color w:val="auto"/>
                      <w:szCs w:val="21"/>
                      <w:highlight w:val="none"/>
                    </w:rPr>
                  </w:pPr>
                  <w:r>
                    <w:rPr>
                      <w:color w:val="auto"/>
                      <w:szCs w:val="21"/>
                      <w:highlight w:val="none"/>
                    </w:rPr>
                    <w:t>车间</w:t>
                  </w:r>
                </w:p>
              </w:tc>
              <w:tc>
                <w:tcPr>
                  <w:tcW w:w="320" w:type="pct"/>
                  <w:vMerge w:val="restart"/>
                  <w:noWrap/>
                  <w:vAlign w:val="center"/>
                </w:tcPr>
                <w:p w14:paraId="0600B740">
                  <w:pPr>
                    <w:pStyle w:val="74"/>
                    <w:rPr>
                      <w:color w:val="auto"/>
                      <w:szCs w:val="21"/>
                      <w:highlight w:val="none"/>
                    </w:rPr>
                  </w:pPr>
                  <w:r>
                    <w:rPr>
                      <w:color w:val="auto"/>
                      <w:szCs w:val="21"/>
                      <w:highlight w:val="none"/>
                    </w:rPr>
                    <w:t>33.54</w:t>
                  </w:r>
                </w:p>
              </w:tc>
              <w:tc>
                <w:tcPr>
                  <w:tcW w:w="320" w:type="pct"/>
                  <w:vMerge w:val="restart"/>
                  <w:noWrap/>
                  <w:vAlign w:val="center"/>
                </w:tcPr>
                <w:p w14:paraId="57DC0C6D">
                  <w:pPr>
                    <w:pStyle w:val="74"/>
                    <w:rPr>
                      <w:color w:val="auto"/>
                      <w:szCs w:val="21"/>
                      <w:highlight w:val="none"/>
                    </w:rPr>
                  </w:pPr>
                  <w:r>
                    <w:rPr>
                      <w:color w:val="auto"/>
                      <w:szCs w:val="21"/>
                      <w:highlight w:val="none"/>
                    </w:rPr>
                    <w:t>35.78</w:t>
                  </w:r>
                </w:p>
              </w:tc>
              <w:tc>
                <w:tcPr>
                  <w:tcW w:w="535" w:type="pct"/>
                  <w:vMerge w:val="restart"/>
                  <w:noWrap/>
                  <w:vAlign w:val="center"/>
                </w:tcPr>
                <w:p w14:paraId="02929FCF">
                  <w:pPr>
                    <w:pStyle w:val="74"/>
                    <w:rPr>
                      <w:color w:val="auto"/>
                      <w:szCs w:val="21"/>
                      <w:highlight w:val="none"/>
                    </w:rPr>
                  </w:pPr>
                  <w:r>
                    <w:rPr>
                      <w:color w:val="auto"/>
                      <w:szCs w:val="21"/>
                      <w:highlight w:val="none"/>
                    </w:rPr>
                    <w:t>5</w:t>
                  </w:r>
                </w:p>
              </w:tc>
              <w:tc>
                <w:tcPr>
                  <w:tcW w:w="415" w:type="pct"/>
                  <w:vMerge w:val="restart"/>
                  <w:noWrap/>
                  <w:vAlign w:val="center"/>
                </w:tcPr>
                <w:p w14:paraId="47251657">
                  <w:pPr>
                    <w:pStyle w:val="74"/>
                    <w:rPr>
                      <w:color w:val="auto"/>
                      <w:szCs w:val="21"/>
                      <w:highlight w:val="none"/>
                    </w:rPr>
                  </w:pPr>
                  <w:r>
                    <w:rPr>
                      <w:color w:val="auto"/>
                      <w:szCs w:val="21"/>
                      <w:highlight w:val="none"/>
                    </w:rPr>
                    <w:t>0</w:t>
                  </w:r>
                </w:p>
              </w:tc>
              <w:tc>
                <w:tcPr>
                  <w:tcW w:w="442" w:type="pct"/>
                  <w:vMerge w:val="restart"/>
                  <w:noWrap/>
                  <w:vAlign w:val="center"/>
                </w:tcPr>
                <w:p w14:paraId="7B2B3712">
                  <w:pPr>
                    <w:pStyle w:val="74"/>
                    <w:rPr>
                      <w:color w:val="auto"/>
                      <w:szCs w:val="21"/>
                    </w:rPr>
                  </w:pPr>
                  <w:r>
                    <w:rPr>
                      <w:rFonts w:hint="eastAsia"/>
                      <w:color w:val="auto"/>
                    </w:rPr>
                    <w:t>2</w:t>
                  </w:r>
                  <w:r>
                    <w:rPr>
                      <w:color w:val="auto"/>
                    </w:rPr>
                    <w:t>640</w:t>
                  </w:r>
                </w:p>
              </w:tc>
              <w:tc>
                <w:tcPr>
                  <w:tcW w:w="928" w:type="pct"/>
                  <w:vMerge w:val="restart"/>
                  <w:noWrap/>
                  <w:vAlign w:val="center"/>
                </w:tcPr>
                <w:p w14:paraId="259BF3CA">
                  <w:pPr>
                    <w:pStyle w:val="74"/>
                    <w:rPr>
                      <w:color w:val="auto"/>
                      <w:szCs w:val="21"/>
                    </w:rPr>
                  </w:pPr>
                  <w:r>
                    <w:rPr>
                      <w:color w:val="auto"/>
                      <w:szCs w:val="21"/>
                    </w:rPr>
                    <w:t>正常排放</w:t>
                  </w:r>
                </w:p>
              </w:tc>
              <w:tc>
                <w:tcPr>
                  <w:tcW w:w="659" w:type="pct"/>
                  <w:tcBorders>
                    <w:right w:val="single" w:color="auto" w:sz="4" w:space="0"/>
                  </w:tcBorders>
                  <w:noWrap w:val="0"/>
                  <w:vAlign w:val="center"/>
                </w:tcPr>
                <w:p w14:paraId="6EB285F1">
                  <w:pPr>
                    <w:pStyle w:val="74"/>
                    <w:rPr>
                      <w:color w:val="auto"/>
                      <w:szCs w:val="21"/>
                    </w:rPr>
                  </w:pPr>
                  <w:r>
                    <w:rPr>
                      <w:color w:val="auto"/>
                    </w:rPr>
                    <w:t>非甲烷总烃</w:t>
                  </w:r>
                </w:p>
              </w:tc>
              <w:tc>
                <w:tcPr>
                  <w:tcW w:w="543" w:type="pct"/>
                  <w:tcBorders>
                    <w:left w:val="single" w:color="auto" w:sz="4" w:space="0"/>
                    <w:right w:val="single" w:color="auto" w:sz="4" w:space="0"/>
                  </w:tcBorders>
                  <w:noWrap w:val="0"/>
                  <w:vAlign w:val="center"/>
                </w:tcPr>
                <w:p w14:paraId="512F1FD7">
                  <w:pPr>
                    <w:keepNext w:val="0"/>
                    <w:keepLines w:val="0"/>
                    <w:widowControl/>
                    <w:suppressLineNumbers w:val="0"/>
                    <w:jc w:val="center"/>
                    <w:textAlignment w:val="bottom"/>
                    <w:rPr>
                      <w:rFonts w:hint="default" w:eastAsia="宋体"/>
                      <w:color w:val="auto"/>
                      <w:kern w:val="0"/>
                      <w:lang w:val="en-US" w:eastAsia="zh-CN"/>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2386</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416" w:type="pct"/>
                  <w:tcBorders>
                    <w:left w:val="single" w:color="auto" w:sz="4" w:space="0"/>
                  </w:tcBorders>
                  <w:noWrap w:val="0"/>
                  <w:vAlign w:val="center"/>
                </w:tcPr>
                <w:p w14:paraId="314470C8">
                  <w:pPr>
                    <w:keepNext w:val="0"/>
                    <w:keepLines w:val="0"/>
                    <w:widowControl/>
                    <w:suppressLineNumbers w:val="0"/>
                    <w:jc w:val="center"/>
                    <w:textAlignment w:val="bottom"/>
                    <w:rPr>
                      <w:rFonts w:hint="default" w:eastAsia="宋体"/>
                      <w:color w:val="auto"/>
                      <w:kern w:val="0"/>
                      <w:lang w:val="en-US" w:eastAsia="zh-CN"/>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6300</w:t>
                  </w:r>
                </w:p>
              </w:tc>
            </w:tr>
            <w:tr w14:paraId="58CD71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17" w:type="pct"/>
                  <w:vMerge w:val="continue"/>
                  <w:noWrap w:val="0"/>
                  <w:vAlign w:val="center"/>
                </w:tcPr>
                <w:p w14:paraId="0B966E66">
                  <w:pPr>
                    <w:pStyle w:val="74"/>
                    <w:rPr>
                      <w:rFonts w:hint="eastAsia"/>
                      <w:color w:val="auto"/>
                      <w:szCs w:val="21"/>
                    </w:rPr>
                  </w:pPr>
                </w:p>
              </w:tc>
              <w:tc>
                <w:tcPr>
                  <w:tcW w:w="320" w:type="pct"/>
                  <w:vMerge w:val="continue"/>
                  <w:noWrap/>
                  <w:vAlign w:val="center"/>
                </w:tcPr>
                <w:p w14:paraId="5AD36918">
                  <w:pPr>
                    <w:pStyle w:val="74"/>
                    <w:rPr>
                      <w:color w:val="auto"/>
                      <w:szCs w:val="21"/>
                    </w:rPr>
                  </w:pPr>
                </w:p>
              </w:tc>
              <w:tc>
                <w:tcPr>
                  <w:tcW w:w="320" w:type="pct"/>
                  <w:vMerge w:val="continue"/>
                  <w:noWrap/>
                  <w:vAlign w:val="center"/>
                </w:tcPr>
                <w:p w14:paraId="7CFA8C60">
                  <w:pPr>
                    <w:pStyle w:val="74"/>
                    <w:rPr>
                      <w:color w:val="auto"/>
                      <w:szCs w:val="21"/>
                    </w:rPr>
                  </w:pPr>
                </w:p>
              </w:tc>
              <w:tc>
                <w:tcPr>
                  <w:tcW w:w="535" w:type="pct"/>
                  <w:vMerge w:val="continue"/>
                  <w:noWrap/>
                  <w:vAlign w:val="center"/>
                </w:tcPr>
                <w:p w14:paraId="10DB7F2A">
                  <w:pPr>
                    <w:pStyle w:val="74"/>
                    <w:rPr>
                      <w:color w:val="auto"/>
                      <w:szCs w:val="21"/>
                    </w:rPr>
                  </w:pPr>
                </w:p>
              </w:tc>
              <w:tc>
                <w:tcPr>
                  <w:tcW w:w="415" w:type="pct"/>
                  <w:vMerge w:val="continue"/>
                  <w:noWrap/>
                  <w:vAlign w:val="center"/>
                </w:tcPr>
                <w:p w14:paraId="7EEA20AB">
                  <w:pPr>
                    <w:pStyle w:val="74"/>
                    <w:rPr>
                      <w:color w:val="auto"/>
                      <w:szCs w:val="21"/>
                    </w:rPr>
                  </w:pPr>
                </w:p>
              </w:tc>
              <w:tc>
                <w:tcPr>
                  <w:tcW w:w="442" w:type="pct"/>
                  <w:vMerge w:val="continue"/>
                  <w:noWrap/>
                  <w:vAlign w:val="center"/>
                </w:tcPr>
                <w:p w14:paraId="68EB6D9A">
                  <w:pPr>
                    <w:pStyle w:val="74"/>
                    <w:rPr>
                      <w:rFonts w:hint="eastAsia"/>
                      <w:color w:val="auto"/>
                    </w:rPr>
                  </w:pPr>
                  <w:r>
                    <w:rPr>
                      <w:rFonts w:hint="eastAsia"/>
                      <w:color w:val="auto"/>
                    </w:rPr>
                    <w:t>1</w:t>
                  </w:r>
                  <w:r>
                    <w:rPr>
                      <w:color w:val="auto"/>
                    </w:rPr>
                    <w:t>320</w:t>
                  </w:r>
                </w:p>
              </w:tc>
              <w:tc>
                <w:tcPr>
                  <w:tcW w:w="928" w:type="pct"/>
                  <w:vMerge w:val="continue"/>
                  <w:noWrap/>
                  <w:vAlign w:val="center"/>
                </w:tcPr>
                <w:p w14:paraId="13A996D4">
                  <w:pPr>
                    <w:pStyle w:val="74"/>
                    <w:rPr>
                      <w:color w:val="auto"/>
                      <w:szCs w:val="21"/>
                    </w:rPr>
                  </w:pPr>
                  <w:r>
                    <w:rPr>
                      <w:color w:val="auto"/>
                      <w:szCs w:val="21"/>
                    </w:rPr>
                    <w:t>正常排放</w:t>
                  </w:r>
                </w:p>
              </w:tc>
              <w:tc>
                <w:tcPr>
                  <w:tcW w:w="659" w:type="pct"/>
                  <w:tcBorders>
                    <w:right w:val="single" w:color="auto" w:sz="4" w:space="0"/>
                  </w:tcBorders>
                  <w:noWrap w:val="0"/>
                  <w:vAlign w:val="center"/>
                </w:tcPr>
                <w:p w14:paraId="2B2483DE">
                  <w:pPr>
                    <w:pStyle w:val="74"/>
                    <w:rPr>
                      <w:color w:val="auto"/>
                    </w:rPr>
                  </w:pPr>
                  <w:r>
                    <w:rPr>
                      <w:rFonts w:hint="eastAsia"/>
                      <w:color w:val="auto"/>
                    </w:rPr>
                    <w:t>颗粒物</w:t>
                  </w:r>
                </w:p>
              </w:tc>
              <w:tc>
                <w:tcPr>
                  <w:tcW w:w="543" w:type="pct"/>
                  <w:tcBorders>
                    <w:left w:val="single" w:color="auto" w:sz="4" w:space="0"/>
                    <w:right w:val="single" w:color="auto" w:sz="4" w:space="0"/>
                  </w:tcBorders>
                  <w:noWrap w:val="0"/>
                  <w:vAlign w:val="center"/>
                </w:tcPr>
                <w:p w14:paraId="7FE1AC4A">
                  <w:pPr>
                    <w:pStyle w:val="69"/>
                    <w:rPr>
                      <w:rFonts w:hint="default" w:eastAsia="宋体"/>
                      <w:color w:val="auto"/>
                      <w:kern w:val="0"/>
                      <w:lang w:val="en-US" w:eastAsia="zh-CN"/>
                    </w:rPr>
                  </w:pPr>
                  <w:r>
                    <w:rPr>
                      <w:rFonts w:hint="eastAsia"/>
                      <w:color w:val="auto"/>
                      <w:lang w:val="en-US" w:eastAsia="zh-CN"/>
                    </w:rPr>
                    <w:t>0.325</w:t>
                  </w:r>
                </w:p>
              </w:tc>
              <w:tc>
                <w:tcPr>
                  <w:tcW w:w="416" w:type="pct"/>
                  <w:tcBorders>
                    <w:left w:val="single" w:color="auto" w:sz="4" w:space="0"/>
                  </w:tcBorders>
                  <w:noWrap w:val="0"/>
                  <w:vAlign w:val="center"/>
                </w:tcPr>
                <w:p w14:paraId="141F0673">
                  <w:pPr>
                    <w:pStyle w:val="69"/>
                    <w:rPr>
                      <w:rFonts w:hint="default" w:eastAsia="宋体"/>
                      <w:color w:val="auto"/>
                      <w:kern w:val="0"/>
                      <w:lang w:val="en-US" w:eastAsia="zh-CN"/>
                    </w:rPr>
                  </w:pPr>
                  <w:r>
                    <w:rPr>
                      <w:rFonts w:hint="eastAsia"/>
                      <w:color w:val="auto"/>
                    </w:rPr>
                    <w:t>0</w:t>
                  </w:r>
                  <w:r>
                    <w:rPr>
                      <w:color w:val="auto"/>
                    </w:rPr>
                    <w:t>.</w:t>
                  </w:r>
                  <w:r>
                    <w:rPr>
                      <w:rFonts w:hint="eastAsia"/>
                      <w:color w:val="auto"/>
                      <w:lang w:val="en-US" w:eastAsia="zh-CN"/>
                    </w:rPr>
                    <w:t>8581</w:t>
                  </w:r>
                </w:p>
              </w:tc>
            </w:tr>
            <w:tr w14:paraId="7EEB71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c>
                <w:tcPr>
                  <w:tcW w:w="417" w:type="pct"/>
                  <w:vMerge w:val="continue"/>
                  <w:noWrap w:val="0"/>
                  <w:vAlign w:val="center"/>
                </w:tcPr>
                <w:p w14:paraId="6ADF0D49">
                  <w:pPr>
                    <w:pStyle w:val="74"/>
                    <w:rPr>
                      <w:rFonts w:hint="eastAsia"/>
                      <w:color w:val="auto"/>
                      <w:szCs w:val="21"/>
                    </w:rPr>
                  </w:pPr>
                </w:p>
              </w:tc>
              <w:tc>
                <w:tcPr>
                  <w:tcW w:w="320" w:type="pct"/>
                  <w:vMerge w:val="continue"/>
                  <w:noWrap/>
                  <w:vAlign w:val="center"/>
                </w:tcPr>
                <w:p w14:paraId="606939F5">
                  <w:pPr>
                    <w:pStyle w:val="74"/>
                    <w:rPr>
                      <w:color w:val="auto"/>
                      <w:szCs w:val="21"/>
                    </w:rPr>
                  </w:pPr>
                </w:p>
              </w:tc>
              <w:tc>
                <w:tcPr>
                  <w:tcW w:w="320" w:type="pct"/>
                  <w:vMerge w:val="continue"/>
                  <w:noWrap/>
                  <w:vAlign w:val="center"/>
                </w:tcPr>
                <w:p w14:paraId="621D66B2">
                  <w:pPr>
                    <w:pStyle w:val="74"/>
                    <w:rPr>
                      <w:color w:val="auto"/>
                      <w:szCs w:val="21"/>
                    </w:rPr>
                  </w:pPr>
                </w:p>
              </w:tc>
              <w:tc>
                <w:tcPr>
                  <w:tcW w:w="535" w:type="pct"/>
                  <w:vMerge w:val="continue"/>
                  <w:noWrap/>
                  <w:vAlign w:val="center"/>
                </w:tcPr>
                <w:p w14:paraId="3BE5C680">
                  <w:pPr>
                    <w:pStyle w:val="74"/>
                    <w:rPr>
                      <w:color w:val="auto"/>
                      <w:szCs w:val="21"/>
                    </w:rPr>
                  </w:pPr>
                </w:p>
              </w:tc>
              <w:tc>
                <w:tcPr>
                  <w:tcW w:w="415" w:type="pct"/>
                  <w:vMerge w:val="continue"/>
                  <w:noWrap/>
                  <w:vAlign w:val="center"/>
                </w:tcPr>
                <w:p w14:paraId="2E844372">
                  <w:pPr>
                    <w:pStyle w:val="74"/>
                    <w:rPr>
                      <w:color w:val="auto"/>
                      <w:szCs w:val="21"/>
                    </w:rPr>
                  </w:pPr>
                </w:p>
              </w:tc>
              <w:tc>
                <w:tcPr>
                  <w:tcW w:w="442" w:type="pct"/>
                  <w:vMerge w:val="continue"/>
                  <w:noWrap/>
                  <w:vAlign w:val="center"/>
                </w:tcPr>
                <w:p w14:paraId="4647DF61">
                  <w:pPr>
                    <w:pStyle w:val="74"/>
                    <w:rPr>
                      <w:rFonts w:hint="eastAsia"/>
                      <w:color w:val="auto"/>
                    </w:rPr>
                  </w:pPr>
                </w:p>
              </w:tc>
              <w:tc>
                <w:tcPr>
                  <w:tcW w:w="928" w:type="pct"/>
                  <w:vMerge w:val="continue"/>
                  <w:noWrap/>
                  <w:vAlign w:val="center"/>
                </w:tcPr>
                <w:p w14:paraId="405F0AC9">
                  <w:pPr>
                    <w:pStyle w:val="74"/>
                    <w:rPr>
                      <w:color w:val="auto"/>
                      <w:szCs w:val="21"/>
                    </w:rPr>
                  </w:pPr>
                </w:p>
              </w:tc>
              <w:tc>
                <w:tcPr>
                  <w:tcW w:w="659" w:type="pct"/>
                  <w:tcBorders>
                    <w:right w:val="single" w:color="auto" w:sz="4" w:space="0"/>
                  </w:tcBorders>
                  <w:noWrap w:val="0"/>
                  <w:vAlign w:val="center"/>
                </w:tcPr>
                <w:p w14:paraId="000BE95B">
                  <w:pPr>
                    <w:pStyle w:val="74"/>
                    <w:rPr>
                      <w:rFonts w:hint="eastAsia" w:eastAsia="宋体"/>
                      <w:color w:val="auto"/>
                      <w:lang w:eastAsia="zh-CN"/>
                    </w:rPr>
                  </w:pPr>
                  <w:r>
                    <w:rPr>
                      <w:rFonts w:hint="eastAsia"/>
                      <w:color w:val="auto"/>
                      <w:lang w:eastAsia="zh-CN"/>
                    </w:rPr>
                    <w:t>臭气浓度</w:t>
                  </w:r>
                </w:p>
              </w:tc>
              <w:tc>
                <w:tcPr>
                  <w:tcW w:w="543" w:type="pct"/>
                  <w:tcBorders>
                    <w:left w:val="single" w:color="auto" w:sz="4" w:space="0"/>
                    <w:right w:val="single" w:color="auto" w:sz="4" w:space="0"/>
                  </w:tcBorders>
                  <w:noWrap w:val="0"/>
                  <w:vAlign w:val="center"/>
                </w:tcPr>
                <w:p w14:paraId="2514DE59">
                  <w:pPr>
                    <w:pStyle w:val="69"/>
                    <w:rPr>
                      <w:rFonts w:hint="eastAsia" w:eastAsia="宋体"/>
                      <w:color w:val="auto"/>
                      <w:lang w:val="en-US" w:eastAsia="zh-CN"/>
                    </w:rPr>
                  </w:pPr>
                  <w:r>
                    <w:rPr>
                      <w:rFonts w:hint="eastAsia"/>
                      <w:color w:val="auto"/>
                      <w:lang w:val="en-US" w:eastAsia="zh-CN"/>
                    </w:rPr>
                    <w:t>/</w:t>
                  </w:r>
                </w:p>
              </w:tc>
              <w:tc>
                <w:tcPr>
                  <w:tcW w:w="416" w:type="pct"/>
                  <w:tcBorders>
                    <w:left w:val="single" w:color="auto" w:sz="4" w:space="0"/>
                  </w:tcBorders>
                  <w:noWrap w:val="0"/>
                  <w:vAlign w:val="center"/>
                </w:tcPr>
                <w:p w14:paraId="50D3655E">
                  <w:pPr>
                    <w:pStyle w:val="69"/>
                    <w:rPr>
                      <w:rFonts w:hint="default"/>
                      <w:color w:val="auto"/>
                      <w:lang w:val="en-US" w:eastAsia="zh-CN"/>
                    </w:rPr>
                  </w:pPr>
                  <w:r>
                    <w:rPr>
                      <w:rFonts w:hint="eastAsia"/>
                      <w:color w:val="auto"/>
                      <w:lang w:val="en-US" w:eastAsia="zh-CN"/>
                    </w:rPr>
                    <w:t>/</w:t>
                  </w:r>
                </w:p>
              </w:tc>
            </w:tr>
          </w:tbl>
          <w:p w14:paraId="6556AB00">
            <w:pPr>
              <w:pStyle w:val="116"/>
              <w:jc w:val="left"/>
              <w:rPr>
                <w:rFonts w:hint="eastAsia" w:ascii="Times New Roman" w:hAnsi="Times New Roman" w:eastAsia="宋体" w:cs="Times New Roman"/>
                <w:color w:val="auto"/>
                <w:sz w:val="24"/>
                <w:szCs w:val="24"/>
                <w:lang w:eastAsia="zh-CN"/>
              </w:rPr>
            </w:pPr>
            <w:r>
              <w:rPr>
                <w:color w:val="auto"/>
                <w:sz w:val="24"/>
                <w:szCs w:val="24"/>
              </w:rPr>
              <w:t>由上表可知，本</w:t>
            </w:r>
            <w:r>
              <w:rPr>
                <w:rFonts w:hint="eastAsia"/>
                <w:color w:val="auto"/>
                <w:sz w:val="24"/>
                <w:szCs w:val="24"/>
              </w:rPr>
              <w:t>项目非甲烷总烃、颗粒物无组织排放</w:t>
            </w:r>
            <w:r>
              <w:rPr>
                <w:color w:val="auto"/>
                <w:sz w:val="24"/>
                <w:szCs w:val="24"/>
              </w:rPr>
              <w:t>可达</w:t>
            </w:r>
            <w:r>
              <w:rPr>
                <w:rFonts w:hint="eastAsia"/>
                <w:color w:val="auto"/>
                <w:sz w:val="24"/>
                <w:szCs w:val="24"/>
                <w:lang w:eastAsia="zh-CN"/>
              </w:rPr>
              <w:t>《合成树脂工业污染物排放标准》（GB 31572-2015，含2024年修改单）</w:t>
            </w:r>
            <w:r>
              <w:rPr>
                <w:rFonts w:hint="eastAsia"/>
                <w:color w:val="auto"/>
                <w:sz w:val="24"/>
                <w:szCs w:val="24"/>
              </w:rPr>
              <w:t>表</w:t>
            </w:r>
            <w:r>
              <w:rPr>
                <w:color w:val="auto"/>
                <w:sz w:val="24"/>
                <w:szCs w:val="24"/>
              </w:rPr>
              <w:t>9</w:t>
            </w:r>
            <w:r>
              <w:rPr>
                <w:rFonts w:hint="eastAsia"/>
                <w:color w:val="auto"/>
                <w:sz w:val="24"/>
                <w:szCs w:val="24"/>
              </w:rPr>
              <w:t>、《挥发性有机物无组织排放控制标准》（GB 37822-2019）附录A的表A.1的相应规定</w:t>
            </w:r>
            <w:r>
              <w:rPr>
                <w:rFonts w:hint="eastAsia"/>
                <w:color w:val="auto"/>
                <w:sz w:val="24"/>
                <w:szCs w:val="24"/>
                <w:lang w:eastAsia="zh-CN"/>
              </w:rPr>
              <w:t>；</w:t>
            </w:r>
            <w:r>
              <w:rPr>
                <w:rFonts w:hint="eastAsia" w:ascii="Times New Roman" w:hAnsi="Times New Roman" w:eastAsia="宋体" w:cs="Times New Roman"/>
                <w:color w:val="auto"/>
                <w:sz w:val="24"/>
                <w:szCs w:val="24"/>
                <w:lang w:eastAsia="zh-CN"/>
              </w:rPr>
              <w:t>臭气浓度预计满足</w:t>
            </w:r>
            <w:r>
              <w:rPr>
                <w:rFonts w:hint="default" w:ascii="Times New Roman" w:hAnsi="Times New Roman" w:eastAsia="宋体" w:cs="Times New Roman"/>
                <w:color w:val="auto"/>
                <w:sz w:val="24"/>
                <w:szCs w:val="24"/>
                <w:lang w:val="en-US" w:eastAsia="zh-CN"/>
              </w:rPr>
              <w:t>《恶臭污染物排放标准》（GB14554-93）</w:t>
            </w:r>
            <w:r>
              <w:rPr>
                <w:rFonts w:hint="eastAsia" w:ascii="Times New Roman" w:hAnsi="Times New Roman" w:eastAsia="宋体" w:cs="Times New Roman"/>
                <w:color w:val="auto"/>
                <w:sz w:val="24"/>
                <w:szCs w:val="24"/>
                <w:lang w:val="en-US" w:eastAsia="zh-CN"/>
              </w:rPr>
              <w:t>相应标准。</w:t>
            </w:r>
          </w:p>
          <w:p w14:paraId="786D410D">
            <w:pPr>
              <w:pStyle w:val="105"/>
              <w:ind w:firstLine="480"/>
              <w:rPr>
                <w:rFonts w:ascii="Times New Roman" w:hAnsi="Times New Roman"/>
                <w:color w:val="auto"/>
              </w:rPr>
            </w:pPr>
            <w:r>
              <w:rPr>
                <w:rFonts w:ascii="Times New Roman"/>
                <w:color w:val="auto"/>
              </w:rPr>
              <w:t>（</w:t>
            </w:r>
            <w:r>
              <w:rPr>
                <w:rFonts w:ascii="Times New Roman" w:hAnsi="Times New Roman"/>
                <w:color w:val="auto"/>
              </w:rPr>
              <w:t>3</w:t>
            </w:r>
            <w:r>
              <w:rPr>
                <w:rFonts w:ascii="Times New Roman"/>
                <w:color w:val="auto"/>
              </w:rPr>
              <w:t>）非正常排放情况分析</w:t>
            </w:r>
          </w:p>
          <w:p w14:paraId="2545E162">
            <w:pPr>
              <w:pStyle w:val="105"/>
              <w:ind w:firstLine="480"/>
              <w:rPr>
                <w:rFonts w:hint="eastAsia" w:ascii="Times New Roman"/>
                <w:color w:val="auto"/>
              </w:rPr>
            </w:pPr>
            <w:r>
              <w:rPr>
                <w:rFonts w:ascii="Times New Roman" w:hAnsi="Times New Roman"/>
                <w:color w:val="auto"/>
              </w:rPr>
              <w:t>DA00</w:t>
            </w:r>
            <w:r>
              <w:rPr>
                <w:rFonts w:hint="eastAsia" w:ascii="Times New Roman" w:hAnsi="Times New Roman"/>
                <w:color w:val="auto"/>
              </w:rPr>
              <w:t>1</w:t>
            </w:r>
            <w:r>
              <w:rPr>
                <w:rFonts w:ascii="Times New Roman"/>
                <w:color w:val="auto"/>
              </w:rPr>
              <w:t>排气筒非正常排放：当项目</w:t>
            </w:r>
            <w:r>
              <w:rPr>
                <w:rFonts w:hint="eastAsia" w:ascii="Times New Roman"/>
                <w:color w:val="auto"/>
                <w:lang w:eastAsia="zh-CN"/>
              </w:rPr>
              <w:t>二级活性炭吸附装置</w:t>
            </w:r>
            <w:r>
              <w:rPr>
                <w:rFonts w:ascii="Times New Roman"/>
                <w:color w:val="auto"/>
              </w:rPr>
              <w:t>发生</w:t>
            </w:r>
            <w:r>
              <w:rPr>
                <w:rFonts w:hint="eastAsia" w:ascii="Times New Roman"/>
                <w:color w:val="auto"/>
                <w:lang w:eastAsia="zh-CN"/>
              </w:rPr>
              <w:t>故障</w:t>
            </w:r>
            <w:r>
              <w:rPr>
                <w:rFonts w:ascii="Times New Roman"/>
                <w:color w:val="auto"/>
              </w:rPr>
              <w:t>时，项目废气经集气罩收集后直接经</w:t>
            </w:r>
            <w:r>
              <w:rPr>
                <w:rFonts w:ascii="Times New Roman" w:hAnsi="Times New Roman"/>
                <w:color w:val="auto"/>
              </w:rPr>
              <w:t>DA00</w:t>
            </w:r>
            <w:r>
              <w:rPr>
                <w:rFonts w:hint="eastAsia" w:ascii="Times New Roman" w:hAnsi="Times New Roman"/>
                <w:color w:val="auto"/>
              </w:rPr>
              <w:t>1</w:t>
            </w:r>
            <w:r>
              <w:rPr>
                <w:rFonts w:ascii="Times New Roman"/>
                <w:color w:val="auto"/>
              </w:rPr>
              <w:t>排气筒排出，</w:t>
            </w:r>
            <w:r>
              <w:rPr>
                <w:rFonts w:ascii="Times New Roman" w:hAnsi="Times New Roman"/>
                <w:color w:val="auto"/>
              </w:rPr>
              <w:t>DA00</w:t>
            </w:r>
            <w:r>
              <w:rPr>
                <w:rFonts w:hint="eastAsia" w:ascii="Times New Roman" w:hAnsi="Times New Roman"/>
                <w:color w:val="auto"/>
              </w:rPr>
              <w:t>1</w:t>
            </w:r>
            <w:r>
              <w:rPr>
                <w:rFonts w:ascii="Times New Roman"/>
                <w:color w:val="auto"/>
              </w:rPr>
              <w:t>排气筒非正常排放情况如下表所示。</w:t>
            </w:r>
          </w:p>
          <w:p w14:paraId="6E647183">
            <w:pPr>
              <w:numPr>
                <w:ilvl w:val="-1"/>
                <w:numId w:val="0"/>
              </w:numPr>
              <w:tabs>
                <w:tab w:val="left" w:pos="482"/>
              </w:tabs>
              <w:spacing w:line="240" w:lineRule="auto"/>
              <w:ind w:leftChars="0" w:firstLineChars="0"/>
              <w:jc w:val="center"/>
              <w:rPr>
                <w:rFonts w:ascii="Times New Roman" w:hAnsi="Times New Roman"/>
                <w:b/>
                <w:color w:val="auto"/>
              </w:rPr>
            </w:pPr>
            <w:r>
              <w:rPr>
                <w:rFonts w:hint="eastAsia" w:cs="Times New Roman"/>
                <w:b/>
                <w:bCs/>
                <w:color w:val="auto"/>
                <w:sz w:val="24"/>
                <w:szCs w:val="24"/>
                <w:lang w:val="en-US" w:eastAsia="zh-CN"/>
              </w:rPr>
              <w:t xml:space="preserve">表4.1-12 </w:t>
            </w:r>
            <w:r>
              <w:rPr>
                <w:rFonts w:ascii="Times New Roman" w:hAnsi="Times New Roman"/>
                <w:b/>
                <w:color w:val="auto"/>
              </w:rPr>
              <w:t>DA00</w:t>
            </w:r>
            <w:r>
              <w:rPr>
                <w:rFonts w:hint="eastAsia" w:ascii="Times New Roman" w:hAnsi="Times New Roman"/>
                <w:b/>
                <w:color w:val="auto"/>
              </w:rPr>
              <w:t>1</w:t>
            </w:r>
            <w:r>
              <w:rPr>
                <w:rFonts w:ascii="Times New Roman"/>
                <w:b/>
                <w:color w:val="auto"/>
              </w:rPr>
              <w:t>排气筒非正常情况排放一览表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1373"/>
              <w:gridCol w:w="916"/>
              <w:gridCol w:w="1221"/>
              <w:gridCol w:w="1068"/>
              <w:gridCol w:w="1056"/>
              <w:gridCol w:w="1478"/>
            </w:tblGrid>
            <w:tr w14:paraId="5E56CD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268" w:type="dxa"/>
                  <w:noWrap w:val="0"/>
                  <w:vAlign w:val="center"/>
                </w:tcPr>
                <w:p w14:paraId="45696E39">
                  <w:pPr>
                    <w:pStyle w:val="30"/>
                    <w:adjustRightInd w:val="0"/>
                    <w:snapToGrid w:val="0"/>
                    <w:spacing w:line="240" w:lineRule="auto"/>
                    <w:rPr>
                      <w:rFonts w:ascii="Times New Roman" w:hAnsi="Times New Roman"/>
                      <w:color w:val="auto"/>
                      <w:sz w:val="21"/>
                      <w:szCs w:val="21"/>
                    </w:rPr>
                  </w:pPr>
                  <w:r>
                    <w:rPr>
                      <w:rFonts w:ascii="Times New Roman"/>
                      <w:color w:val="auto"/>
                      <w:sz w:val="21"/>
                      <w:szCs w:val="21"/>
                    </w:rPr>
                    <w:t>污染物</w:t>
                  </w:r>
                </w:p>
              </w:tc>
              <w:tc>
                <w:tcPr>
                  <w:tcW w:w="1275" w:type="dxa"/>
                  <w:noWrap w:val="0"/>
                  <w:vAlign w:val="center"/>
                </w:tcPr>
                <w:p w14:paraId="0C1116F9">
                  <w:pPr>
                    <w:pStyle w:val="30"/>
                    <w:adjustRightInd w:val="0"/>
                    <w:snapToGrid w:val="0"/>
                    <w:spacing w:line="240" w:lineRule="auto"/>
                    <w:rPr>
                      <w:rFonts w:ascii="Times New Roman" w:hAnsi="Times New Roman"/>
                      <w:color w:val="auto"/>
                      <w:sz w:val="21"/>
                      <w:szCs w:val="21"/>
                    </w:rPr>
                  </w:pPr>
                  <w:r>
                    <w:rPr>
                      <w:rFonts w:ascii="Times New Roman"/>
                      <w:color w:val="auto"/>
                      <w:sz w:val="21"/>
                      <w:szCs w:val="21"/>
                    </w:rPr>
                    <w:t>排放情况</w:t>
                  </w:r>
                </w:p>
              </w:tc>
              <w:tc>
                <w:tcPr>
                  <w:tcW w:w="851" w:type="dxa"/>
                  <w:noWrap w:val="0"/>
                  <w:vAlign w:val="center"/>
                </w:tcPr>
                <w:p w14:paraId="78FF42F0">
                  <w:pPr>
                    <w:pStyle w:val="30"/>
                    <w:adjustRightInd w:val="0"/>
                    <w:snapToGrid w:val="0"/>
                    <w:spacing w:line="240" w:lineRule="auto"/>
                    <w:rPr>
                      <w:rFonts w:ascii="Times New Roman" w:hAnsi="Times New Roman"/>
                      <w:color w:val="auto"/>
                      <w:sz w:val="21"/>
                      <w:szCs w:val="21"/>
                    </w:rPr>
                  </w:pPr>
                  <w:r>
                    <w:rPr>
                      <w:rFonts w:ascii="Times New Roman"/>
                      <w:color w:val="auto"/>
                      <w:sz w:val="21"/>
                      <w:szCs w:val="21"/>
                    </w:rPr>
                    <w:t>频次</w:t>
                  </w:r>
                  <w:r>
                    <w:rPr>
                      <w:rFonts w:ascii="Times New Roman" w:hAnsi="Times New Roman"/>
                      <w:color w:val="auto"/>
                      <w:sz w:val="21"/>
                      <w:szCs w:val="21"/>
                    </w:rPr>
                    <w:t>(</w:t>
                  </w:r>
                  <w:r>
                    <w:rPr>
                      <w:rFonts w:ascii="Times New Roman"/>
                      <w:color w:val="auto"/>
                      <w:sz w:val="21"/>
                      <w:szCs w:val="21"/>
                    </w:rPr>
                    <w:t>次</w:t>
                  </w:r>
                  <w:r>
                    <w:rPr>
                      <w:rFonts w:ascii="Times New Roman" w:hAnsi="Times New Roman"/>
                      <w:color w:val="auto"/>
                      <w:sz w:val="21"/>
                      <w:szCs w:val="21"/>
                    </w:rPr>
                    <w:t>/a)</w:t>
                  </w:r>
                </w:p>
              </w:tc>
              <w:tc>
                <w:tcPr>
                  <w:tcW w:w="1134" w:type="dxa"/>
                  <w:noWrap w:val="0"/>
                  <w:vAlign w:val="center"/>
                </w:tcPr>
                <w:p w14:paraId="1A1EB739">
                  <w:pPr>
                    <w:pStyle w:val="30"/>
                    <w:adjustRightInd w:val="0"/>
                    <w:snapToGrid w:val="0"/>
                    <w:spacing w:line="240" w:lineRule="auto"/>
                    <w:rPr>
                      <w:rFonts w:ascii="Times New Roman" w:hAnsi="Times New Roman"/>
                      <w:color w:val="auto"/>
                      <w:sz w:val="21"/>
                      <w:szCs w:val="21"/>
                    </w:rPr>
                  </w:pPr>
                  <w:r>
                    <w:rPr>
                      <w:rFonts w:ascii="Times New Roman"/>
                      <w:color w:val="auto"/>
                      <w:sz w:val="21"/>
                      <w:szCs w:val="21"/>
                    </w:rPr>
                    <w:t>排放浓度</w:t>
                  </w:r>
                  <w:r>
                    <w:rPr>
                      <w:rFonts w:ascii="Times New Roman" w:hAnsi="Times New Roman"/>
                      <w:color w:val="auto"/>
                      <w:sz w:val="21"/>
                      <w:szCs w:val="21"/>
                    </w:rPr>
                    <w:t>(mg/m</w:t>
                  </w:r>
                  <w:r>
                    <w:rPr>
                      <w:rFonts w:ascii="Times New Roman" w:hAnsi="Times New Roman"/>
                      <w:color w:val="auto"/>
                      <w:sz w:val="21"/>
                      <w:szCs w:val="21"/>
                      <w:vertAlign w:val="superscript"/>
                    </w:rPr>
                    <w:t>3</w:t>
                  </w:r>
                  <w:r>
                    <w:rPr>
                      <w:rFonts w:ascii="Times New Roman" w:hAnsi="Times New Roman"/>
                      <w:color w:val="auto"/>
                      <w:sz w:val="21"/>
                      <w:szCs w:val="21"/>
                    </w:rPr>
                    <w:t>)</w:t>
                  </w:r>
                </w:p>
              </w:tc>
              <w:tc>
                <w:tcPr>
                  <w:tcW w:w="992" w:type="dxa"/>
                  <w:noWrap w:val="0"/>
                  <w:vAlign w:val="center"/>
                </w:tcPr>
                <w:p w14:paraId="3F2E8215">
                  <w:pPr>
                    <w:pStyle w:val="30"/>
                    <w:adjustRightInd w:val="0"/>
                    <w:snapToGrid w:val="0"/>
                    <w:spacing w:line="240" w:lineRule="auto"/>
                    <w:rPr>
                      <w:rFonts w:ascii="Times New Roman" w:hAnsi="Times New Roman"/>
                      <w:color w:val="auto"/>
                      <w:sz w:val="21"/>
                      <w:szCs w:val="21"/>
                    </w:rPr>
                  </w:pPr>
                  <w:r>
                    <w:rPr>
                      <w:rFonts w:ascii="Times New Roman"/>
                      <w:color w:val="auto"/>
                      <w:sz w:val="21"/>
                      <w:szCs w:val="21"/>
                    </w:rPr>
                    <w:t>持续时间</w:t>
                  </w:r>
                  <w:r>
                    <w:rPr>
                      <w:rFonts w:ascii="Times New Roman" w:hAnsi="Times New Roman"/>
                      <w:color w:val="auto"/>
                      <w:sz w:val="21"/>
                      <w:szCs w:val="21"/>
                    </w:rPr>
                    <w:t>(h/</w:t>
                  </w:r>
                  <w:r>
                    <w:rPr>
                      <w:rFonts w:ascii="Times New Roman"/>
                      <w:color w:val="auto"/>
                      <w:sz w:val="21"/>
                      <w:szCs w:val="21"/>
                    </w:rPr>
                    <w:t>次</w:t>
                  </w:r>
                  <w:r>
                    <w:rPr>
                      <w:rFonts w:ascii="Times New Roman" w:hAnsi="Times New Roman"/>
                      <w:color w:val="auto"/>
                      <w:sz w:val="21"/>
                      <w:szCs w:val="21"/>
                    </w:rPr>
                    <w:t>)</w:t>
                  </w:r>
                </w:p>
              </w:tc>
              <w:tc>
                <w:tcPr>
                  <w:tcW w:w="981" w:type="dxa"/>
                  <w:noWrap w:val="0"/>
                  <w:vAlign w:val="center"/>
                </w:tcPr>
                <w:p w14:paraId="02D27E00">
                  <w:pPr>
                    <w:pStyle w:val="30"/>
                    <w:adjustRightInd w:val="0"/>
                    <w:snapToGrid w:val="0"/>
                    <w:spacing w:line="240" w:lineRule="auto"/>
                    <w:rPr>
                      <w:rFonts w:ascii="Times New Roman" w:hAnsi="Times New Roman"/>
                      <w:color w:val="auto"/>
                      <w:sz w:val="21"/>
                      <w:szCs w:val="21"/>
                    </w:rPr>
                  </w:pPr>
                  <w:r>
                    <w:rPr>
                      <w:rFonts w:ascii="Times New Roman"/>
                      <w:color w:val="auto"/>
                      <w:sz w:val="21"/>
                      <w:szCs w:val="21"/>
                    </w:rPr>
                    <w:t>排放</w:t>
                  </w:r>
                  <w:r>
                    <w:rPr>
                      <w:rFonts w:hint="eastAsia"/>
                      <w:color w:val="auto"/>
                      <w:sz w:val="21"/>
                      <w:szCs w:val="21"/>
                      <w:lang w:eastAsia="zh-CN"/>
                    </w:rPr>
                    <w:t>速率</w:t>
                  </w:r>
                  <w:r>
                    <w:rPr>
                      <w:rFonts w:ascii="Times New Roman" w:hAnsi="Times New Roman"/>
                      <w:color w:val="auto"/>
                      <w:sz w:val="21"/>
                      <w:szCs w:val="21"/>
                    </w:rPr>
                    <w:t>(kg/h)</w:t>
                  </w:r>
                </w:p>
              </w:tc>
              <w:tc>
                <w:tcPr>
                  <w:tcW w:w="1372" w:type="dxa"/>
                  <w:noWrap w:val="0"/>
                  <w:vAlign w:val="center"/>
                </w:tcPr>
                <w:p w14:paraId="4199EEE7">
                  <w:pPr>
                    <w:pStyle w:val="30"/>
                    <w:adjustRightInd w:val="0"/>
                    <w:snapToGrid w:val="0"/>
                    <w:spacing w:line="240" w:lineRule="auto"/>
                    <w:rPr>
                      <w:rFonts w:ascii="Times New Roman" w:hAnsi="Times New Roman"/>
                      <w:color w:val="auto"/>
                      <w:sz w:val="21"/>
                      <w:szCs w:val="21"/>
                    </w:rPr>
                  </w:pPr>
                  <w:r>
                    <w:rPr>
                      <w:rFonts w:ascii="Times New Roman"/>
                      <w:color w:val="auto"/>
                      <w:sz w:val="21"/>
                      <w:szCs w:val="21"/>
                    </w:rPr>
                    <w:t>措施</w:t>
                  </w:r>
                </w:p>
              </w:tc>
            </w:tr>
            <w:tr w14:paraId="4C1B59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8" w:type="dxa"/>
                  <w:noWrap w:val="0"/>
                  <w:vAlign w:val="center"/>
                </w:tcPr>
                <w:p w14:paraId="3F1F10AB">
                  <w:pPr>
                    <w:pStyle w:val="30"/>
                    <w:adjustRightInd w:val="0"/>
                    <w:snapToGrid w:val="0"/>
                    <w:spacing w:line="240" w:lineRule="auto"/>
                    <w:rPr>
                      <w:rFonts w:hint="eastAsia" w:ascii="Times New Roman" w:eastAsia="宋体"/>
                      <w:color w:val="auto"/>
                      <w:sz w:val="21"/>
                      <w:szCs w:val="21"/>
                      <w:lang w:eastAsia="zh-CN"/>
                    </w:rPr>
                  </w:pPr>
                  <w:r>
                    <w:rPr>
                      <w:rFonts w:hint="eastAsia" w:ascii="Times New Roman"/>
                      <w:color w:val="auto"/>
                      <w:sz w:val="21"/>
                      <w:szCs w:val="21"/>
                      <w:lang w:eastAsia="zh-CN"/>
                    </w:rPr>
                    <w:t>非甲烷总烃</w:t>
                  </w:r>
                </w:p>
              </w:tc>
              <w:tc>
                <w:tcPr>
                  <w:tcW w:w="1275" w:type="dxa"/>
                  <w:noWrap w:val="0"/>
                  <w:vAlign w:val="center"/>
                </w:tcPr>
                <w:p w14:paraId="5A18D94B">
                  <w:pPr>
                    <w:pStyle w:val="30"/>
                    <w:adjustRightInd w:val="0"/>
                    <w:snapToGrid w:val="0"/>
                    <w:spacing w:line="240" w:lineRule="auto"/>
                    <w:rPr>
                      <w:rFonts w:ascii="Times New Roman"/>
                      <w:color w:val="auto"/>
                      <w:sz w:val="21"/>
                      <w:szCs w:val="21"/>
                    </w:rPr>
                  </w:pPr>
                  <w:r>
                    <w:rPr>
                      <w:rFonts w:hint="eastAsia" w:ascii="Times New Roman" w:hAnsi="Times New Roman" w:eastAsia="宋体" w:cs="Times New Roman"/>
                      <w:color w:val="auto"/>
                      <w:sz w:val="21"/>
                      <w:szCs w:val="21"/>
                      <w:lang w:eastAsia="zh-CN"/>
                    </w:rPr>
                    <w:t>二级活性炭吸附装置</w:t>
                  </w:r>
                  <w:r>
                    <w:rPr>
                      <w:rFonts w:ascii="Times New Roman" w:hAnsi="Times New Roman" w:eastAsia="宋体" w:cs="Times New Roman"/>
                      <w:color w:val="auto"/>
                      <w:sz w:val="21"/>
                      <w:szCs w:val="21"/>
                    </w:rPr>
                    <w:t>发生</w:t>
                  </w:r>
                  <w:r>
                    <w:rPr>
                      <w:rFonts w:hint="eastAsia" w:ascii="Times New Roman" w:hAnsi="Times New Roman" w:eastAsia="宋体" w:cs="Times New Roman"/>
                      <w:color w:val="auto"/>
                      <w:sz w:val="21"/>
                      <w:szCs w:val="21"/>
                      <w:lang w:eastAsia="zh-CN"/>
                    </w:rPr>
                    <w:t>故障</w:t>
                  </w:r>
                </w:p>
              </w:tc>
              <w:tc>
                <w:tcPr>
                  <w:tcW w:w="851" w:type="dxa"/>
                  <w:noWrap w:val="0"/>
                  <w:vAlign w:val="center"/>
                </w:tcPr>
                <w:p w14:paraId="1E57E3BE">
                  <w:pPr>
                    <w:pStyle w:val="30"/>
                    <w:adjustRightInd w:val="0"/>
                    <w:snapToGrid w:val="0"/>
                    <w:spacing w:line="240" w:lineRule="auto"/>
                    <w:rPr>
                      <w:rFonts w:ascii="Times New Roman"/>
                      <w:color w:val="auto"/>
                      <w:sz w:val="21"/>
                      <w:szCs w:val="21"/>
                    </w:rPr>
                  </w:pPr>
                  <w:r>
                    <w:rPr>
                      <w:rFonts w:ascii="Times New Roman" w:hAnsi="Times New Roman"/>
                      <w:color w:val="auto"/>
                      <w:sz w:val="21"/>
                      <w:szCs w:val="21"/>
                    </w:rPr>
                    <w:t>1</w:t>
                  </w:r>
                </w:p>
              </w:tc>
              <w:tc>
                <w:tcPr>
                  <w:tcW w:w="1134" w:type="dxa"/>
                  <w:noWrap w:val="0"/>
                  <w:vAlign w:val="center"/>
                </w:tcPr>
                <w:p w14:paraId="12FC5572">
                  <w:pPr>
                    <w:pStyle w:val="30"/>
                    <w:adjustRightInd w:val="0"/>
                    <w:snapToGrid w:val="0"/>
                    <w:spacing w:line="240" w:lineRule="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190.9</w:t>
                  </w:r>
                </w:p>
              </w:tc>
              <w:tc>
                <w:tcPr>
                  <w:tcW w:w="992" w:type="dxa"/>
                  <w:noWrap w:val="0"/>
                  <w:vAlign w:val="center"/>
                </w:tcPr>
                <w:p w14:paraId="2BFC1713">
                  <w:pPr>
                    <w:pStyle w:val="30"/>
                    <w:adjustRightInd w:val="0"/>
                    <w:snapToGrid w:val="0"/>
                    <w:spacing w:line="240" w:lineRule="auto"/>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981" w:type="dxa"/>
                  <w:noWrap w:val="0"/>
                  <w:vAlign w:val="center"/>
                </w:tcPr>
                <w:p w14:paraId="3CFBE6DA">
                  <w:pPr>
                    <w:pStyle w:val="30"/>
                    <w:adjustRightInd w:val="0"/>
                    <w:snapToGrid w:val="0"/>
                    <w:spacing w:line="240" w:lineRule="auto"/>
                    <w:rPr>
                      <w:rFonts w:hint="default" w:ascii="Times New Roman" w:hAnsi="Times New Roman" w:eastAsia="宋体" w:cs="Times New Roman"/>
                      <w:color w:val="auto"/>
                      <w:sz w:val="21"/>
                      <w:szCs w:val="21"/>
                      <w:lang w:val="en-US" w:eastAsia="zh-CN"/>
                    </w:rPr>
                  </w:pPr>
                  <w:r>
                    <w:rPr>
                      <w:rFonts w:hint="eastAsia" w:cs="Times New Roman"/>
                      <w:i w:val="0"/>
                      <w:iCs w:val="0"/>
                      <w:color w:val="auto"/>
                      <w:kern w:val="0"/>
                      <w:sz w:val="21"/>
                      <w:szCs w:val="21"/>
                      <w:u w:val="none"/>
                      <w:lang w:val="en-US" w:eastAsia="zh-CN" w:bidi="ar"/>
                    </w:rPr>
                    <w:t>0</w:t>
                  </w:r>
                  <w:r>
                    <w:rPr>
                      <w:rFonts w:hint="eastAsia" w:ascii="Times New Roman" w:hAnsi="Times New Roman" w:eastAsia="宋体" w:cs="Times New Roman"/>
                      <w:color w:val="auto"/>
                      <w:sz w:val="21"/>
                      <w:szCs w:val="21"/>
                      <w:lang w:val="en-US" w:eastAsia="zh-CN"/>
                    </w:rPr>
                    <w:t>.9545</w:t>
                  </w:r>
                </w:p>
              </w:tc>
              <w:tc>
                <w:tcPr>
                  <w:tcW w:w="1372" w:type="dxa"/>
                  <w:noWrap w:val="0"/>
                  <w:vAlign w:val="center"/>
                </w:tcPr>
                <w:p w14:paraId="187ADF27">
                  <w:pPr>
                    <w:pStyle w:val="30"/>
                    <w:adjustRightInd w:val="0"/>
                    <w:snapToGrid w:val="0"/>
                    <w:spacing w:line="240" w:lineRule="auto"/>
                    <w:rPr>
                      <w:rFonts w:ascii="Times New Roman"/>
                      <w:color w:val="auto"/>
                      <w:sz w:val="21"/>
                      <w:szCs w:val="21"/>
                    </w:rPr>
                  </w:pPr>
                  <w:r>
                    <w:rPr>
                      <w:rFonts w:ascii="Times New Roman"/>
                      <w:color w:val="auto"/>
                      <w:sz w:val="21"/>
                      <w:szCs w:val="21"/>
                    </w:rPr>
                    <w:t>停止生产，更换检修</w:t>
                  </w:r>
                </w:p>
              </w:tc>
            </w:tr>
          </w:tbl>
          <w:p w14:paraId="4DC20AAB">
            <w:pPr>
              <w:rPr>
                <w:rFonts w:hint="default" w:eastAsia="宋体"/>
                <w:color w:val="auto"/>
                <w:sz w:val="21"/>
                <w:szCs w:val="24"/>
                <w:lang w:val="en-US" w:eastAsia="zh-CN"/>
              </w:rPr>
            </w:pPr>
          </w:p>
          <w:p w14:paraId="776358FF">
            <w:pPr>
              <w:pStyle w:val="62"/>
              <w:numPr>
                <w:ilvl w:val="2"/>
                <w:numId w:val="7"/>
              </w:numPr>
              <w:ind w:left="210"/>
              <w:rPr>
                <w:rFonts w:ascii="Times New Roman" w:hAnsi="Times New Roman" w:cs="Times New Roman"/>
                <w:color w:val="auto"/>
                <w:sz w:val="24"/>
                <w:szCs w:val="24"/>
              </w:rPr>
            </w:pPr>
            <w:r>
              <w:rPr>
                <w:rFonts w:ascii="Times New Roman" w:hAnsi="Times New Roman" w:cs="Times New Roman"/>
                <w:color w:val="auto"/>
                <w:sz w:val="24"/>
                <w:szCs w:val="24"/>
              </w:rPr>
              <w:t>废气污染治理设施</w:t>
            </w:r>
          </w:p>
          <w:p w14:paraId="67C9B9CE">
            <w:pPr>
              <w:pStyle w:val="55"/>
              <w:ind w:firstLine="422"/>
              <w:rPr>
                <w:b/>
                <w:bCs/>
                <w:color w:val="auto"/>
                <w:sz w:val="24"/>
                <w:szCs w:val="24"/>
                <w:highlight w:val="none"/>
              </w:rPr>
            </w:pPr>
            <w:r>
              <w:rPr>
                <w:b/>
                <w:bCs/>
                <w:color w:val="auto"/>
                <w:sz w:val="24"/>
                <w:szCs w:val="24"/>
                <w:highlight w:val="none"/>
              </w:rPr>
              <w:t>（1）</w:t>
            </w:r>
            <w:r>
              <w:rPr>
                <w:rFonts w:hint="eastAsia"/>
                <w:b/>
                <w:bCs/>
                <w:color w:val="auto"/>
                <w:sz w:val="24"/>
                <w:szCs w:val="24"/>
                <w:highlight w:val="none"/>
              </w:rPr>
              <w:t>熔融废气</w:t>
            </w:r>
            <w:r>
              <w:rPr>
                <w:b/>
                <w:bCs/>
                <w:color w:val="auto"/>
                <w:sz w:val="24"/>
                <w:szCs w:val="24"/>
                <w:highlight w:val="none"/>
              </w:rPr>
              <w:t>治理设施</w:t>
            </w:r>
          </w:p>
          <w:p w14:paraId="4DC7E25F">
            <w:pPr>
              <w:pStyle w:val="116"/>
              <w:jc w:val="left"/>
              <w:rPr>
                <w:rFonts w:hint="eastAsia"/>
                <w:color w:val="auto"/>
              </w:rPr>
            </w:pPr>
            <w:r>
              <w:rPr>
                <w:rFonts w:hint="eastAsia"/>
                <w:color w:val="auto"/>
                <w:sz w:val="24"/>
                <w:szCs w:val="24"/>
              </w:rPr>
              <w:t>①收集</w:t>
            </w:r>
          </w:p>
          <w:p w14:paraId="18392DAE">
            <w:pPr>
              <w:pStyle w:val="116"/>
              <w:jc w:val="left"/>
              <w:rPr>
                <w:rFonts w:hint="eastAsia"/>
                <w:color w:val="auto"/>
                <w:sz w:val="24"/>
                <w:szCs w:val="24"/>
              </w:rPr>
            </w:pPr>
            <w:r>
              <w:rPr>
                <w:rFonts w:hint="eastAsia"/>
                <w:color w:val="auto"/>
                <w:sz w:val="24"/>
                <w:szCs w:val="24"/>
              </w:rPr>
              <w:t>本项目挤压机为密闭一体化设备，故熔融废气随熔融物料在挤压机出口、定型工段排放。每台挤压机出口上方设置半包围型集气罩，收集废气。</w:t>
            </w:r>
          </w:p>
          <w:p w14:paraId="417794E3">
            <w:pPr>
              <w:pStyle w:val="116"/>
              <w:jc w:val="left"/>
              <w:rPr>
                <w:rFonts w:hint="eastAsia"/>
                <w:color w:val="auto"/>
                <w:sz w:val="24"/>
                <w:szCs w:val="24"/>
                <w:lang w:val="en"/>
              </w:rPr>
            </w:pPr>
            <w:r>
              <w:rPr>
                <w:rFonts w:hint="eastAsia"/>
                <w:color w:val="auto"/>
                <w:sz w:val="24"/>
                <w:szCs w:val="24"/>
                <w:lang w:val="en"/>
              </w:rPr>
              <w:t>②废气处理与排放</w:t>
            </w:r>
          </w:p>
          <w:p w14:paraId="5442742E">
            <w:pPr>
              <w:pStyle w:val="116"/>
              <w:jc w:val="left"/>
              <w:rPr>
                <w:rFonts w:hint="eastAsia"/>
                <w:color w:val="auto"/>
                <w:sz w:val="24"/>
                <w:szCs w:val="24"/>
                <w:lang w:val="en"/>
              </w:rPr>
            </w:pPr>
            <w:r>
              <w:rPr>
                <w:rFonts w:hint="eastAsia"/>
                <w:color w:val="auto"/>
                <w:sz w:val="24"/>
                <w:szCs w:val="24"/>
                <w:lang w:val="en"/>
              </w:rPr>
              <w:t>熔融废气经集气罩收集后设置二级活性炭吸附装置处理，经处理后的达标废气通过</w:t>
            </w:r>
            <w:r>
              <w:rPr>
                <w:rFonts w:hint="eastAsia"/>
                <w:color w:val="auto"/>
                <w:sz w:val="24"/>
                <w:szCs w:val="24"/>
                <w:lang w:val="en-US" w:eastAsia="zh-CN"/>
              </w:rPr>
              <w:t>15</w:t>
            </w:r>
            <w:r>
              <w:rPr>
                <w:rFonts w:hint="eastAsia"/>
                <w:color w:val="auto"/>
                <w:sz w:val="24"/>
                <w:szCs w:val="24"/>
                <w:lang w:val="en"/>
              </w:rPr>
              <w:t>m高排气筒排放</w:t>
            </w:r>
            <w:r>
              <w:rPr>
                <w:rFonts w:hint="eastAsia"/>
                <w:color w:val="auto"/>
                <w:sz w:val="24"/>
                <w:szCs w:val="24"/>
              </w:rPr>
              <w:t>（DA001）。</w:t>
            </w:r>
          </w:p>
          <w:p w14:paraId="0871D431">
            <w:pPr>
              <w:pStyle w:val="116"/>
              <w:jc w:val="left"/>
              <w:rPr>
                <w:rFonts w:hint="eastAsia"/>
                <w:color w:val="auto"/>
                <w:sz w:val="24"/>
                <w:szCs w:val="24"/>
                <w:lang w:val="en"/>
              </w:rPr>
            </w:pPr>
            <w:r>
              <w:rPr>
                <w:rFonts w:hint="eastAsia"/>
                <w:color w:val="auto"/>
                <w:sz w:val="24"/>
                <w:szCs w:val="24"/>
                <w:lang w:val="en"/>
              </w:rPr>
              <w:t>活性炭吸附原理：利用活性炭多孔性，固体物质处理流体混合物时，流体中的某一些组分或某些组分可被吸引到固体表面并浓集其上。利用吸附功能使恶臭、有机废气物质由气相转移至固相，适用于处理低浓度，高净化要求的恶臭、有机废气。</w:t>
            </w:r>
          </w:p>
          <w:p w14:paraId="48684D54">
            <w:pPr>
              <w:pStyle w:val="116"/>
              <w:jc w:val="left"/>
              <w:rPr>
                <w:rFonts w:hint="eastAsia"/>
                <w:color w:val="auto"/>
                <w:sz w:val="24"/>
                <w:szCs w:val="24"/>
                <w:lang w:val="en"/>
              </w:rPr>
            </w:pPr>
            <w:r>
              <w:rPr>
                <w:rFonts w:hint="eastAsia"/>
                <w:color w:val="auto"/>
                <w:sz w:val="24"/>
                <w:szCs w:val="24"/>
                <w:lang w:val="en"/>
              </w:rPr>
              <w:t>③技术可行性分析</w:t>
            </w:r>
          </w:p>
          <w:p w14:paraId="393C543A">
            <w:pPr>
              <w:pStyle w:val="116"/>
              <w:jc w:val="left"/>
              <w:rPr>
                <w:rFonts w:hint="eastAsia"/>
                <w:color w:val="auto"/>
                <w:sz w:val="24"/>
                <w:szCs w:val="24"/>
                <w:lang w:val="en"/>
              </w:rPr>
            </w:pPr>
            <w:r>
              <w:rPr>
                <w:rFonts w:hint="eastAsia"/>
                <w:color w:val="auto"/>
                <w:sz w:val="24"/>
                <w:szCs w:val="24"/>
                <w:lang w:val="en"/>
              </w:rPr>
              <w:t>根据《重点行业挥发性有机物综合治理方案》，小风量的可采用一次性活性炭吸附等工艺。本项目有机废气浓度低，风量较小，所采用的活性炭吸附为推荐工艺。目前活性炭吸附在喷漆行业得到广泛应用，吸附效率可高达80%以上。但活性炭吸附到一定量时会达到饱和，就必须再生或更换活性炭，应定期更换活性炭，可确保长期稳定运行。</w:t>
            </w:r>
          </w:p>
          <w:p w14:paraId="25B0A38D">
            <w:pPr>
              <w:pStyle w:val="116"/>
              <w:jc w:val="left"/>
              <w:rPr>
                <w:rFonts w:hint="eastAsia"/>
                <w:color w:val="auto"/>
                <w:sz w:val="24"/>
                <w:szCs w:val="24"/>
                <w:lang w:val="en"/>
              </w:rPr>
            </w:pPr>
            <w:r>
              <w:rPr>
                <w:rFonts w:hint="eastAsia"/>
                <w:color w:val="auto"/>
                <w:sz w:val="24"/>
                <w:szCs w:val="24"/>
                <w:lang w:val="en"/>
              </w:rPr>
              <w:t>根据《吸附法工业有机废气治理工程技术规范》（HJ2026-2013）要求，采用吸附装置的净化效</w:t>
            </w:r>
            <w:r>
              <w:rPr>
                <w:rFonts w:hint="eastAsia"/>
                <w:color w:val="auto"/>
                <w:sz w:val="24"/>
                <w:szCs w:val="24"/>
              </w:rPr>
              <w:t>率不得低于9</w:t>
            </w:r>
            <w:r>
              <w:rPr>
                <w:color w:val="auto"/>
                <w:sz w:val="24"/>
                <w:szCs w:val="24"/>
              </w:rPr>
              <w:t>0</w:t>
            </w:r>
            <w:r>
              <w:rPr>
                <w:rFonts w:hint="eastAsia"/>
                <w:color w:val="auto"/>
                <w:sz w:val="24"/>
                <w:szCs w:val="24"/>
              </w:rPr>
              <w:t>%；当废气中颗粒物含量超过1mg/m</w:t>
            </w:r>
            <w:r>
              <w:rPr>
                <w:rFonts w:hint="eastAsia"/>
                <w:color w:val="auto"/>
                <w:sz w:val="24"/>
                <w:szCs w:val="24"/>
                <w:vertAlign w:val="superscript"/>
              </w:rPr>
              <w:t>3</w:t>
            </w:r>
            <w:r>
              <w:rPr>
                <w:rFonts w:hint="eastAsia"/>
                <w:color w:val="auto"/>
                <w:sz w:val="24"/>
                <w:szCs w:val="24"/>
              </w:rPr>
              <w:t>时，应优先采用过滤或</w:t>
            </w:r>
            <w:r>
              <w:rPr>
                <w:rFonts w:hint="eastAsia"/>
                <w:color w:val="auto"/>
                <w:sz w:val="24"/>
                <w:szCs w:val="24"/>
                <w:lang w:val="en"/>
              </w:rPr>
              <w:t>洗涤等方式进行预处理。为保证活性炭的去除效率，采取以下措施：</w:t>
            </w:r>
          </w:p>
          <w:p w14:paraId="723F7BC0">
            <w:pPr>
              <w:pStyle w:val="116"/>
              <w:jc w:val="left"/>
              <w:rPr>
                <w:rFonts w:hint="eastAsia"/>
                <w:color w:val="auto"/>
                <w:sz w:val="24"/>
                <w:szCs w:val="24"/>
                <w:lang w:val="en"/>
              </w:rPr>
            </w:pPr>
            <w:r>
              <w:rPr>
                <w:rFonts w:hint="eastAsia"/>
                <w:color w:val="auto"/>
                <w:sz w:val="24"/>
                <w:szCs w:val="24"/>
                <w:lang w:val="en"/>
              </w:rPr>
              <w:t>要求控</w:t>
            </w:r>
            <w:r>
              <w:rPr>
                <w:rFonts w:hint="eastAsia"/>
                <w:color w:val="auto"/>
                <w:sz w:val="24"/>
                <w:szCs w:val="24"/>
              </w:rPr>
              <w:t>制吸附装置吸附层的风速，一般取0</w:t>
            </w:r>
            <w:r>
              <w:rPr>
                <w:color w:val="auto"/>
                <w:sz w:val="24"/>
                <w:szCs w:val="24"/>
              </w:rPr>
              <w:t>.10m/s</w:t>
            </w:r>
            <w:r>
              <w:rPr>
                <w:rFonts w:hint="eastAsia"/>
                <w:color w:val="auto"/>
                <w:sz w:val="24"/>
                <w:szCs w:val="24"/>
                <w:lang w:eastAsia="zh-CN"/>
              </w:rPr>
              <w:t>～</w:t>
            </w:r>
            <w:r>
              <w:rPr>
                <w:color w:val="auto"/>
                <w:sz w:val="24"/>
                <w:szCs w:val="24"/>
              </w:rPr>
              <w:t>0.15</w:t>
            </w:r>
            <w:r>
              <w:rPr>
                <w:rFonts w:hint="eastAsia"/>
                <w:color w:val="auto"/>
                <w:sz w:val="24"/>
                <w:szCs w:val="24"/>
              </w:rPr>
              <w:t>m/s之间；吸附剂和气体的接触时间宜按不低于3</w:t>
            </w:r>
            <w:r>
              <w:rPr>
                <w:color w:val="auto"/>
                <w:sz w:val="24"/>
                <w:szCs w:val="24"/>
              </w:rPr>
              <w:t>s</w:t>
            </w:r>
            <w:r>
              <w:rPr>
                <w:rFonts w:hint="eastAsia"/>
                <w:color w:val="auto"/>
                <w:sz w:val="24"/>
                <w:szCs w:val="24"/>
              </w:rPr>
              <w:t>计；应选择碘值不低于8</w:t>
            </w:r>
            <w:r>
              <w:rPr>
                <w:color w:val="auto"/>
                <w:sz w:val="24"/>
                <w:szCs w:val="24"/>
              </w:rPr>
              <w:t>00</w:t>
            </w:r>
            <w:r>
              <w:rPr>
                <w:rFonts w:hint="eastAsia"/>
                <w:color w:val="auto"/>
                <w:sz w:val="24"/>
                <w:szCs w:val="24"/>
              </w:rPr>
              <w:t>mg/g的活性炭，并按设计要求足量添加，确保</w:t>
            </w:r>
            <w:r>
              <w:rPr>
                <w:rFonts w:hint="eastAsia"/>
                <w:color w:val="auto"/>
                <w:sz w:val="24"/>
                <w:szCs w:val="24"/>
                <w:lang w:val="en"/>
              </w:rPr>
              <w:t>项目活性炭装置一次性装置量，及时更换活性炭。</w:t>
            </w:r>
          </w:p>
          <w:p w14:paraId="3B754F78">
            <w:pPr>
              <w:pStyle w:val="116"/>
              <w:jc w:val="left"/>
              <w:rPr>
                <w:rFonts w:hint="eastAsia"/>
                <w:color w:val="auto"/>
                <w:sz w:val="24"/>
                <w:szCs w:val="24"/>
                <w:lang w:val="en"/>
              </w:rPr>
            </w:pPr>
            <w:r>
              <w:rPr>
                <w:rFonts w:hint="eastAsia"/>
                <w:color w:val="auto"/>
                <w:sz w:val="24"/>
                <w:szCs w:val="24"/>
                <w:lang w:val="en"/>
              </w:rPr>
              <w:t>采取以上措施，正常情况下可确保有机废气去除效率90%，本评价保守按</w:t>
            </w:r>
            <w:r>
              <w:rPr>
                <w:rFonts w:hint="eastAsia"/>
                <w:color w:val="auto"/>
                <w:sz w:val="24"/>
                <w:szCs w:val="24"/>
                <w:lang w:val="en-US" w:eastAsia="zh-CN"/>
              </w:rPr>
              <w:t>75</w:t>
            </w:r>
            <w:r>
              <w:rPr>
                <w:rFonts w:hint="eastAsia"/>
                <w:color w:val="auto"/>
                <w:sz w:val="24"/>
                <w:szCs w:val="24"/>
                <w:lang w:val="en"/>
              </w:rPr>
              <w:t>%计。</w:t>
            </w:r>
          </w:p>
          <w:p w14:paraId="16519DD9">
            <w:pPr>
              <w:pStyle w:val="116"/>
              <w:jc w:val="left"/>
              <w:rPr>
                <w:rFonts w:hint="eastAsia"/>
                <w:color w:val="auto"/>
                <w:sz w:val="24"/>
                <w:szCs w:val="24"/>
                <w:lang w:val="en"/>
              </w:rPr>
            </w:pPr>
            <w:r>
              <w:rPr>
                <w:rFonts w:hint="eastAsia"/>
                <w:color w:val="auto"/>
                <w:sz w:val="24"/>
                <w:szCs w:val="24"/>
                <w:lang w:val="en"/>
              </w:rPr>
              <w:t>对照《排污许可证申请与核发技术规范 橡胶和塑料制品工业》（HJ861-2017）附表A.2塑料制品工业排污单位废气污染防治可行技术参考表（详见</w:t>
            </w:r>
            <w:r>
              <w:rPr>
                <w:rFonts w:hint="eastAsia"/>
                <w:color w:val="auto"/>
                <w:sz w:val="24"/>
                <w:szCs w:val="24"/>
                <w:lang w:val="en"/>
              </w:rPr>
              <w:fldChar w:fldCharType="begin"/>
            </w:r>
            <w:r>
              <w:rPr>
                <w:rFonts w:hint="eastAsia"/>
                <w:color w:val="auto"/>
                <w:sz w:val="24"/>
                <w:szCs w:val="24"/>
                <w:lang w:val="en"/>
              </w:rPr>
              <w:instrText xml:space="preserve"> REF _Ref89961064 \r \h  \* MERGEFORMAT </w:instrText>
            </w:r>
            <w:r>
              <w:rPr>
                <w:rFonts w:hint="eastAsia"/>
                <w:color w:val="auto"/>
                <w:sz w:val="24"/>
                <w:szCs w:val="24"/>
                <w:lang w:val="en"/>
              </w:rPr>
              <w:fldChar w:fldCharType="separate"/>
            </w:r>
            <w:r>
              <w:rPr>
                <w:rFonts w:hint="eastAsia"/>
                <w:color w:val="auto"/>
                <w:sz w:val="24"/>
                <w:szCs w:val="24"/>
                <w:lang w:val="en"/>
              </w:rPr>
              <w:t>表4.1-11</w:t>
            </w:r>
            <w:r>
              <w:rPr>
                <w:rFonts w:hint="eastAsia"/>
                <w:color w:val="auto"/>
                <w:sz w:val="24"/>
                <w:szCs w:val="24"/>
                <w:lang w:val="en"/>
              </w:rPr>
              <w:fldChar w:fldCharType="end"/>
            </w:r>
            <w:r>
              <w:rPr>
                <w:rFonts w:hint="eastAsia"/>
                <w:color w:val="auto"/>
                <w:sz w:val="24"/>
                <w:szCs w:val="24"/>
                <w:lang w:val="en"/>
              </w:rPr>
              <w:t>），本项目有机废气污染防治措施属于（HJ861-2017）附表中推荐的可行技术，因此本项目采取的废气污染防治措施可行。</w:t>
            </w:r>
          </w:p>
          <w:p w14:paraId="70A87DEC">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color w:val="auto"/>
                <w:sz w:val="24"/>
                <w:szCs w:val="24"/>
              </w:rPr>
            </w:pPr>
            <w:bookmarkStart w:id="33" w:name="_Ref89961064"/>
            <w:r>
              <w:rPr>
                <w:rFonts w:hint="eastAsia" w:cs="Times New Roman"/>
                <w:b/>
                <w:bCs/>
                <w:color w:val="auto"/>
                <w:sz w:val="24"/>
                <w:szCs w:val="24"/>
                <w:lang w:val="en-US" w:eastAsia="zh-CN"/>
              </w:rPr>
              <w:t xml:space="preserve">表4.1-12  </w:t>
            </w:r>
            <w:r>
              <w:rPr>
                <w:rFonts w:hint="eastAsia"/>
                <w:b/>
                <w:bCs/>
                <w:color w:val="auto"/>
                <w:sz w:val="24"/>
                <w:szCs w:val="24"/>
              </w:rPr>
              <w:t>塑料制品工业排污</w:t>
            </w:r>
            <w:r>
              <w:rPr>
                <w:rFonts w:hint="eastAsia" w:ascii="Times New Roman" w:hAnsi="Times New Roman" w:eastAsia="宋体" w:cs="Times New Roman"/>
                <w:b/>
                <w:bCs/>
                <w:color w:val="auto"/>
                <w:sz w:val="24"/>
                <w:szCs w:val="22"/>
                <w:highlight w:val="none"/>
                <w:lang w:val="en-US" w:eastAsia="zh-CN"/>
              </w:rPr>
              <w:t>单位</w:t>
            </w:r>
            <w:r>
              <w:rPr>
                <w:rFonts w:hint="eastAsia"/>
                <w:b/>
                <w:bCs/>
                <w:color w:val="auto"/>
                <w:sz w:val="24"/>
                <w:szCs w:val="24"/>
              </w:rPr>
              <w:t>废气污染防治可行技术参考表（摘录）</w:t>
            </w:r>
            <w:bookmarkEnd w:id="33"/>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25"/>
              <w:gridCol w:w="1515"/>
              <w:gridCol w:w="2199"/>
              <w:gridCol w:w="2538"/>
            </w:tblGrid>
            <w:tr w14:paraId="769F8D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12" w:type="pct"/>
                  <w:noWrap w:val="0"/>
                  <w:vAlign w:val="center"/>
                </w:tcPr>
                <w:p w14:paraId="572AD0D8">
                  <w:pPr>
                    <w:pStyle w:val="74"/>
                    <w:rPr>
                      <w:color w:val="auto"/>
                    </w:rPr>
                  </w:pPr>
                  <w:r>
                    <w:rPr>
                      <w:rFonts w:hint="eastAsia"/>
                      <w:color w:val="auto"/>
                    </w:rPr>
                    <w:t>产排污环节</w:t>
                  </w:r>
                </w:p>
              </w:tc>
              <w:tc>
                <w:tcPr>
                  <w:tcW w:w="893" w:type="pct"/>
                  <w:noWrap w:val="0"/>
                  <w:vAlign w:val="center"/>
                </w:tcPr>
                <w:p w14:paraId="670D4352">
                  <w:pPr>
                    <w:pStyle w:val="74"/>
                    <w:rPr>
                      <w:rFonts w:hint="eastAsia"/>
                      <w:color w:val="auto"/>
                    </w:rPr>
                  </w:pPr>
                  <w:r>
                    <w:rPr>
                      <w:rFonts w:hint="eastAsia"/>
                      <w:color w:val="auto"/>
                    </w:rPr>
                    <w:t>污染物种类</w:t>
                  </w:r>
                </w:p>
              </w:tc>
              <w:tc>
                <w:tcPr>
                  <w:tcW w:w="1297" w:type="pct"/>
                  <w:noWrap w:val="0"/>
                  <w:vAlign w:val="center"/>
                </w:tcPr>
                <w:p w14:paraId="6B417FE7">
                  <w:pPr>
                    <w:pStyle w:val="74"/>
                    <w:rPr>
                      <w:rFonts w:hint="eastAsia"/>
                      <w:color w:val="auto"/>
                    </w:rPr>
                  </w:pPr>
                  <w:r>
                    <w:rPr>
                      <w:rFonts w:hint="eastAsia"/>
                      <w:color w:val="auto"/>
                    </w:rPr>
                    <w:t>过程控制技术</w:t>
                  </w:r>
                </w:p>
              </w:tc>
              <w:tc>
                <w:tcPr>
                  <w:tcW w:w="1497" w:type="pct"/>
                  <w:noWrap w:val="0"/>
                  <w:vAlign w:val="center"/>
                </w:tcPr>
                <w:p w14:paraId="02C69306">
                  <w:pPr>
                    <w:pStyle w:val="74"/>
                    <w:rPr>
                      <w:rFonts w:hint="eastAsia"/>
                      <w:color w:val="auto"/>
                    </w:rPr>
                  </w:pPr>
                  <w:r>
                    <w:rPr>
                      <w:rFonts w:hint="eastAsia"/>
                      <w:color w:val="auto"/>
                    </w:rPr>
                    <w:t>可行技术</w:t>
                  </w:r>
                </w:p>
              </w:tc>
            </w:tr>
            <w:tr w14:paraId="3AFC9D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12" w:type="pct"/>
                  <w:tcBorders>
                    <w:bottom w:val="single" w:color="auto" w:sz="12" w:space="0"/>
                  </w:tcBorders>
                  <w:noWrap w:val="0"/>
                  <w:vAlign w:val="center"/>
                </w:tcPr>
                <w:p w14:paraId="51CA1478">
                  <w:pPr>
                    <w:pStyle w:val="74"/>
                    <w:rPr>
                      <w:rFonts w:hint="eastAsia"/>
                      <w:color w:val="auto"/>
                    </w:rPr>
                  </w:pPr>
                  <w:r>
                    <w:rPr>
                      <w:rFonts w:hint="eastAsia"/>
                      <w:color w:val="auto"/>
                    </w:rPr>
                    <w:t>塑料板、管、型材制造</w:t>
                  </w:r>
                </w:p>
              </w:tc>
              <w:tc>
                <w:tcPr>
                  <w:tcW w:w="893" w:type="pct"/>
                  <w:tcBorders>
                    <w:bottom w:val="single" w:color="auto" w:sz="12" w:space="0"/>
                  </w:tcBorders>
                  <w:noWrap w:val="0"/>
                  <w:vAlign w:val="center"/>
                </w:tcPr>
                <w:p w14:paraId="0FBBB1D3">
                  <w:pPr>
                    <w:pStyle w:val="74"/>
                    <w:rPr>
                      <w:rFonts w:hint="eastAsia" w:eastAsia="宋体"/>
                      <w:color w:val="auto"/>
                      <w:lang w:eastAsia="zh-CN"/>
                    </w:rPr>
                  </w:pPr>
                  <w:r>
                    <w:rPr>
                      <w:rFonts w:hint="eastAsia"/>
                      <w:color w:val="auto"/>
                    </w:rPr>
                    <w:t>非甲烷总烃</w:t>
                  </w:r>
                  <w:r>
                    <w:rPr>
                      <w:rFonts w:hint="eastAsia"/>
                      <w:color w:val="auto"/>
                      <w:lang w:eastAsia="zh-CN"/>
                    </w:rPr>
                    <w:t>、臭气浓度</w:t>
                  </w:r>
                </w:p>
              </w:tc>
              <w:tc>
                <w:tcPr>
                  <w:tcW w:w="1297" w:type="pct"/>
                  <w:tcBorders>
                    <w:bottom w:val="single" w:color="auto" w:sz="12" w:space="0"/>
                  </w:tcBorders>
                  <w:noWrap w:val="0"/>
                  <w:vAlign w:val="center"/>
                </w:tcPr>
                <w:p w14:paraId="12DCB0C1">
                  <w:pPr>
                    <w:pStyle w:val="74"/>
                    <w:rPr>
                      <w:rFonts w:hint="eastAsia"/>
                      <w:color w:val="auto"/>
                    </w:rPr>
                  </w:pPr>
                  <w:r>
                    <w:rPr>
                      <w:rFonts w:hint="eastAsia"/>
                      <w:color w:val="auto"/>
                    </w:rPr>
                    <w:t>溶剂替代，密闭过程，密闭场所，局部收集</w:t>
                  </w:r>
                </w:p>
              </w:tc>
              <w:tc>
                <w:tcPr>
                  <w:tcW w:w="1497" w:type="pct"/>
                  <w:tcBorders>
                    <w:bottom w:val="single" w:color="auto" w:sz="12" w:space="0"/>
                  </w:tcBorders>
                  <w:noWrap w:val="0"/>
                  <w:vAlign w:val="center"/>
                </w:tcPr>
                <w:p w14:paraId="64A0AFD8">
                  <w:pPr>
                    <w:pStyle w:val="74"/>
                    <w:rPr>
                      <w:rFonts w:hint="eastAsia"/>
                      <w:color w:val="auto"/>
                    </w:rPr>
                  </w:pPr>
                  <w:r>
                    <w:rPr>
                      <w:rFonts w:hint="eastAsia"/>
                      <w:color w:val="auto"/>
                    </w:rPr>
                    <w:t>喷淋；吸附；吸附浓缩+热力燃烧/催化燃烧</w:t>
                  </w:r>
                </w:p>
              </w:tc>
            </w:tr>
          </w:tbl>
          <w:p w14:paraId="1410E83E">
            <w:pPr>
              <w:pStyle w:val="116"/>
              <w:jc w:val="left"/>
              <w:rPr>
                <w:rFonts w:hint="eastAsia"/>
                <w:color w:val="auto"/>
                <w:sz w:val="24"/>
                <w:szCs w:val="24"/>
                <w:lang w:val="en"/>
              </w:rPr>
            </w:pPr>
            <w:r>
              <w:rPr>
                <w:rFonts w:hint="eastAsia"/>
                <w:color w:val="auto"/>
                <w:sz w:val="24"/>
                <w:szCs w:val="24"/>
                <w:lang w:val="en"/>
              </w:rPr>
              <w:t>④其他：</w:t>
            </w:r>
          </w:p>
          <w:p w14:paraId="552CB4C1">
            <w:pPr>
              <w:pStyle w:val="116"/>
              <w:jc w:val="left"/>
              <w:rPr>
                <w:rFonts w:hint="eastAsia"/>
                <w:color w:val="auto"/>
                <w:sz w:val="24"/>
                <w:szCs w:val="24"/>
                <w:lang w:val="en"/>
              </w:rPr>
            </w:pPr>
            <w:r>
              <w:rPr>
                <w:rFonts w:hint="eastAsia"/>
                <w:color w:val="auto"/>
                <w:sz w:val="24"/>
                <w:szCs w:val="24"/>
                <w:lang w:val="en"/>
              </w:rPr>
              <w:t>A.根据《挥发性有机物无组织排放控制标准》(GB37822-2019)，VOCs物料应储存于密闭的容器、包装袋、储罐、储库、料仓中；盛装VOCs物料的容器或包装袋应存放于室内，或存放于设置有雨棚、遮阳和防渗设施的专用场地。盛装VOCs物料的容器或包装袋在非取用状态时应加盖、封口，保持密闭。</w:t>
            </w:r>
          </w:p>
          <w:p w14:paraId="3E55228C">
            <w:pPr>
              <w:pStyle w:val="116"/>
              <w:jc w:val="left"/>
              <w:rPr>
                <w:rFonts w:hint="eastAsia"/>
                <w:color w:val="auto"/>
                <w:sz w:val="24"/>
                <w:szCs w:val="24"/>
                <w:lang w:val="en"/>
              </w:rPr>
            </w:pPr>
            <w:r>
              <w:rPr>
                <w:rFonts w:hint="eastAsia"/>
                <w:color w:val="auto"/>
                <w:sz w:val="24"/>
                <w:szCs w:val="24"/>
                <w:lang w:val="en"/>
              </w:rPr>
              <w:t>B.加强对操作工的培训和管理，以减少人为造成对环境的污染。</w:t>
            </w:r>
          </w:p>
          <w:p w14:paraId="5C666F8E">
            <w:pPr>
              <w:pStyle w:val="116"/>
              <w:jc w:val="left"/>
              <w:rPr>
                <w:rFonts w:hint="eastAsia"/>
                <w:color w:val="auto"/>
                <w:sz w:val="24"/>
                <w:szCs w:val="24"/>
                <w:lang w:val="en"/>
              </w:rPr>
            </w:pPr>
            <w:r>
              <w:rPr>
                <w:rFonts w:hint="eastAsia"/>
                <w:color w:val="auto"/>
                <w:sz w:val="24"/>
                <w:szCs w:val="24"/>
                <w:lang w:val="en"/>
              </w:rPr>
              <w:t>C.活性炭运行管理</w:t>
            </w:r>
          </w:p>
          <w:p w14:paraId="742D9A24">
            <w:pPr>
              <w:pStyle w:val="116"/>
              <w:jc w:val="left"/>
              <w:rPr>
                <w:rFonts w:hint="eastAsia"/>
                <w:color w:val="auto"/>
                <w:sz w:val="24"/>
                <w:szCs w:val="24"/>
                <w:lang w:val="en"/>
              </w:rPr>
            </w:pPr>
            <w:r>
              <w:rPr>
                <w:rFonts w:hint="eastAsia"/>
                <w:color w:val="auto"/>
                <w:sz w:val="24"/>
                <w:szCs w:val="24"/>
                <w:lang w:val="en"/>
              </w:rPr>
              <w:t>项目应制定完善活性炭吸收装置运行管理制度，加强管理，具体内容如下：</w:t>
            </w:r>
          </w:p>
          <w:p w14:paraId="71109422">
            <w:pPr>
              <w:pStyle w:val="116"/>
              <w:jc w:val="left"/>
              <w:rPr>
                <w:rFonts w:hint="eastAsia"/>
                <w:color w:val="auto"/>
                <w:sz w:val="24"/>
                <w:szCs w:val="24"/>
                <w:lang w:val="en"/>
              </w:rPr>
            </w:pPr>
            <w:r>
              <w:rPr>
                <w:rFonts w:hint="eastAsia"/>
                <w:color w:val="auto"/>
                <w:sz w:val="24"/>
                <w:szCs w:val="24"/>
                <w:lang w:val="en"/>
              </w:rPr>
              <w:t>为使活性炭吸附装置对有机废气的去除效率稳定达到80%以上，建设单位需定期更换活性炭，并采取更换活性炭的方式为：先更换靠近进气端（即活性炭装置内的前端）的一层活性炭，后面的活性炭层依次向前端移动，补充一层新活性炭层置在后端。</w:t>
            </w:r>
          </w:p>
          <w:p w14:paraId="523AA6AF">
            <w:pPr>
              <w:pStyle w:val="116"/>
              <w:jc w:val="left"/>
              <w:rPr>
                <w:rFonts w:hint="eastAsia"/>
                <w:color w:val="auto"/>
                <w:sz w:val="24"/>
                <w:szCs w:val="24"/>
                <w:lang w:val="en"/>
              </w:rPr>
            </w:pPr>
            <w:r>
              <w:rPr>
                <w:rFonts w:hint="eastAsia"/>
                <w:color w:val="auto"/>
                <w:sz w:val="24"/>
                <w:szCs w:val="24"/>
                <w:lang w:val="en"/>
              </w:rPr>
              <w:t>为确保吸附装置中活性炭的吸附效率，活性炭需定期更换，建议活性炭更换时间1</w:t>
            </w:r>
            <w:r>
              <w:rPr>
                <w:rFonts w:hint="eastAsia"/>
                <w:color w:val="auto"/>
                <w:sz w:val="24"/>
                <w:szCs w:val="24"/>
                <w:lang w:val="en" w:eastAsia="zh-CN"/>
              </w:rPr>
              <w:t>～</w:t>
            </w:r>
            <w:r>
              <w:rPr>
                <w:rFonts w:hint="eastAsia"/>
                <w:color w:val="auto"/>
                <w:sz w:val="24"/>
                <w:szCs w:val="24"/>
                <w:lang w:val="en"/>
              </w:rPr>
              <w:t>3个月一次。</w:t>
            </w:r>
          </w:p>
          <w:p w14:paraId="16356650">
            <w:pPr>
              <w:pStyle w:val="116"/>
              <w:jc w:val="left"/>
              <w:rPr>
                <w:rFonts w:hint="eastAsia"/>
                <w:color w:val="auto"/>
                <w:sz w:val="24"/>
                <w:szCs w:val="24"/>
                <w:lang w:val="en"/>
              </w:rPr>
            </w:pPr>
            <w:r>
              <w:rPr>
                <w:rFonts w:hint="eastAsia"/>
                <w:color w:val="auto"/>
                <w:sz w:val="24"/>
                <w:szCs w:val="24"/>
                <w:lang w:val="en"/>
              </w:rPr>
              <w:t>该装置的运行</w:t>
            </w:r>
            <w:r>
              <w:rPr>
                <w:rFonts w:hint="eastAsia"/>
                <w:color w:val="auto"/>
                <w:sz w:val="24"/>
                <w:szCs w:val="24"/>
              </w:rPr>
              <w:t>监管措施如下：聘请专人对处理装置的运行管理；记录好首次装炭时间，每天巡视不低于3次，并详细记录运行情况；根据装炭量、有机废气去除量、</w:t>
            </w:r>
            <w:r>
              <w:rPr>
                <w:rFonts w:hint="eastAsia"/>
                <w:color w:val="auto"/>
                <w:sz w:val="24"/>
                <w:szCs w:val="24"/>
                <w:lang w:val="en"/>
              </w:rPr>
              <w:t>理论饱和时间，制订活性炭更换时间表；因业务关系，生产负荷具有一定的起伏，活性饱和时间与已制订的更换时间表会有少量偏差，故应定期或不定期测试活性炭饱和情况，以及时更换；更换下来的废活性炭应妥善密封保存，并设置专用废物暂存间，暂存间应按《危险废物贮存污染控制标准》（GB185972001）及其修改单的要求建设；活性炭吸附净化装置检修或更换期间，不得进行生产；建立活性炭吸收装置日常运行管理制度，建立活性炭使用量台账制度，配备专人管理，确保该装置正常运行。</w:t>
            </w:r>
          </w:p>
          <w:p w14:paraId="6E72085C">
            <w:pPr>
              <w:pStyle w:val="55"/>
              <w:ind w:firstLine="422"/>
              <w:jc w:val="left"/>
              <w:rPr>
                <w:rFonts w:hint="default" w:ascii="Times New Roman" w:hAnsi="Times New Roman" w:cs="Times New Roman"/>
                <w:b/>
                <w:bCs/>
                <w:color w:val="auto"/>
                <w:sz w:val="24"/>
                <w:szCs w:val="24"/>
                <w:highlight w:val="none"/>
                <w:lang w:val="en" w:eastAsia="zh-CN"/>
              </w:rPr>
            </w:pPr>
            <w:r>
              <w:rPr>
                <w:rFonts w:hint="default" w:ascii="Times New Roman" w:hAnsi="Times New Roman" w:cs="Times New Roman"/>
                <w:b/>
                <w:bCs/>
                <w:color w:val="auto"/>
                <w:sz w:val="24"/>
                <w:szCs w:val="24"/>
                <w:highlight w:val="none"/>
                <w:lang w:val="en" w:eastAsia="zh-CN"/>
              </w:rPr>
              <w:t>（2）</w:t>
            </w:r>
            <w:r>
              <w:rPr>
                <w:rFonts w:hint="default" w:ascii="Times New Roman" w:hAnsi="Times New Roman" w:cs="Times New Roman"/>
                <w:b/>
                <w:bCs/>
                <w:color w:val="auto"/>
                <w:sz w:val="24"/>
                <w:szCs w:val="24"/>
                <w:highlight w:val="none"/>
                <w:lang w:val="en-US" w:eastAsia="zh-CN"/>
              </w:rPr>
              <w:t>称量、上料、混料、机加工、破碎</w:t>
            </w:r>
            <w:r>
              <w:rPr>
                <w:rFonts w:hint="default" w:ascii="Times New Roman" w:hAnsi="Times New Roman" w:cs="Times New Roman"/>
                <w:b/>
                <w:bCs/>
                <w:color w:val="auto"/>
                <w:sz w:val="24"/>
                <w:szCs w:val="24"/>
                <w:highlight w:val="none"/>
                <w:lang w:val="en" w:eastAsia="zh-CN"/>
              </w:rPr>
              <w:t>粉尘</w:t>
            </w:r>
          </w:p>
          <w:p w14:paraId="73F02A57">
            <w:pPr>
              <w:pStyle w:val="116"/>
              <w:jc w:val="left"/>
              <w:rPr>
                <w:rFonts w:hint="eastAsia" w:ascii="Times New Roman" w:hAnsi="Times New Roman" w:cs="Times New Roman"/>
                <w:color w:val="auto"/>
                <w:sz w:val="24"/>
                <w:szCs w:val="24"/>
                <w:lang w:val="en"/>
              </w:rPr>
            </w:pPr>
            <w:r>
              <w:rPr>
                <w:rFonts w:hint="eastAsia" w:ascii="Times New Roman" w:hAnsi="Times New Roman" w:cs="Times New Roman"/>
                <w:color w:val="auto"/>
                <w:sz w:val="24"/>
                <w:szCs w:val="24"/>
                <w:lang w:val="en"/>
              </w:rPr>
              <w:t>企业拟设置袋式除尘系统。</w:t>
            </w:r>
          </w:p>
          <w:p w14:paraId="1C52993D">
            <w:pPr>
              <w:pStyle w:val="116"/>
              <w:jc w:val="left"/>
              <w:rPr>
                <w:rFonts w:hint="eastAsia" w:ascii="Times New Roman" w:hAnsi="Times New Roman" w:cs="Times New Roman"/>
                <w:color w:val="auto"/>
                <w:sz w:val="24"/>
                <w:szCs w:val="24"/>
                <w:lang w:val="en"/>
              </w:rPr>
            </w:pPr>
            <w:r>
              <w:rPr>
                <w:rFonts w:hint="eastAsia" w:ascii="Times New Roman" w:hAnsi="Times New Roman" w:cs="Times New Roman"/>
                <w:color w:val="auto"/>
                <w:sz w:val="24"/>
                <w:szCs w:val="24"/>
                <w:lang w:val="en"/>
              </w:rPr>
              <w:t>①粉尘收集</w:t>
            </w:r>
          </w:p>
          <w:p w14:paraId="0E2352D6">
            <w:pPr>
              <w:pStyle w:val="116"/>
              <w:jc w:val="left"/>
              <w:rPr>
                <w:rFonts w:hint="eastAsia" w:ascii="Times New Roman" w:hAnsi="Times New Roman" w:cs="Times New Roman"/>
                <w:color w:val="auto"/>
                <w:sz w:val="24"/>
                <w:szCs w:val="24"/>
                <w:lang w:val="en"/>
              </w:rPr>
            </w:pPr>
            <w:r>
              <w:rPr>
                <w:rFonts w:hint="eastAsia" w:ascii="Times New Roman" w:hAnsi="Times New Roman" w:cs="Times New Roman"/>
                <w:color w:val="auto"/>
                <w:sz w:val="24"/>
                <w:szCs w:val="24"/>
                <w:lang w:val="en-US" w:eastAsia="zh-CN"/>
              </w:rPr>
              <w:t>称量、上料、混料、机加工</w:t>
            </w:r>
            <w:r>
              <w:rPr>
                <w:rFonts w:hint="eastAsia" w:ascii="Times New Roman" w:hAnsi="Times New Roman" w:cs="Times New Roman"/>
                <w:color w:val="auto"/>
                <w:sz w:val="24"/>
                <w:szCs w:val="24"/>
                <w:lang w:val="en" w:eastAsia="zh-CN"/>
              </w:rPr>
              <w:t>相应工序</w:t>
            </w:r>
            <w:r>
              <w:rPr>
                <w:rFonts w:hint="eastAsia" w:ascii="Times New Roman" w:hAnsi="Times New Roman" w:cs="Times New Roman"/>
                <w:color w:val="auto"/>
                <w:sz w:val="24"/>
                <w:szCs w:val="24"/>
                <w:lang w:val="en"/>
              </w:rPr>
              <w:t>设置围挡，含尘废气收集后经袋式除尘器处理</w:t>
            </w:r>
            <w:r>
              <w:rPr>
                <w:rFonts w:hint="eastAsia" w:ascii="Times New Roman" w:hAnsi="Times New Roman" w:cs="Times New Roman"/>
                <w:color w:val="auto"/>
                <w:sz w:val="24"/>
                <w:szCs w:val="24"/>
                <w:lang w:val="en" w:eastAsia="zh-CN"/>
              </w:rPr>
              <w:t>；</w:t>
            </w:r>
            <w:r>
              <w:rPr>
                <w:rFonts w:hint="eastAsia" w:ascii="Times New Roman" w:hAnsi="Times New Roman" w:cs="Times New Roman"/>
                <w:color w:val="auto"/>
                <w:sz w:val="24"/>
                <w:szCs w:val="24"/>
                <w:lang w:val="en"/>
              </w:rPr>
              <w:t>破碎设备采用密闭一体化设备，破碎设备出风口连接废气收集管道；废气收集后经管道送至脉冲布袋除尘器处理。</w:t>
            </w:r>
          </w:p>
          <w:p w14:paraId="631C4CC6">
            <w:pPr>
              <w:pStyle w:val="116"/>
              <w:jc w:val="left"/>
              <w:rPr>
                <w:rFonts w:hint="eastAsia"/>
                <w:color w:val="auto"/>
                <w:sz w:val="24"/>
                <w:szCs w:val="24"/>
                <w:lang w:val="en"/>
              </w:rPr>
            </w:pPr>
            <w:r>
              <w:rPr>
                <w:rFonts w:hint="eastAsia"/>
                <w:color w:val="auto"/>
                <w:sz w:val="24"/>
                <w:szCs w:val="24"/>
                <w:lang w:val="en"/>
              </w:rPr>
              <w:t>②废气处理及排放</w:t>
            </w:r>
          </w:p>
          <w:p w14:paraId="70CCE87B">
            <w:pPr>
              <w:pStyle w:val="116"/>
              <w:jc w:val="left"/>
              <w:rPr>
                <w:rFonts w:hint="eastAsia"/>
                <w:color w:val="auto"/>
                <w:sz w:val="24"/>
                <w:szCs w:val="24"/>
                <w:lang w:val="en"/>
              </w:rPr>
            </w:pPr>
            <w:r>
              <w:rPr>
                <w:rFonts w:hint="eastAsia"/>
                <w:color w:val="auto"/>
                <w:sz w:val="24"/>
                <w:szCs w:val="24"/>
                <w:lang w:val="en"/>
              </w:rPr>
              <w:t>粉尘以颗粒物形式存在，设置脉冲式布袋除尘器处理含尘气体，经处理后的达标废气车间排放。</w:t>
            </w:r>
          </w:p>
          <w:p w14:paraId="385EEEEA">
            <w:pPr>
              <w:pStyle w:val="116"/>
              <w:jc w:val="left"/>
              <w:rPr>
                <w:rFonts w:hint="eastAsia"/>
                <w:color w:val="auto"/>
                <w:sz w:val="24"/>
                <w:szCs w:val="24"/>
                <w:lang w:val="en"/>
              </w:rPr>
            </w:pPr>
            <w:r>
              <w:rPr>
                <w:rFonts w:hint="eastAsia"/>
                <w:color w:val="auto"/>
                <w:sz w:val="24"/>
                <w:szCs w:val="24"/>
                <w:lang w:val="en"/>
              </w:rPr>
              <w:t>脉冲式布袋除尘器工作原理：本设备在系统主风机的作用下，含尘气体从除尘器的进风口进入除尘器，吸附在滤袋的外表上，过滤后的气体透过滤袋进入上箱体从排风口直接排出。随着过滤工况持续，积聚在滤袋外表面上的粉尘将越积越多，相应就会增加设备的运行阻力，利用压缩空气对布袋除尘器的布袋进行脉冲清灰，减小布袋除尘器的阻力。再经卸灰装置将拦截的粉尘清至灰斗。</w:t>
            </w:r>
          </w:p>
          <w:p w14:paraId="388B30F7">
            <w:pPr>
              <w:pStyle w:val="116"/>
              <w:jc w:val="left"/>
              <w:rPr>
                <w:rFonts w:hint="eastAsia"/>
                <w:color w:val="auto"/>
                <w:sz w:val="24"/>
                <w:szCs w:val="24"/>
                <w:lang w:val="en"/>
              </w:rPr>
            </w:pPr>
            <w:r>
              <w:rPr>
                <w:rFonts w:hint="eastAsia"/>
                <w:color w:val="auto"/>
                <w:sz w:val="24"/>
                <w:szCs w:val="24"/>
                <w:lang w:val="en"/>
              </w:rPr>
              <w:t>③技术可行性分析：</w:t>
            </w:r>
          </w:p>
          <w:p w14:paraId="7BDB0CAE">
            <w:pPr>
              <w:pStyle w:val="116"/>
              <w:jc w:val="left"/>
              <w:rPr>
                <w:rFonts w:hint="eastAsia"/>
                <w:color w:val="auto"/>
                <w:sz w:val="24"/>
                <w:szCs w:val="24"/>
                <w:lang w:val="en"/>
              </w:rPr>
            </w:pPr>
            <w:r>
              <w:rPr>
                <w:rFonts w:hint="eastAsia"/>
                <w:color w:val="auto"/>
                <w:sz w:val="24"/>
                <w:szCs w:val="24"/>
                <w:lang w:val="en"/>
              </w:rPr>
              <w:t>本项目破碎加工粉尘具有粉尘粒径较大，废气温度低、风量大，根据废气特点，可采用布袋除尘器进行治理。</w:t>
            </w:r>
          </w:p>
          <w:p w14:paraId="6EAB3C45">
            <w:pPr>
              <w:pStyle w:val="116"/>
              <w:jc w:val="left"/>
              <w:rPr>
                <w:bCs/>
                <w:color w:val="auto"/>
                <w:sz w:val="24"/>
                <w:szCs w:val="24"/>
              </w:rPr>
            </w:pPr>
            <w:r>
              <w:rPr>
                <w:rFonts w:hint="eastAsia"/>
                <w:color w:val="auto"/>
                <w:sz w:val="24"/>
                <w:szCs w:val="24"/>
                <w:lang w:val="en"/>
              </w:rPr>
              <w:t>布袋除尘器为干</w:t>
            </w:r>
            <w:r>
              <w:rPr>
                <w:bCs/>
                <w:color w:val="auto"/>
                <w:sz w:val="24"/>
                <w:szCs w:val="24"/>
              </w:rPr>
              <w:t>法除尘，具有除尘效率高的特点，可有效捕集细小颗粒物。脉冲式布袋除尘器已广泛应用于家具制造行业的粉尘治理，除尘效率</w:t>
            </w:r>
            <w:r>
              <w:rPr>
                <w:rFonts w:hint="eastAsia"/>
                <w:bCs/>
                <w:color w:val="auto"/>
                <w:sz w:val="24"/>
                <w:szCs w:val="24"/>
              </w:rPr>
              <w:t>达</w:t>
            </w:r>
            <w:r>
              <w:rPr>
                <w:bCs/>
                <w:color w:val="auto"/>
                <w:sz w:val="24"/>
                <w:szCs w:val="24"/>
              </w:rPr>
              <w:t>90%</w:t>
            </w:r>
            <w:r>
              <w:rPr>
                <w:rFonts w:hint="eastAsia"/>
                <w:bCs/>
                <w:color w:val="auto"/>
                <w:sz w:val="24"/>
                <w:szCs w:val="24"/>
              </w:rPr>
              <w:t>以上</w:t>
            </w:r>
            <w:r>
              <w:rPr>
                <w:bCs/>
                <w:color w:val="auto"/>
                <w:sz w:val="24"/>
                <w:szCs w:val="24"/>
              </w:rPr>
              <w:t>。布袋除尘器结构简单，维护操作方便，只要加强对布袋除尘器的维护，定期更换滤袋，可确保布袋除尘器长期稳定运行。</w:t>
            </w:r>
          </w:p>
          <w:p w14:paraId="1F698846">
            <w:pPr>
              <w:pStyle w:val="116"/>
              <w:jc w:val="left"/>
              <w:rPr>
                <w:color w:val="auto"/>
                <w:sz w:val="24"/>
                <w:szCs w:val="24"/>
              </w:rPr>
            </w:pPr>
            <w:r>
              <w:rPr>
                <w:rFonts w:hint="eastAsia"/>
                <w:color w:val="auto"/>
                <w:sz w:val="24"/>
                <w:szCs w:val="24"/>
              </w:rPr>
              <w:t>对照《排</w:t>
            </w:r>
            <w:r>
              <w:rPr>
                <w:rFonts w:hint="eastAsia" w:ascii="Times New Roman" w:hAnsi="Times New Roman" w:eastAsia="宋体" w:cs="Times New Roman"/>
                <w:color w:val="auto"/>
                <w:sz w:val="24"/>
                <w:szCs w:val="24"/>
                <w:lang w:val="en" w:eastAsia="zh-CN" w:bidi="ar-SA"/>
              </w:rPr>
              <w:t>污</w:t>
            </w:r>
            <w:r>
              <w:rPr>
                <w:rFonts w:hint="eastAsia" w:ascii="Times New Roman" w:hAnsi="Times New Roman" w:eastAsia="宋体" w:cs="Times New Roman"/>
                <w:bCs/>
                <w:color w:val="auto"/>
                <w:sz w:val="24"/>
                <w:szCs w:val="24"/>
                <w:lang w:val="en" w:eastAsia="zh-CN" w:bidi="ar-SA"/>
              </w:rPr>
              <w:t>许可证申请与核发技术规范 橡胶和塑料制品工业》（HJ861-2017）附表A.2塑料制品工业排污单位废气污染防治可行技术参考表（详见</w:t>
            </w:r>
            <w:r>
              <w:rPr>
                <w:rFonts w:hint="eastAsia" w:ascii="Times New Roman" w:hAnsi="Times New Roman" w:eastAsia="宋体" w:cs="Times New Roman"/>
                <w:bCs/>
                <w:color w:val="auto"/>
                <w:sz w:val="24"/>
                <w:szCs w:val="24"/>
                <w:lang w:val="en" w:eastAsia="zh-CN" w:bidi="ar-SA"/>
              </w:rPr>
              <w:fldChar w:fldCharType="begin"/>
            </w:r>
            <w:r>
              <w:rPr>
                <w:rFonts w:hint="eastAsia" w:ascii="Times New Roman" w:hAnsi="Times New Roman" w:eastAsia="宋体" w:cs="Times New Roman"/>
                <w:bCs/>
                <w:color w:val="auto"/>
                <w:sz w:val="24"/>
                <w:szCs w:val="24"/>
                <w:lang w:val="en" w:eastAsia="zh-CN" w:bidi="ar-SA"/>
              </w:rPr>
              <w:instrText xml:space="preserve"> REF _Ref89961070 \r \h  \* MERGEFORMAT </w:instrText>
            </w:r>
            <w:r>
              <w:rPr>
                <w:rFonts w:hint="eastAsia" w:ascii="Times New Roman" w:hAnsi="Times New Roman" w:eastAsia="宋体" w:cs="Times New Roman"/>
                <w:bCs/>
                <w:color w:val="auto"/>
                <w:sz w:val="24"/>
                <w:szCs w:val="24"/>
                <w:lang w:val="en" w:eastAsia="zh-CN" w:bidi="ar-SA"/>
              </w:rPr>
              <w:fldChar w:fldCharType="separate"/>
            </w:r>
            <w:r>
              <w:rPr>
                <w:rFonts w:hint="eastAsia" w:ascii="Times New Roman" w:hAnsi="Times New Roman" w:eastAsia="宋体" w:cs="Times New Roman"/>
                <w:bCs/>
                <w:color w:val="auto"/>
                <w:sz w:val="24"/>
                <w:szCs w:val="24"/>
                <w:lang w:val="en" w:eastAsia="zh-CN" w:bidi="ar-SA"/>
              </w:rPr>
              <w:t>表4.1-12</w:t>
            </w:r>
            <w:r>
              <w:rPr>
                <w:rFonts w:hint="eastAsia" w:ascii="Times New Roman" w:hAnsi="Times New Roman" w:eastAsia="宋体" w:cs="Times New Roman"/>
                <w:bCs/>
                <w:color w:val="auto"/>
                <w:sz w:val="24"/>
                <w:szCs w:val="24"/>
                <w:lang w:val="en" w:eastAsia="zh-CN" w:bidi="ar-SA"/>
              </w:rPr>
              <w:fldChar w:fldCharType="end"/>
            </w:r>
            <w:r>
              <w:rPr>
                <w:rFonts w:hint="eastAsia" w:ascii="Times New Roman" w:hAnsi="Times New Roman" w:eastAsia="宋体" w:cs="Times New Roman"/>
                <w:bCs/>
                <w:color w:val="auto"/>
                <w:sz w:val="24"/>
                <w:szCs w:val="24"/>
                <w:lang w:val="en" w:eastAsia="zh-CN" w:bidi="ar-SA"/>
              </w:rPr>
              <w:t>），本项目粉尘废气污染防治措施属于（HJ861-2017）附表中推荐的可行技术，因此本项目采取的废</w:t>
            </w:r>
            <w:r>
              <w:rPr>
                <w:rFonts w:hint="eastAsia" w:ascii="Times New Roman" w:hAnsi="Times New Roman" w:eastAsia="宋体" w:cs="Times New Roman"/>
                <w:bCs/>
                <w:color w:val="auto"/>
                <w:sz w:val="24"/>
                <w:szCs w:val="24"/>
                <w:lang w:val="en-GB" w:eastAsia="zh-CN" w:bidi="ar-SA"/>
              </w:rPr>
              <w:t>气</w:t>
            </w:r>
            <w:r>
              <w:rPr>
                <w:rFonts w:hint="eastAsia"/>
                <w:color w:val="auto"/>
                <w:sz w:val="24"/>
                <w:szCs w:val="24"/>
              </w:rPr>
              <w:t>污染防治措施可行。</w:t>
            </w:r>
          </w:p>
          <w:p w14:paraId="64420BEC">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color w:val="auto"/>
                <w:sz w:val="24"/>
                <w:szCs w:val="24"/>
              </w:rPr>
            </w:pPr>
            <w:bookmarkStart w:id="34" w:name="_Ref89961070"/>
            <w:r>
              <w:rPr>
                <w:rFonts w:hint="eastAsia"/>
                <w:b/>
                <w:bCs/>
                <w:color w:val="auto"/>
                <w:sz w:val="24"/>
                <w:szCs w:val="24"/>
                <w:lang w:val="en-US" w:eastAsia="zh-CN"/>
              </w:rPr>
              <w:t>表4.1-</w:t>
            </w:r>
            <w:r>
              <w:rPr>
                <w:rFonts w:hint="eastAsia" w:ascii="Times New Roman" w:hAnsi="Times New Roman" w:eastAsia="宋体" w:cs="Times New Roman"/>
                <w:b/>
                <w:bCs/>
                <w:color w:val="auto"/>
                <w:sz w:val="24"/>
                <w:szCs w:val="22"/>
                <w:highlight w:val="none"/>
                <w:lang w:val="en-US" w:eastAsia="zh-CN"/>
              </w:rPr>
              <w:t>1</w:t>
            </w:r>
            <w:r>
              <w:rPr>
                <w:rFonts w:hint="eastAsia" w:cs="Times New Roman"/>
                <w:b/>
                <w:bCs/>
                <w:color w:val="auto"/>
                <w:sz w:val="24"/>
                <w:szCs w:val="22"/>
                <w:highlight w:val="none"/>
                <w:lang w:val="en-US" w:eastAsia="zh-CN"/>
              </w:rPr>
              <w:t>3</w:t>
            </w:r>
            <w:r>
              <w:rPr>
                <w:rFonts w:hint="eastAsia" w:ascii="Times New Roman" w:hAnsi="Times New Roman" w:eastAsia="宋体" w:cs="Times New Roman"/>
                <w:b/>
                <w:bCs/>
                <w:color w:val="auto"/>
                <w:sz w:val="24"/>
                <w:szCs w:val="22"/>
                <w:highlight w:val="none"/>
                <w:lang w:val="en-US" w:eastAsia="zh-CN"/>
              </w:rPr>
              <w:t xml:space="preserve">  </w:t>
            </w:r>
            <w:r>
              <w:rPr>
                <w:rFonts w:hint="eastAsia"/>
                <w:b/>
                <w:bCs/>
                <w:color w:val="auto"/>
                <w:sz w:val="24"/>
                <w:szCs w:val="24"/>
              </w:rPr>
              <w:t>塑料制品工业排污单位废气污染防治可行技术参考表（摘录）</w:t>
            </w:r>
            <w:bookmarkEnd w:id="34"/>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1782"/>
              <w:gridCol w:w="2321"/>
              <w:gridCol w:w="1765"/>
            </w:tblGrid>
            <w:tr w14:paraId="4794DC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39" w:type="pct"/>
                  <w:noWrap w:val="0"/>
                  <w:vAlign w:val="center"/>
                </w:tcPr>
                <w:p w14:paraId="32CBC9CA">
                  <w:pPr>
                    <w:pStyle w:val="74"/>
                    <w:rPr>
                      <w:color w:val="auto"/>
                    </w:rPr>
                  </w:pPr>
                  <w:r>
                    <w:rPr>
                      <w:rFonts w:hint="eastAsia"/>
                      <w:color w:val="auto"/>
                    </w:rPr>
                    <w:t>产排污环节</w:t>
                  </w:r>
                </w:p>
              </w:tc>
              <w:tc>
                <w:tcPr>
                  <w:tcW w:w="1051" w:type="pct"/>
                  <w:noWrap w:val="0"/>
                  <w:vAlign w:val="center"/>
                </w:tcPr>
                <w:p w14:paraId="05A69024">
                  <w:pPr>
                    <w:pStyle w:val="74"/>
                    <w:rPr>
                      <w:rFonts w:hint="eastAsia"/>
                      <w:color w:val="auto"/>
                    </w:rPr>
                  </w:pPr>
                  <w:r>
                    <w:rPr>
                      <w:rFonts w:hint="eastAsia"/>
                      <w:color w:val="auto"/>
                    </w:rPr>
                    <w:t>污染物种类</w:t>
                  </w:r>
                </w:p>
              </w:tc>
              <w:tc>
                <w:tcPr>
                  <w:tcW w:w="1369" w:type="pct"/>
                  <w:noWrap w:val="0"/>
                  <w:vAlign w:val="center"/>
                </w:tcPr>
                <w:p w14:paraId="673BAAB0">
                  <w:pPr>
                    <w:pStyle w:val="74"/>
                    <w:rPr>
                      <w:rFonts w:hint="eastAsia"/>
                      <w:color w:val="auto"/>
                    </w:rPr>
                  </w:pPr>
                  <w:r>
                    <w:rPr>
                      <w:rFonts w:hint="eastAsia"/>
                      <w:color w:val="auto"/>
                    </w:rPr>
                    <w:t>过程控制技术</w:t>
                  </w:r>
                </w:p>
              </w:tc>
              <w:tc>
                <w:tcPr>
                  <w:tcW w:w="1041" w:type="pct"/>
                  <w:noWrap w:val="0"/>
                  <w:vAlign w:val="center"/>
                </w:tcPr>
                <w:p w14:paraId="4CF9208E">
                  <w:pPr>
                    <w:pStyle w:val="74"/>
                    <w:rPr>
                      <w:rFonts w:hint="eastAsia"/>
                      <w:color w:val="auto"/>
                    </w:rPr>
                  </w:pPr>
                  <w:r>
                    <w:rPr>
                      <w:rFonts w:hint="eastAsia"/>
                      <w:color w:val="auto"/>
                    </w:rPr>
                    <w:t>可行技术</w:t>
                  </w:r>
                </w:p>
              </w:tc>
            </w:tr>
            <w:tr w14:paraId="7CFC43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39" w:type="pct"/>
                  <w:noWrap w:val="0"/>
                  <w:vAlign w:val="center"/>
                </w:tcPr>
                <w:p w14:paraId="44601330">
                  <w:pPr>
                    <w:pStyle w:val="74"/>
                    <w:rPr>
                      <w:color w:val="auto"/>
                    </w:rPr>
                  </w:pPr>
                  <w:r>
                    <w:rPr>
                      <w:rFonts w:hint="eastAsia"/>
                      <w:color w:val="auto"/>
                    </w:rPr>
                    <w:t>塑料板、管、型材制造</w:t>
                  </w:r>
                </w:p>
              </w:tc>
              <w:tc>
                <w:tcPr>
                  <w:tcW w:w="1051" w:type="pct"/>
                  <w:noWrap w:val="0"/>
                  <w:vAlign w:val="center"/>
                </w:tcPr>
                <w:p w14:paraId="4C94F11D">
                  <w:pPr>
                    <w:pStyle w:val="74"/>
                    <w:rPr>
                      <w:rFonts w:hint="eastAsia"/>
                      <w:color w:val="auto"/>
                    </w:rPr>
                  </w:pPr>
                  <w:r>
                    <w:rPr>
                      <w:rFonts w:hint="eastAsia"/>
                      <w:color w:val="auto"/>
                    </w:rPr>
                    <w:t>颗粒物</w:t>
                  </w:r>
                </w:p>
              </w:tc>
              <w:tc>
                <w:tcPr>
                  <w:tcW w:w="1369" w:type="pct"/>
                  <w:noWrap w:val="0"/>
                  <w:vAlign w:val="center"/>
                </w:tcPr>
                <w:p w14:paraId="076BD687">
                  <w:pPr>
                    <w:pStyle w:val="74"/>
                    <w:rPr>
                      <w:rFonts w:hint="eastAsia"/>
                      <w:color w:val="auto"/>
                    </w:rPr>
                  </w:pPr>
                  <w:r>
                    <w:rPr>
                      <w:rFonts w:hint="eastAsia"/>
                      <w:color w:val="auto"/>
                    </w:rPr>
                    <w:t>溶剂替代，密闭过程，密闭场所，局部收集</w:t>
                  </w:r>
                </w:p>
              </w:tc>
              <w:tc>
                <w:tcPr>
                  <w:tcW w:w="1041" w:type="pct"/>
                  <w:noWrap w:val="0"/>
                  <w:vAlign w:val="center"/>
                </w:tcPr>
                <w:p w14:paraId="03A74BB5">
                  <w:pPr>
                    <w:pStyle w:val="74"/>
                    <w:rPr>
                      <w:rFonts w:hint="eastAsia"/>
                      <w:color w:val="auto"/>
                    </w:rPr>
                  </w:pPr>
                  <w:r>
                    <w:rPr>
                      <w:rFonts w:hint="eastAsia"/>
                      <w:color w:val="auto"/>
                    </w:rPr>
                    <w:t>袋式除尘；滤筒/滤芯除尘</w:t>
                  </w:r>
                </w:p>
              </w:tc>
            </w:tr>
          </w:tbl>
          <w:p w14:paraId="4EC4B820">
            <w:pPr>
              <w:pStyle w:val="55"/>
              <w:rPr>
                <w:color w:val="auto"/>
                <w:sz w:val="24"/>
                <w:szCs w:val="24"/>
              </w:rPr>
            </w:pPr>
            <w:r>
              <w:rPr>
                <w:rFonts w:hint="eastAsia" w:ascii="宋体" w:hAnsi="宋体" w:cs="宋体"/>
                <w:color w:val="auto"/>
                <w:sz w:val="24"/>
                <w:szCs w:val="24"/>
              </w:rPr>
              <w:t>④</w:t>
            </w:r>
            <w:r>
              <w:rPr>
                <w:color w:val="auto"/>
                <w:sz w:val="24"/>
                <w:szCs w:val="24"/>
              </w:rPr>
              <w:t>其他</w:t>
            </w:r>
          </w:p>
          <w:p w14:paraId="0EE07CC0">
            <w:pPr>
              <w:pStyle w:val="116"/>
              <w:jc w:val="left"/>
              <w:rPr>
                <w:rFonts w:hint="eastAsia"/>
                <w:bCs/>
                <w:color w:val="auto"/>
                <w:sz w:val="24"/>
                <w:szCs w:val="24"/>
              </w:rPr>
            </w:pPr>
            <w:r>
              <w:rPr>
                <w:color w:val="auto"/>
                <w:sz w:val="24"/>
                <w:szCs w:val="24"/>
                <w:lang w:val="en"/>
              </w:rPr>
              <w:t>设置专员，定期对</w:t>
            </w:r>
            <w:r>
              <w:rPr>
                <w:bCs/>
                <w:color w:val="auto"/>
                <w:sz w:val="24"/>
                <w:szCs w:val="24"/>
              </w:rPr>
              <w:t>布袋除尘器的维护，定期更换滤袋。</w:t>
            </w:r>
            <w:r>
              <w:rPr>
                <w:rFonts w:hint="eastAsia"/>
                <w:bCs/>
                <w:color w:val="auto"/>
                <w:sz w:val="24"/>
                <w:szCs w:val="24"/>
              </w:rPr>
              <w:t>加强设备维修，避免事故排放。</w:t>
            </w:r>
          </w:p>
          <w:p w14:paraId="1EAC5E2E"/>
          <w:p w14:paraId="1ED44026">
            <w:pPr>
              <w:pStyle w:val="62"/>
              <w:numPr>
                <w:ilvl w:val="2"/>
                <w:numId w:val="7"/>
              </w:numPr>
              <w:ind w:left="210"/>
              <w:rPr>
                <w:rFonts w:ascii="Times New Roman" w:hAnsi="Times New Roman" w:cs="Times New Roman"/>
                <w:color w:val="auto"/>
                <w:sz w:val="24"/>
                <w:szCs w:val="24"/>
                <w:lang w:val="en"/>
              </w:rPr>
            </w:pPr>
            <w:r>
              <w:rPr>
                <w:rFonts w:ascii="Times New Roman" w:hAnsi="Times New Roman" w:cs="Times New Roman"/>
                <w:color w:val="auto"/>
                <w:sz w:val="24"/>
                <w:szCs w:val="24"/>
                <w:lang w:val="en"/>
              </w:rPr>
              <w:t>废气影响分析</w:t>
            </w:r>
          </w:p>
          <w:p w14:paraId="4E757F2D">
            <w:pPr>
              <w:pStyle w:val="116"/>
              <w:jc w:val="left"/>
              <w:rPr>
                <w:color w:val="auto"/>
                <w:sz w:val="24"/>
                <w:szCs w:val="24"/>
              </w:rPr>
            </w:pPr>
            <w:r>
              <w:rPr>
                <w:color w:val="auto"/>
                <w:sz w:val="24"/>
                <w:szCs w:val="24"/>
                <w:lang w:val="en"/>
              </w:rPr>
              <w:t>根据废气源强核算及污染物达标排放情况可知，本项目产生的各类污染物经收集处理后，各类污染物均可达标排放；车间无组织排放的污染物在企业边界监控点浓度值及企业内监控点浓度值均满足相应排放标准要求。因此，项目废气排放对外环境的影响较小。</w:t>
            </w:r>
          </w:p>
          <w:p w14:paraId="25281DAA">
            <w:pPr>
              <w:pStyle w:val="116"/>
              <w:jc w:val="left"/>
              <w:rPr>
                <w:color w:val="auto"/>
                <w:sz w:val="24"/>
                <w:szCs w:val="24"/>
              </w:rPr>
            </w:pPr>
            <w:r>
              <w:rPr>
                <w:color w:val="auto"/>
                <w:sz w:val="24"/>
                <w:szCs w:val="24"/>
              </w:rPr>
              <w:t>本项目产生的各项污染物均能达标排放，且经大气扩散、稀释、衰减后，对</w:t>
            </w:r>
            <w:r>
              <w:rPr>
                <w:rFonts w:hint="eastAsia"/>
                <w:color w:val="auto"/>
                <w:sz w:val="24"/>
                <w:szCs w:val="24"/>
              </w:rPr>
              <w:t>周边</w:t>
            </w:r>
            <w:r>
              <w:rPr>
                <w:color w:val="auto"/>
                <w:sz w:val="24"/>
                <w:szCs w:val="24"/>
              </w:rPr>
              <w:t>环境影响较小。</w:t>
            </w:r>
          </w:p>
          <w:p w14:paraId="369596FE">
            <w:pPr>
              <w:pStyle w:val="62"/>
              <w:numPr>
                <w:ilvl w:val="2"/>
                <w:numId w:val="7"/>
              </w:numPr>
              <w:ind w:left="210"/>
              <w:rPr>
                <w:rFonts w:ascii="Times New Roman" w:hAnsi="Times New Roman" w:cs="Times New Roman"/>
                <w:color w:val="auto"/>
                <w:sz w:val="24"/>
                <w:szCs w:val="24"/>
                <w:lang w:val="en"/>
              </w:rPr>
            </w:pPr>
            <w:r>
              <w:rPr>
                <w:rFonts w:ascii="Times New Roman" w:hAnsi="Times New Roman" w:cs="Times New Roman"/>
                <w:color w:val="auto"/>
                <w:sz w:val="24"/>
                <w:szCs w:val="24"/>
                <w:lang w:val="en"/>
              </w:rPr>
              <w:t xml:space="preserve">废气监测计划 </w:t>
            </w:r>
          </w:p>
          <w:p w14:paraId="613F0D0E">
            <w:pPr>
              <w:pStyle w:val="116"/>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color w:val="auto"/>
                <w:sz w:val="24"/>
                <w:szCs w:val="24"/>
                <w:lang w:val="en"/>
              </w:rPr>
            </w:pPr>
            <w:r>
              <w:rPr>
                <w:color w:val="auto"/>
                <w:sz w:val="24"/>
                <w:szCs w:val="24"/>
                <w:lang w:val="en"/>
              </w:rPr>
              <w:t xml:space="preserve">本项目监测计划主要包括污染源监测计划。本项目营运期监测计划参照《排污单位自行监测技术指南 </w:t>
            </w:r>
            <w:r>
              <w:rPr>
                <w:rFonts w:hint="eastAsia"/>
                <w:color w:val="auto"/>
                <w:sz w:val="24"/>
                <w:szCs w:val="24"/>
                <w:lang w:val="en"/>
              </w:rPr>
              <w:t>总则</w:t>
            </w:r>
            <w:r>
              <w:rPr>
                <w:color w:val="auto"/>
                <w:sz w:val="24"/>
                <w:szCs w:val="24"/>
                <w:lang w:val="en"/>
              </w:rPr>
              <w:t>》（HJ819-2017）</w:t>
            </w:r>
            <w:r>
              <w:rPr>
                <w:rFonts w:hint="eastAsia"/>
                <w:color w:val="auto"/>
                <w:sz w:val="24"/>
                <w:szCs w:val="24"/>
                <w:lang w:val="en"/>
              </w:rPr>
              <w:t>、《排污单位自行监测技术指南 橡胶和塑料</w:t>
            </w:r>
            <w:r>
              <w:rPr>
                <w:rFonts w:hint="eastAsia" w:ascii="Times New Roman" w:hAnsi="Times New Roman" w:eastAsia="宋体" w:cs="Times New Roman"/>
                <w:color w:val="auto"/>
                <w:sz w:val="24"/>
                <w:szCs w:val="22"/>
                <w:highlight w:val="none"/>
                <w:lang w:val="en" w:eastAsia="zh-CN"/>
              </w:rPr>
              <w:t>制品</w:t>
            </w:r>
            <w:r>
              <w:rPr>
                <w:rFonts w:hint="eastAsia"/>
                <w:color w:val="auto"/>
                <w:sz w:val="24"/>
                <w:szCs w:val="24"/>
                <w:lang w:val="en"/>
              </w:rPr>
              <w:t>》（HJ 1207-2021）</w:t>
            </w:r>
            <w:r>
              <w:rPr>
                <w:color w:val="auto"/>
                <w:sz w:val="24"/>
                <w:szCs w:val="24"/>
                <w:lang w:val="en"/>
              </w:rPr>
              <w:t>制定。具体监测计划详见</w:t>
            </w:r>
            <w:r>
              <w:rPr>
                <w:color w:val="auto"/>
                <w:sz w:val="24"/>
                <w:szCs w:val="24"/>
                <w:lang w:val="en"/>
              </w:rPr>
              <w:fldChar w:fldCharType="begin"/>
            </w:r>
            <w:r>
              <w:rPr>
                <w:color w:val="auto"/>
                <w:sz w:val="24"/>
                <w:szCs w:val="24"/>
                <w:lang w:val="en"/>
              </w:rPr>
              <w:instrText xml:space="preserve"> REF _Ref70156661 \r \h  \* MERGEFORMAT </w:instrText>
            </w:r>
            <w:r>
              <w:rPr>
                <w:color w:val="auto"/>
                <w:sz w:val="24"/>
                <w:szCs w:val="24"/>
                <w:lang w:val="en"/>
              </w:rPr>
              <w:fldChar w:fldCharType="separate"/>
            </w:r>
            <w:r>
              <w:rPr>
                <w:rFonts w:hint="eastAsia"/>
                <w:color w:val="auto"/>
                <w:sz w:val="24"/>
                <w:szCs w:val="24"/>
                <w:lang w:val="en"/>
              </w:rPr>
              <w:t>表4.1-1</w:t>
            </w:r>
            <w:r>
              <w:rPr>
                <w:rFonts w:hint="eastAsia"/>
                <w:color w:val="auto"/>
                <w:sz w:val="24"/>
                <w:szCs w:val="24"/>
                <w:lang w:val="en-US" w:eastAsia="zh-CN"/>
              </w:rPr>
              <w:t>4</w:t>
            </w:r>
            <w:r>
              <w:rPr>
                <w:color w:val="auto"/>
                <w:sz w:val="24"/>
                <w:szCs w:val="24"/>
                <w:lang w:val="en"/>
              </w:rPr>
              <w:fldChar w:fldCharType="end"/>
            </w:r>
            <w:r>
              <w:rPr>
                <w:color w:val="auto"/>
                <w:sz w:val="24"/>
                <w:szCs w:val="24"/>
                <w:lang w:val="en"/>
              </w:rPr>
              <w:t>。</w:t>
            </w:r>
          </w:p>
          <w:p w14:paraId="6306547E">
            <w:pPr>
              <w:pStyle w:val="11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color w:val="auto"/>
                <w:sz w:val="24"/>
                <w:szCs w:val="24"/>
                <w:lang w:val="en"/>
              </w:rPr>
            </w:pPr>
            <w:bookmarkStart w:id="35" w:name="_Ref70156661"/>
            <w:r>
              <w:rPr>
                <w:rFonts w:hint="eastAsia"/>
                <w:b/>
                <w:bCs/>
                <w:color w:val="auto"/>
                <w:sz w:val="24"/>
                <w:szCs w:val="24"/>
                <w:lang w:val="en-US" w:eastAsia="zh-CN"/>
              </w:rPr>
              <w:t>表4.1-</w:t>
            </w:r>
            <w:r>
              <w:rPr>
                <w:rFonts w:hint="eastAsia" w:ascii="Times New Roman" w:hAnsi="Times New Roman" w:eastAsia="宋体" w:cs="Times New Roman"/>
                <w:b/>
                <w:bCs/>
                <w:color w:val="auto"/>
                <w:sz w:val="24"/>
                <w:szCs w:val="22"/>
                <w:highlight w:val="none"/>
                <w:lang w:val="en-US" w:eastAsia="zh-CN"/>
              </w:rPr>
              <w:t>1</w:t>
            </w:r>
            <w:r>
              <w:rPr>
                <w:rFonts w:hint="eastAsia" w:cs="Times New Roman"/>
                <w:b/>
                <w:bCs/>
                <w:color w:val="auto"/>
                <w:sz w:val="24"/>
                <w:szCs w:val="22"/>
                <w:highlight w:val="none"/>
                <w:lang w:val="en-US" w:eastAsia="zh-CN"/>
              </w:rPr>
              <w:t xml:space="preserve">4  </w:t>
            </w:r>
            <w:r>
              <w:rPr>
                <w:rFonts w:ascii="Times New Roman" w:hAnsi="Times New Roman" w:cs="Times New Roman"/>
                <w:b/>
                <w:bCs/>
                <w:color w:val="auto"/>
                <w:sz w:val="24"/>
                <w:szCs w:val="24"/>
                <w:lang w:val="en"/>
              </w:rPr>
              <w:t>环境</w:t>
            </w:r>
            <w:r>
              <w:rPr>
                <w:rFonts w:hint="eastAsia"/>
                <w:b/>
                <w:bCs/>
                <w:color w:val="auto"/>
                <w:sz w:val="24"/>
                <w:szCs w:val="24"/>
                <w:lang w:val="en"/>
              </w:rPr>
              <w:t>监测</w:t>
            </w:r>
            <w:r>
              <w:rPr>
                <w:rFonts w:ascii="Times New Roman" w:hAnsi="Times New Roman" w:cs="Times New Roman"/>
                <w:b/>
                <w:bCs/>
                <w:color w:val="auto"/>
                <w:sz w:val="24"/>
                <w:szCs w:val="24"/>
                <w:lang w:val="en"/>
              </w:rPr>
              <w:t>计划一览表</w:t>
            </w:r>
            <w:bookmarkEnd w:id="35"/>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991"/>
              <w:gridCol w:w="1621"/>
              <w:gridCol w:w="1416"/>
              <w:gridCol w:w="4449"/>
            </w:tblGrid>
            <w:tr w14:paraId="31DDA4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585" w:type="pct"/>
                  <w:noWrap w:val="0"/>
                  <w:vAlign w:val="center"/>
                </w:tcPr>
                <w:p w14:paraId="4C54AA7C">
                  <w:pPr>
                    <w:pStyle w:val="69"/>
                    <w:rPr>
                      <w:color w:val="auto"/>
                      <w:lang w:val="en"/>
                    </w:rPr>
                  </w:pPr>
                  <w:r>
                    <w:rPr>
                      <w:color w:val="auto"/>
                      <w:lang w:val="en"/>
                    </w:rPr>
                    <w:t>监测点位</w:t>
                  </w:r>
                </w:p>
              </w:tc>
              <w:tc>
                <w:tcPr>
                  <w:tcW w:w="956" w:type="pct"/>
                  <w:noWrap w:val="0"/>
                  <w:vAlign w:val="center"/>
                </w:tcPr>
                <w:p w14:paraId="111D4716">
                  <w:pPr>
                    <w:pStyle w:val="69"/>
                    <w:rPr>
                      <w:color w:val="auto"/>
                      <w:lang w:val="en"/>
                    </w:rPr>
                  </w:pPr>
                  <w:r>
                    <w:rPr>
                      <w:color w:val="auto"/>
                      <w:lang w:val="en"/>
                    </w:rPr>
                    <w:t>监测指标</w:t>
                  </w:r>
                </w:p>
              </w:tc>
              <w:tc>
                <w:tcPr>
                  <w:tcW w:w="835" w:type="pct"/>
                  <w:noWrap w:val="0"/>
                  <w:vAlign w:val="center"/>
                </w:tcPr>
                <w:p w14:paraId="33F16367">
                  <w:pPr>
                    <w:pStyle w:val="69"/>
                    <w:rPr>
                      <w:color w:val="auto"/>
                      <w:lang w:val="en"/>
                    </w:rPr>
                  </w:pPr>
                  <w:r>
                    <w:rPr>
                      <w:color w:val="auto"/>
                      <w:lang w:val="en"/>
                    </w:rPr>
                    <w:t>监测频次</w:t>
                  </w:r>
                </w:p>
              </w:tc>
              <w:tc>
                <w:tcPr>
                  <w:tcW w:w="2624" w:type="pct"/>
                  <w:noWrap w:val="0"/>
                  <w:vAlign w:val="center"/>
                </w:tcPr>
                <w:p w14:paraId="24EA142D">
                  <w:pPr>
                    <w:pStyle w:val="69"/>
                    <w:rPr>
                      <w:color w:val="auto"/>
                      <w:lang w:val="en"/>
                    </w:rPr>
                  </w:pPr>
                  <w:r>
                    <w:rPr>
                      <w:color w:val="auto"/>
                      <w:lang w:val="en"/>
                    </w:rPr>
                    <w:t>执行标准</w:t>
                  </w:r>
                </w:p>
              </w:tc>
            </w:tr>
            <w:tr w14:paraId="7C150A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585" w:type="pct"/>
                  <w:noWrap w:val="0"/>
                  <w:vAlign w:val="center"/>
                </w:tcPr>
                <w:p w14:paraId="56F91685">
                  <w:pPr>
                    <w:pStyle w:val="69"/>
                    <w:rPr>
                      <w:color w:val="auto"/>
                      <w:lang w:val="en"/>
                    </w:rPr>
                  </w:pPr>
                  <w:r>
                    <w:rPr>
                      <w:color w:val="auto"/>
                      <w:lang w:val="en"/>
                    </w:rPr>
                    <w:t>排气筒DA001</w:t>
                  </w:r>
                </w:p>
              </w:tc>
              <w:tc>
                <w:tcPr>
                  <w:tcW w:w="956" w:type="pct"/>
                  <w:noWrap w:val="0"/>
                  <w:vAlign w:val="center"/>
                </w:tcPr>
                <w:p w14:paraId="49178281">
                  <w:pPr>
                    <w:pStyle w:val="69"/>
                    <w:rPr>
                      <w:rFonts w:hint="eastAsia"/>
                      <w:color w:val="auto"/>
                      <w:lang w:val="en" w:eastAsia="zh-CN"/>
                    </w:rPr>
                  </w:pPr>
                  <w:r>
                    <w:rPr>
                      <w:color w:val="auto"/>
                      <w:lang w:val="en"/>
                    </w:rPr>
                    <w:t>非甲烷总烃</w:t>
                  </w:r>
                  <w:r>
                    <w:rPr>
                      <w:rFonts w:hint="eastAsia"/>
                      <w:color w:val="auto"/>
                      <w:lang w:val="en" w:eastAsia="zh-CN"/>
                    </w:rPr>
                    <w:t>、</w:t>
                  </w:r>
                </w:p>
                <w:p w14:paraId="10FF2D1A">
                  <w:pPr>
                    <w:pStyle w:val="69"/>
                    <w:rPr>
                      <w:rFonts w:hint="eastAsia" w:eastAsia="宋体"/>
                      <w:color w:val="auto"/>
                      <w:lang w:val="en" w:eastAsia="zh-CN"/>
                    </w:rPr>
                  </w:pPr>
                  <w:r>
                    <w:rPr>
                      <w:rFonts w:hint="eastAsia"/>
                      <w:color w:val="auto"/>
                      <w:lang w:val="en" w:eastAsia="zh-CN"/>
                    </w:rPr>
                    <w:t>臭气浓度</w:t>
                  </w:r>
                </w:p>
              </w:tc>
              <w:tc>
                <w:tcPr>
                  <w:tcW w:w="835" w:type="pct"/>
                  <w:noWrap w:val="0"/>
                  <w:vAlign w:val="center"/>
                </w:tcPr>
                <w:p w14:paraId="404AEBAD">
                  <w:pPr>
                    <w:pStyle w:val="69"/>
                    <w:rPr>
                      <w:color w:val="auto"/>
                      <w:lang w:val="en"/>
                    </w:rPr>
                  </w:pPr>
                  <w:r>
                    <w:rPr>
                      <w:color w:val="auto"/>
                      <w:lang w:val="en"/>
                    </w:rPr>
                    <w:t>每</w:t>
                  </w:r>
                  <w:r>
                    <w:rPr>
                      <w:rFonts w:hint="eastAsia"/>
                      <w:color w:val="auto"/>
                      <w:lang w:val="en"/>
                    </w:rPr>
                    <w:t>半</w:t>
                  </w:r>
                  <w:r>
                    <w:rPr>
                      <w:color w:val="auto"/>
                      <w:lang w:val="en"/>
                    </w:rPr>
                    <w:t>年一次</w:t>
                  </w:r>
                </w:p>
              </w:tc>
              <w:tc>
                <w:tcPr>
                  <w:tcW w:w="2624" w:type="pct"/>
                  <w:noWrap w:val="0"/>
                  <w:vAlign w:val="center"/>
                </w:tcPr>
                <w:p w14:paraId="1C411678">
                  <w:pPr>
                    <w:pStyle w:val="69"/>
                    <w:rPr>
                      <w:rFonts w:hint="eastAsia" w:ascii="Times New Roman" w:hAnsi="Times New Roman" w:eastAsia="宋体" w:cs="Times New Roman"/>
                      <w:color w:val="auto"/>
                      <w:lang w:val="en" w:eastAsia="zh-CN"/>
                    </w:rPr>
                  </w:pPr>
                  <w:r>
                    <w:rPr>
                      <w:rFonts w:hint="eastAsia" w:ascii="Times New Roman" w:hAnsi="Times New Roman" w:eastAsia="宋体" w:cs="Times New Roman"/>
                      <w:color w:val="auto"/>
                      <w:lang w:val="en" w:eastAsia="zh-CN"/>
                    </w:rPr>
                    <w:t>《合成树脂工业污染物排放标准》（GB 31572-2015，含2024年修改单）</w:t>
                  </w:r>
                  <w:r>
                    <w:rPr>
                      <w:rFonts w:hint="eastAsia" w:ascii="Times New Roman" w:hAnsi="Times New Roman" w:eastAsia="宋体" w:cs="Times New Roman"/>
                      <w:color w:val="auto"/>
                      <w:lang w:val="en"/>
                    </w:rPr>
                    <w:t>表4标准</w:t>
                  </w:r>
                  <w:r>
                    <w:rPr>
                      <w:rFonts w:hint="eastAsia" w:ascii="Times New Roman" w:hAnsi="Times New Roman" w:eastAsia="宋体" w:cs="Times New Roman"/>
                      <w:color w:val="auto"/>
                      <w:lang w:val="en" w:eastAsia="zh-CN"/>
                    </w:rPr>
                    <w:t>；</w:t>
                  </w:r>
                </w:p>
                <w:p w14:paraId="45AB7E81">
                  <w:pPr>
                    <w:pStyle w:val="69"/>
                    <w:rPr>
                      <w:rFonts w:hint="eastAsia" w:ascii="Times New Roman" w:hAnsi="Times New Roman" w:eastAsia="宋体" w:cs="Times New Roman"/>
                      <w:color w:val="auto"/>
                      <w:lang w:val="en" w:eastAsia="zh-CN"/>
                    </w:rPr>
                  </w:pPr>
                  <w:r>
                    <w:rPr>
                      <w:rFonts w:hint="eastAsia" w:ascii="Times New Roman" w:hAnsi="Times New Roman" w:eastAsia="宋体" w:cs="Times New Roman"/>
                      <w:color w:val="auto"/>
                      <w:lang w:val="en" w:eastAsia="zh-CN"/>
                    </w:rPr>
                    <w:t>臭气浓度执行</w:t>
                  </w:r>
                  <w:r>
                    <w:rPr>
                      <w:rFonts w:hint="default" w:ascii="Times New Roman" w:hAnsi="Times New Roman" w:eastAsia="宋体" w:cs="Times New Roman"/>
                      <w:color w:val="auto"/>
                      <w:lang w:val="en"/>
                    </w:rPr>
                    <w:t xml:space="preserve"> </w:t>
                  </w:r>
                  <w:r>
                    <w:rPr>
                      <w:rFonts w:hint="default" w:ascii="Times New Roman" w:hAnsi="Times New Roman" w:eastAsia="宋体" w:cs="Times New Roman"/>
                      <w:color w:val="auto"/>
                      <w:lang w:val="en-US" w:eastAsia="zh-CN"/>
                    </w:rPr>
                    <w:t>《恶臭污染物排放标准》（GB14554-93）</w:t>
                  </w:r>
                </w:p>
              </w:tc>
            </w:tr>
            <w:tr w14:paraId="65A31D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585" w:type="pct"/>
                  <w:noWrap w:val="0"/>
                  <w:vAlign w:val="center"/>
                </w:tcPr>
                <w:p w14:paraId="07BAE4C3">
                  <w:pPr>
                    <w:pStyle w:val="69"/>
                    <w:rPr>
                      <w:color w:val="auto"/>
                      <w:lang w:val="en"/>
                    </w:rPr>
                  </w:pPr>
                  <w:r>
                    <w:rPr>
                      <w:color w:val="auto"/>
                      <w:lang w:val="en"/>
                    </w:rPr>
                    <w:t>企业边界</w:t>
                  </w:r>
                </w:p>
              </w:tc>
              <w:tc>
                <w:tcPr>
                  <w:tcW w:w="956" w:type="pct"/>
                  <w:noWrap w:val="0"/>
                  <w:vAlign w:val="center"/>
                </w:tcPr>
                <w:p w14:paraId="1BA66A78">
                  <w:pPr>
                    <w:pStyle w:val="69"/>
                    <w:rPr>
                      <w:rFonts w:hint="eastAsia" w:eastAsia="宋体"/>
                      <w:color w:val="auto"/>
                      <w:lang w:val="en" w:eastAsia="zh-CN"/>
                    </w:rPr>
                  </w:pPr>
                  <w:r>
                    <w:rPr>
                      <w:color w:val="auto"/>
                      <w:lang w:val="en"/>
                    </w:rPr>
                    <w:t>颗粒物</w:t>
                  </w:r>
                  <w:r>
                    <w:rPr>
                      <w:rFonts w:hint="eastAsia"/>
                      <w:color w:val="auto"/>
                      <w:lang w:val="en"/>
                    </w:rPr>
                    <w:t>、</w:t>
                  </w:r>
                  <w:r>
                    <w:rPr>
                      <w:color w:val="auto"/>
                      <w:lang w:val="en"/>
                    </w:rPr>
                    <w:t>非甲烷总烃</w:t>
                  </w:r>
                  <w:r>
                    <w:rPr>
                      <w:rFonts w:hint="eastAsia"/>
                      <w:color w:val="auto"/>
                      <w:lang w:val="en" w:eastAsia="zh-CN"/>
                    </w:rPr>
                    <w:t>、臭气浓度</w:t>
                  </w:r>
                </w:p>
              </w:tc>
              <w:tc>
                <w:tcPr>
                  <w:tcW w:w="835" w:type="pct"/>
                  <w:noWrap w:val="0"/>
                  <w:vAlign w:val="center"/>
                </w:tcPr>
                <w:p w14:paraId="0D78D522">
                  <w:pPr>
                    <w:pStyle w:val="69"/>
                    <w:rPr>
                      <w:color w:val="auto"/>
                      <w:lang w:val="en"/>
                    </w:rPr>
                  </w:pPr>
                  <w:r>
                    <w:rPr>
                      <w:color w:val="auto"/>
                      <w:lang w:val="en"/>
                    </w:rPr>
                    <w:t>每</w:t>
                  </w:r>
                  <w:r>
                    <w:rPr>
                      <w:rFonts w:hint="eastAsia"/>
                      <w:color w:val="auto"/>
                      <w:lang w:val="en"/>
                    </w:rPr>
                    <w:t>半</w:t>
                  </w:r>
                  <w:r>
                    <w:rPr>
                      <w:color w:val="auto"/>
                      <w:lang w:val="en"/>
                    </w:rPr>
                    <w:t>年一次</w:t>
                  </w:r>
                </w:p>
              </w:tc>
              <w:tc>
                <w:tcPr>
                  <w:tcW w:w="2624" w:type="pct"/>
                  <w:noWrap w:val="0"/>
                  <w:vAlign w:val="center"/>
                </w:tcPr>
                <w:p w14:paraId="481A347F">
                  <w:pPr>
                    <w:pStyle w:val="69"/>
                    <w:rPr>
                      <w:rFonts w:hint="eastAsia" w:ascii="Times New Roman" w:hAnsi="Times New Roman" w:eastAsia="宋体" w:cs="Times New Roman"/>
                      <w:color w:val="auto"/>
                      <w:lang w:val="en" w:eastAsia="zh-CN"/>
                    </w:rPr>
                  </w:pPr>
                  <w:r>
                    <w:rPr>
                      <w:rFonts w:hint="eastAsia" w:ascii="Times New Roman" w:hAnsi="Times New Roman" w:eastAsia="宋体" w:cs="Times New Roman"/>
                      <w:color w:val="auto"/>
                      <w:lang w:val="en" w:eastAsia="zh-CN"/>
                    </w:rPr>
                    <w:t>《合成树脂工业污染物排放标准》（GB 31572-2015，含2024年修改单）</w:t>
                  </w:r>
                  <w:r>
                    <w:rPr>
                      <w:rFonts w:hint="eastAsia" w:ascii="Times New Roman" w:hAnsi="Times New Roman" w:eastAsia="宋体" w:cs="Times New Roman"/>
                      <w:color w:val="auto"/>
                      <w:lang w:val="en"/>
                    </w:rPr>
                    <w:t>表</w:t>
                  </w:r>
                  <w:r>
                    <w:rPr>
                      <w:rFonts w:ascii="Times New Roman" w:hAnsi="Times New Roman" w:eastAsia="宋体" w:cs="Times New Roman"/>
                      <w:color w:val="auto"/>
                      <w:lang w:val="en"/>
                    </w:rPr>
                    <w:t>9</w:t>
                  </w:r>
                  <w:r>
                    <w:rPr>
                      <w:rFonts w:hint="eastAsia" w:ascii="Times New Roman" w:hAnsi="Times New Roman" w:eastAsia="宋体" w:cs="Times New Roman"/>
                      <w:color w:val="auto"/>
                      <w:lang w:val="en"/>
                    </w:rPr>
                    <w:t>标准</w:t>
                  </w:r>
                  <w:r>
                    <w:rPr>
                      <w:rFonts w:hint="eastAsia" w:ascii="Times New Roman" w:hAnsi="Times New Roman" w:eastAsia="宋体" w:cs="Times New Roman"/>
                      <w:color w:val="auto"/>
                      <w:lang w:val="en" w:eastAsia="zh-CN"/>
                    </w:rPr>
                    <w:t>；</w:t>
                  </w:r>
                </w:p>
                <w:p w14:paraId="66FB11E6">
                  <w:pPr>
                    <w:pStyle w:val="69"/>
                    <w:rPr>
                      <w:rFonts w:hint="eastAsia" w:ascii="Times New Roman" w:hAnsi="Times New Roman" w:eastAsia="宋体" w:cs="Times New Roman"/>
                      <w:color w:val="auto"/>
                      <w:lang w:val="en" w:eastAsia="zh-CN"/>
                    </w:rPr>
                  </w:pPr>
                  <w:r>
                    <w:rPr>
                      <w:rFonts w:hint="default" w:ascii="Times New Roman" w:hAnsi="Times New Roman" w:eastAsia="宋体" w:cs="Times New Roman"/>
                      <w:color w:val="auto"/>
                      <w:lang w:val="en"/>
                    </w:rPr>
                    <w:t xml:space="preserve"> </w:t>
                  </w:r>
                  <w:r>
                    <w:rPr>
                      <w:rFonts w:hint="eastAsia" w:ascii="Times New Roman" w:hAnsi="Times New Roman" w:eastAsia="宋体" w:cs="Times New Roman"/>
                      <w:color w:val="auto"/>
                      <w:lang w:val="en" w:eastAsia="zh-CN"/>
                    </w:rPr>
                    <w:t>臭气浓度执行</w:t>
                  </w:r>
                  <w:r>
                    <w:rPr>
                      <w:rFonts w:hint="default" w:ascii="Times New Roman" w:hAnsi="Times New Roman" w:eastAsia="宋体" w:cs="Times New Roman"/>
                      <w:color w:val="auto"/>
                      <w:lang w:val="en"/>
                    </w:rPr>
                    <w:t xml:space="preserve"> </w:t>
                  </w:r>
                  <w:r>
                    <w:rPr>
                      <w:rFonts w:hint="default" w:ascii="Times New Roman" w:hAnsi="Times New Roman" w:eastAsia="宋体" w:cs="Times New Roman"/>
                      <w:color w:val="auto"/>
                      <w:lang w:val="en-US" w:eastAsia="zh-CN"/>
                    </w:rPr>
                    <w:t>《恶臭污染物排放标准》（GB14554-93）</w:t>
                  </w:r>
                </w:p>
              </w:tc>
            </w:tr>
            <w:tr w14:paraId="40E701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rPr>
              <w:tc>
                <w:tcPr>
                  <w:tcW w:w="585" w:type="pct"/>
                  <w:noWrap w:val="0"/>
                  <w:vAlign w:val="center"/>
                </w:tcPr>
                <w:p w14:paraId="57FCFAF1">
                  <w:pPr>
                    <w:pStyle w:val="69"/>
                    <w:rPr>
                      <w:color w:val="auto"/>
                      <w:lang w:val="en"/>
                    </w:rPr>
                  </w:pPr>
                  <w:r>
                    <w:rPr>
                      <w:rFonts w:hint="eastAsia"/>
                      <w:color w:val="auto"/>
                      <w:lang w:val="en" w:eastAsia="zh-CN"/>
                    </w:rPr>
                    <w:t>厂区内</w:t>
                  </w:r>
                </w:p>
              </w:tc>
              <w:tc>
                <w:tcPr>
                  <w:tcW w:w="956" w:type="pct"/>
                  <w:noWrap w:val="0"/>
                  <w:vAlign w:val="center"/>
                </w:tcPr>
                <w:p w14:paraId="154FD533">
                  <w:pPr>
                    <w:pStyle w:val="69"/>
                    <w:rPr>
                      <w:rFonts w:hint="eastAsia" w:eastAsia="宋体"/>
                      <w:color w:val="auto"/>
                      <w:lang w:val="en" w:eastAsia="zh-CN"/>
                    </w:rPr>
                  </w:pPr>
                  <w:r>
                    <w:rPr>
                      <w:color w:val="auto"/>
                      <w:lang w:val="en"/>
                    </w:rPr>
                    <w:t>非甲烷总烃</w:t>
                  </w:r>
                </w:p>
              </w:tc>
              <w:tc>
                <w:tcPr>
                  <w:tcW w:w="835" w:type="pct"/>
                  <w:noWrap w:val="0"/>
                  <w:vAlign w:val="center"/>
                </w:tcPr>
                <w:p w14:paraId="370B2536">
                  <w:pPr>
                    <w:pStyle w:val="69"/>
                    <w:rPr>
                      <w:color w:val="auto"/>
                      <w:lang w:val="en"/>
                    </w:rPr>
                  </w:pPr>
                  <w:r>
                    <w:rPr>
                      <w:color w:val="auto"/>
                      <w:lang w:val="en"/>
                    </w:rPr>
                    <w:t>每</w:t>
                  </w:r>
                  <w:r>
                    <w:rPr>
                      <w:rFonts w:hint="eastAsia"/>
                      <w:color w:val="auto"/>
                      <w:lang w:val="en"/>
                    </w:rPr>
                    <w:t>半</w:t>
                  </w:r>
                  <w:r>
                    <w:rPr>
                      <w:color w:val="auto"/>
                      <w:lang w:val="en"/>
                    </w:rPr>
                    <w:t>年一次</w:t>
                  </w:r>
                </w:p>
              </w:tc>
              <w:tc>
                <w:tcPr>
                  <w:tcW w:w="2624" w:type="pct"/>
                  <w:noWrap w:val="0"/>
                  <w:vAlign w:val="center"/>
                </w:tcPr>
                <w:p w14:paraId="48BEDD9D">
                  <w:pPr>
                    <w:pStyle w:val="69"/>
                    <w:rPr>
                      <w:rFonts w:ascii="Times New Roman" w:hAnsi="Times New Roman" w:eastAsia="宋体" w:cs="Times New Roman"/>
                      <w:color w:val="auto"/>
                      <w:lang w:val="en"/>
                    </w:rPr>
                  </w:pPr>
                  <w:r>
                    <w:rPr>
                      <w:rFonts w:hint="eastAsia" w:ascii="Times New Roman" w:hAnsi="Times New Roman" w:eastAsia="宋体" w:cs="Times New Roman"/>
                      <w:color w:val="auto"/>
                      <w:lang w:val="en"/>
                    </w:rPr>
                    <w:t>《挥发性有机物无组织排放控制标准》（GB 37822-2019）附录A的表A.1</w:t>
                  </w:r>
                  <w:r>
                    <w:rPr>
                      <w:rFonts w:ascii="Times New Roman" w:hAnsi="Times New Roman" w:eastAsia="宋体" w:cs="Times New Roman"/>
                      <w:color w:val="auto"/>
                      <w:lang w:val="en"/>
                    </w:rPr>
                    <w:t>排放限值</w:t>
                  </w:r>
                </w:p>
              </w:tc>
            </w:tr>
          </w:tbl>
          <w:p w14:paraId="05325CB1">
            <w:pPr>
              <w:pStyle w:val="54"/>
              <w:numPr>
                <w:ilvl w:val="1"/>
                <w:numId w:val="7"/>
              </w:numPr>
              <w:rPr>
                <w:rFonts w:cs="Times New Roman"/>
                <w:color w:val="auto"/>
                <w:sz w:val="24"/>
                <w:szCs w:val="24"/>
              </w:rPr>
            </w:pPr>
            <w:r>
              <w:rPr>
                <w:rFonts w:cs="Times New Roman"/>
                <w:color w:val="auto"/>
                <w:sz w:val="24"/>
                <w:szCs w:val="24"/>
              </w:rPr>
              <w:t>废水</w:t>
            </w:r>
          </w:p>
          <w:p w14:paraId="72F569D9">
            <w:pPr>
              <w:pStyle w:val="62"/>
              <w:numPr>
                <w:ilvl w:val="2"/>
                <w:numId w:val="7"/>
              </w:numPr>
              <w:ind w:left="210"/>
              <w:rPr>
                <w:rFonts w:ascii="Times New Roman" w:hAnsi="Times New Roman" w:cs="Times New Roman"/>
                <w:color w:val="auto"/>
                <w:sz w:val="24"/>
                <w:szCs w:val="24"/>
              </w:rPr>
            </w:pPr>
            <w:r>
              <w:rPr>
                <w:rFonts w:ascii="Times New Roman" w:hAnsi="Times New Roman" w:cs="Times New Roman"/>
                <w:color w:val="auto"/>
                <w:sz w:val="24"/>
                <w:szCs w:val="24"/>
              </w:rPr>
              <w:t>污染源强分析</w:t>
            </w:r>
          </w:p>
          <w:p w14:paraId="6C3D3FCB">
            <w:pPr>
              <w:adjustRightInd w:val="0"/>
              <w:snapToGrid w:val="0"/>
              <w:spacing w:line="360" w:lineRule="auto"/>
              <w:ind w:firstLine="480" w:firstLineChars="200"/>
              <w:rPr>
                <w:rFonts w:hint="default" w:ascii="Times New Roman" w:hAnsi="Times New Roman" w:eastAsia="宋体" w:cs="Times New Roman"/>
                <w:snapToGrid w:val="0"/>
                <w:color w:val="auto"/>
                <w:kern w:val="0"/>
                <w:sz w:val="24"/>
                <w:szCs w:val="24"/>
                <w:highlight w:val="none"/>
                <w:lang w:val="en-GB" w:eastAsia="zh-CN"/>
              </w:rPr>
            </w:pPr>
            <w:r>
              <w:rPr>
                <w:rFonts w:hint="default" w:ascii="Times New Roman" w:hAnsi="Times New Roman" w:eastAsia="宋体" w:cs="Times New Roman"/>
                <w:snapToGrid w:val="0"/>
                <w:color w:val="auto"/>
                <w:kern w:val="0"/>
                <w:sz w:val="24"/>
                <w:szCs w:val="24"/>
                <w:highlight w:val="none"/>
                <w:lang w:val="en-GB" w:eastAsia="zh-CN"/>
              </w:rPr>
              <w:t>项目产生的废水主要有</w:t>
            </w:r>
            <w:r>
              <w:rPr>
                <w:rFonts w:hint="eastAsia" w:ascii="Times New Roman" w:hAnsi="Times New Roman" w:eastAsia="宋体" w:cs="Times New Roman"/>
                <w:snapToGrid w:val="0"/>
                <w:color w:val="auto"/>
                <w:kern w:val="0"/>
                <w:sz w:val="24"/>
                <w:szCs w:val="24"/>
                <w:highlight w:val="none"/>
                <w:lang w:val="en-GB" w:eastAsia="zh-CN"/>
              </w:rPr>
              <w:t>冷却用水</w:t>
            </w:r>
            <w:r>
              <w:rPr>
                <w:rFonts w:hint="default" w:ascii="Times New Roman" w:hAnsi="Times New Roman" w:eastAsia="宋体" w:cs="Times New Roman"/>
                <w:snapToGrid w:val="0"/>
                <w:color w:val="auto"/>
                <w:kern w:val="0"/>
                <w:sz w:val="24"/>
                <w:szCs w:val="24"/>
                <w:highlight w:val="none"/>
                <w:lang w:val="en-GB" w:eastAsia="zh-CN"/>
              </w:rPr>
              <w:t>及生活污水。</w:t>
            </w:r>
          </w:p>
          <w:p w14:paraId="16D6F9D4">
            <w:pPr>
              <w:adjustRightInd w:val="0"/>
              <w:snapToGrid w:val="0"/>
              <w:spacing w:line="360" w:lineRule="auto"/>
              <w:ind w:firstLine="482" w:firstLineChars="200"/>
              <w:rPr>
                <w:rFonts w:hint="eastAsia" w:ascii="Times New Roman" w:hAnsi="Times New Roman" w:eastAsia="宋体" w:cs="Times New Roman"/>
                <w:b/>
                <w:bCs/>
                <w:snapToGrid/>
                <w:color w:val="auto"/>
                <w:kern w:val="2"/>
                <w:sz w:val="24"/>
                <w:szCs w:val="24"/>
                <w:highlight w:val="none"/>
                <w:lang w:val="en-US" w:eastAsia="zh-CN"/>
              </w:rPr>
            </w:pPr>
            <w:r>
              <w:rPr>
                <w:rFonts w:hint="eastAsia" w:ascii="Times New Roman" w:hAnsi="Times New Roman" w:eastAsia="宋体" w:cs="Times New Roman"/>
                <w:b/>
                <w:bCs/>
                <w:snapToGrid/>
                <w:color w:val="auto"/>
                <w:kern w:val="2"/>
                <w:sz w:val="24"/>
                <w:szCs w:val="24"/>
                <w:highlight w:val="none"/>
                <w:lang w:val="en-US" w:eastAsia="zh-CN"/>
              </w:rPr>
              <w:t>（1）冷却用水</w:t>
            </w:r>
          </w:p>
          <w:p w14:paraId="7C475B5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kern w:val="0"/>
                <w:sz w:val="24"/>
                <w:szCs w:val="24"/>
                <w:lang w:val="en-GB" w:eastAsia="zh-CN" w:bidi="ar-SA"/>
              </w:rPr>
            </w:pPr>
            <w:r>
              <w:rPr>
                <w:rFonts w:hint="default" w:ascii="Times New Roman" w:hAnsi="Times New Roman" w:eastAsia="宋体" w:cs="Times New Roman"/>
                <w:color w:val="auto"/>
                <w:kern w:val="0"/>
                <w:sz w:val="24"/>
                <w:szCs w:val="24"/>
                <w:lang w:val="en-GB" w:eastAsia="zh-CN" w:bidi="ar-SA"/>
              </w:rPr>
              <w:t>冷却水中污染物主要为SS，经循环水池沉淀后循环使用，定期排放。项目冷却水为自来水，需定期排水，定期排水量</w:t>
            </w:r>
            <w:r>
              <w:rPr>
                <w:rFonts w:hint="default" w:ascii="Times New Roman" w:hAnsi="Times New Roman" w:eastAsia="宋体" w:cs="Times New Roman"/>
                <w:color w:val="auto"/>
                <w:kern w:val="0"/>
                <w:sz w:val="24"/>
                <w:szCs w:val="24"/>
                <w:lang w:val="en-US" w:eastAsia="zh-CN" w:bidi="ar-SA"/>
              </w:rPr>
              <w:t>206.8</w:t>
            </w:r>
            <w:r>
              <w:rPr>
                <w:rFonts w:hint="default" w:ascii="Times New Roman" w:hAnsi="Times New Roman" w:eastAsia="宋体" w:cs="Times New Roman"/>
                <w:color w:val="auto"/>
                <w:kern w:val="0"/>
                <w:sz w:val="24"/>
                <w:szCs w:val="24"/>
                <w:lang w:val="en-GB" w:eastAsia="zh-CN" w:bidi="ar-SA"/>
              </w:rPr>
              <w:t>m</w:t>
            </w:r>
            <w:r>
              <w:rPr>
                <w:rFonts w:hint="default" w:ascii="Times New Roman" w:hAnsi="Times New Roman" w:eastAsia="宋体" w:cs="Times New Roman"/>
                <w:color w:val="auto"/>
                <w:kern w:val="0"/>
                <w:sz w:val="24"/>
                <w:szCs w:val="24"/>
                <w:vertAlign w:val="superscript"/>
                <w:lang w:val="en-GB" w:eastAsia="zh-CN" w:bidi="ar-SA"/>
              </w:rPr>
              <w:t>3</w:t>
            </w:r>
            <w:r>
              <w:rPr>
                <w:rFonts w:hint="default" w:ascii="Times New Roman" w:hAnsi="Times New Roman" w:eastAsia="宋体" w:cs="Times New Roman"/>
                <w:color w:val="auto"/>
                <w:kern w:val="0"/>
                <w:sz w:val="24"/>
                <w:szCs w:val="24"/>
                <w:lang w:val="en-GB" w:eastAsia="zh-CN" w:bidi="ar-SA"/>
              </w:rPr>
              <w:t>/a。冷却系统定期排水较为清洁，冷却形式均为</w:t>
            </w:r>
            <w:r>
              <w:rPr>
                <w:rFonts w:hint="eastAsia" w:ascii="Times New Roman" w:hAnsi="Times New Roman" w:eastAsia="宋体" w:cs="Times New Roman"/>
                <w:color w:val="auto"/>
                <w:kern w:val="0"/>
                <w:sz w:val="24"/>
                <w:szCs w:val="24"/>
                <w:lang w:val="en-GB" w:eastAsia="zh-CN" w:bidi="ar-SA"/>
              </w:rPr>
              <w:t>间接</w:t>
            </w:r>
            <w:r>
              <w:rPr>
                <w:rFonts w:hint="default" w:ascii="Times New Roman" w:hAnsi="Times New Roman" w:eastAsia="宋体" w:cs="Times New Roman"/>
                <w:color w:val="auto"/>
                <w:kern w:val="0"/>
                <w:sz w:val="24"/>
                <w:szCs w:val="24"/>
                <w:lang w:val="en-GB" w:eastAsia="zh-CN" w:bidi="ar-SA"/>
              </w:rPr>
              <w:t>冷却，主要污染物为</w:t>
            </w:r>
            <w:r>
              <w:rPr>
                <w:rFonts w:hint="default" w:ascii="Times New Roman" w:hAnsi="Times New Roman" w:eastAsia="宋体" w:cs="Times New Roman"/>
                <w:bCs/>
                <w:color w:val="auto"/>
                <w:kern w:val="0"/>
                <w:sz w:val="24"/>
                <w:szCs w:val="24"/>
                <w:lang w:eastAsia="zh-CN"/>
              </w:rPr>
              <w:t>低浓度</w:t>
            </w:r>
            <w:r>
              <w:rPr>
                <w:rFonts w:hint="default" w:ascii="Times New Roman" w:hAnsi="Times New Roman" w:eastAsia="宋体" w:cs="Times New Roman"/>
                <w:bCs/>
                <w:color w:val="auto"/>
                <w:kern w:val="0"/>
                <w:sz w:val="24"/>
                <w:szCs w:val="24"/>
                <w:lang w:val="en-US" w:eastAsia="zh-CN"/>
              </w:rPr>
              <w:t>SS</w:t>
            </w:r>
            <w:r>
              <w:rPr>
                <w:rFonts w:hint="default" w:ascii="Times New Roman" w:hAnsi="Times New Roman" w:eastAsia="宋体" w:cs="Times New Roman"/>
                <w:bCs/>
                <w:color w:val="auto"/>
                <w:kern w:val="0"/>
                <w:sz w:val="24"/>
                <w:szCs w:val="24"/>
                <w:lang w:eastAsia="zh-CN"/>
              </w:rPr>
              <w:t>，不计量，可直接排入园区污水管网。</w:t>
            </w:r>
          </w:p>
          <w:p w14:paraId="203B7FEA">
            <w:pPr>
              <w:pStyle w:val="55"/>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b/>
                <w:bCs/>
                <w:color w:val="auto"/>
                <w:sz w:val="24"/>
                <w:szCs w:val="24"/>
              </w:rPr>
            </w:pPr>
            <w:r>
              <w:rPr>
                <w:rFonts w:hint="eastAsia"/>
                <w:b/>
                <w:bCs/>
                <w:color w:val="auto"/>
                <w:sz w:val="24"/>
                <w:szCs w:val="24"/>
                <w:lang w:eastAsia="zh-CN"/>
              </w:rPr>
              <w:t>（</w:t>
            </w:r>
            <w:r>
              <w:rPr>
                <w:rFonts w:hint="eastAsia"/>
                <w:b/>
                <w:bCs/>
                <w:color w:val="auto"/>
                <w:sz w:val="24"/>
                <w:szCs w:val="24"/>
                <w:lang w:val="en-US" w:eastAsia="zh-CN"/>
              </w:rPr>
              <w:t>2</w:t>
            </w:r>
            <w:r>
              <w:rPr>
                <w:rFonts w:hint="eastAsia"/>
                <w:b/>
                <w:bCs/>
                <w:color w:val="auto"/>
                <w:sz w:val="24"/>
                <w:szCs w:val="24"/>
                <w:lang w:eastAsia="zh-CN"/>
              </w:rPr>
              <w:t>）</w:t>
            </w:r>
            <w:r>
              <w:rPr>
                <w:b/>
                <w:bCs/>
                <w:color w:val="auto"/>
                <w:sz w:val="24"/>
                <w:szCs w:val="24"/>
              </w:rPr>
              <w:t>生活污水</w:t>
            </w:r>
          </w:p>
          <w:p w14:paraId="01D38173">
            <w:pPr>
              <w:pStyle w:val="116"/>
              <w:jc w:val="both"/>
              <w:rPr>
                <w:rFonts w:hint="default"/>
                <w:color w:val="auto"/>
                <w:sz w:val="24"/>
                <w:szCs w:val="24"/>
              </w:rPr>
            </w:pPr>
            <w:r>
              <w:rPr>
                <w:rFonts w:hint="default"/>
                <w:color w:val="auto"/>
                <w:sz w:val="24"/>
                <w:szCs w:val="24"/>
              </w:rPr>
              <w:t>项目职工定员</w:t>
            </w:r>
            <w:bookmarkStart w:id="36" w:name="不住产职工"/>
            <w:r>
              <w:rPr>
                <w:rFonts w:hint="default"/>
                <w:color w:val="auto"/>
                <w:sz w:val="24"/>
                <w:szCs w:val="24"/>
              </w:rPr>
              <w:t>3</w:t>
            </w:r>
            <w:bookmarkEnd w:id="36"/>
            <w:r>
              <w:rPr>
                <w:rFonts w:hint="default"/>
                <w:color w:val="auto"/>
                <w:sz w:val="24"/>
                <w:szCs w:val="24"/>
                <w:lang w:val="en-US" w:eastAsia="zh-CN"/>
              </w:rPr>
              <w:t>0</w:t>
            </w:r>
            <w:r>
              <w:rPr>
                <w:rFonts w:hint="default"/>
                <w:color w:val="auto"/>
                <w:sz w:val="24"/>
                <w:szCs w:val="24"/>
              </w:rPr>
              <w:t>人，均不住厂。根据《建筑给水排水设计规范》（GB 50015-2019），不住厂职工生活用水量取</w:t>
            </w:r>
            <w:bookmarkStart w:id="37" w:name="生活污水排放系数1"/>
            <w:r>
              <w:rPr>
                <w:rFonts w:hint="default"/>
                <w:color w:val="auto"/>
                <w:sz w:val="24"/>
                <w:szCs w:val="24"/>
              </w:rPr>
              <w:t>50</w:t>
            </w:r>
            <w:bookmarkEnd w:id="37"/>
            <w:r>
              <w:rPr>
                <w:rFonts w:hint="default"/>
                <w:color w:val="auto"/>
                <w:sz w:val="24"/>
                <w:szCs w:val="24"/>
              </w:rPr>
              <w:t>L/d·人，那么生活用水量为</w:t>
            </w:r>
            <w:bookmarkStart w:id="38" w:name="日生活用水量"/>
            <w:r>
              <w:rPr>
                <w:rFonts w:hint="default"/>
                <w:color w:val="auto"/>
                <w:sz w:val="24"/>
                <w:szCs w:val="24"/>
              </w:rPr>
              <w:fldChar w:fldCharType="begin"/>
            </w:r>
            <w:r>
              <w:rPr>
                <w:rFonts w:hint="default"/>
                <w:color w:val="auto"/>
                <w:sz w:val="24"/>
                <w:szCs w:val="24"/>
              </w:rPr>
              <w:instrText xml:space="preserve"> =生活污水排放系数1*不住产职工/1000 </w:instrText>
            </w:r>
            <w:r>
              <w:rPr>
                <w:rFonts w:hint="default"/>
                <w:color w:val="auto"/>
                <w:sz w:val="24"/>
                <w:szCs w:val="24"/>
              </w:rPr>
              <w:fldChar w:fldCharType="separate"/>
            </w:r>
            <w:r>
              <w:rPr>
                <w:rFonts w:hint="default"/>
                <w:color w:val="auto"/>
                <w:sz w:val="24"/>
                <w:szCs w:val="24"/>
              </w:rPr>
              <w:t>1.5</w:t>
            </w:r>
            <w:r>
              <w:rPr>
                <w:rFonts w:hint="default"/>
                <w:color w:val="auto"/>
                <w:sz w:val="24"/>
                <w:szCs w:val="24"/>
              </w:rPr>
              <w:fldChar w:fldCharType="end"/>
            </w:r>
            <w:bookmarkEnd w:id="38"/>
            <w:r>
              <w:rPr>
                <w:rFonts w:hint="default"/>
                <w:color w:val="auto"/>
                <w:sz w:val="24"/>
                <w:szCs w:val="24"/>
                <w:lang w:eastAsia="zh-CN"/>
              </w:rPr>
              <w:t>m</w:t>
            </w:r>
            <w:r>
              <w:rPr>
                <w:rFonts w:hint="default"/>
                <w:color w:val="auto"/>
                <w:sz w:val="24"/>
                <w:szCs w:val="24"/>
                <w:vertAlign w:val="superscript"/>
                <w:lang w:eastAsia="zh-CN"/>
              </w:rPr>
              <w:t>3</w:t>
            </w:r>
            <w:r>
              <w:rPr>
                <w:rFonts w:hint="default"/>
                <w:color w:val="auto"/>
                <w:sz w:val="24"/>
                <w:szCs w:val="24"/>
                <w:lang w:eastAsia="zh-CN"/>
              </w:rPr>
              <w:t>/d</w:t>
            </w:r>
            <w:r>
              <w:rPr>
                <w:rFonts w:hint="default"/>
                <w:color w:val="auto"/>
                <w:sz w:val="24"/>
                <w:szCs w:val="24"/>
              </w:rPr>
              <w:t>。年工作天数为3</w:t>
            </w:r>
            <w:r>
              <w:rPr>
                <w:rFonts w:hint="eastAsia"/>
                <w:color w:val="auto"/>
                <w:sz w:val="24"/>
                <w:szCs w:val="24"/>
                <w:lang w:val="en-US" w:eastAsia="zh-CN"/>
              </w:rPr>
              <w:t>3</w:t>
            </w:r>
            <w:r>
              <w:rPr>
                <w:rFonts w:hint="default"/>
                <w:color w:val="auto"/>
                <w:sz w:val="24"/>
                <w:szCs w:val="24"/>
              </w:rPr>
              <w:t>0天，则生活用水量</w:t>
            </w:r>
            <w:r>
              <w:rPr>
                <w:rFonts w:hint="default"/>
                <w:color w:val="auto"/>
                <w:sz w:val="24"/>
                <w:szCs w:val="24"/>
                <w:lang w:val="en-US" w:eastAsia="zh-CN"/>
              </w:rPr>
              <w:t>495</w:t>
            </w:r>
            <w:r>
              <w:rPr>
                <w:rFonts w:hint="default"/>
                <w:color w:val="auto"/>
                <w:sz w:val="24"/>
                <w:szCs w:val="24"/>
                <w:lang w:eastAsia="zh-CN"/>
              </w:rPr>
              <w:t>m</w:t>
            </w:r>
            <w:r>
              <w:rPr>
                <w:rFonts w:hint="default"/>
                <w:color w:val="auto"/>
                <w:sz w:val="24"/>
                <w:szCs w:val="24"/>
                <w:vertAlign w:val="superscript"/>
                <w:lang w:eastAsia="zh-CN"/>
              </w:rPr>
              <w:t>3</w:t>
            </w:r>
            <w:r>
              <w:rPr>
                <w:rFonts w:hint="default"/>
                <w:color w:val="auto"/>
                <w:sz w:val="24"/>
                <w:szCs w:val="24"/>
                <w:lang w:eastAsia="zh-CN"/>
              </w:rPr>
              <w:t>/a</w:t>
            </w:r>
            <w:r>
              <w:rPr>
                <w:rFonts w:hint="default"/>
                <w:color w:val="auto"/>
                <w:sz w:val="24"/>
                <w:szCs w:val="24"/>
              </w:rPr>
              <w:t>。生活废水排水系数按80%计，则污水排放量</w:t>
            </w:r>
            <w:r>
              <w:rPr>
                <w:rFonts w:hint="default"/>
                <w:color w:val="auto"/>
                <w:sz w:val="24"/>
                <w:szCs w:val="24"/>
                <w:lang w:val="en-US" w:eastAsia="zh-CN"/>
              </w:rPr>
              <w:t>396</w:t>
            </w:r>
            <w:r>
              <w:rPr>
                <w:rFonts w:hint="default"/>
                <w:color w:val="auto"/>
                <w:sz w:val="24"/>
                <w:szCs w:val="24"/>
                <w:lang w:eastAsia="zh-CN"/>
              </w:rPr>
              <w:t>m</w:t>
            </w:r>
            <w:r>
              <w:rPr>
                <w:rFonts w:hint="default"/>
                <w:color w:val="auto"/>
                <w:sz w:val="24"/>
                <w:szCs w:val="24"/>
                <w:vertAlign w:val="superscript"/>
                <w:lang w:eastAsia="zh-CN"/>
              </w:rPr>
              <w:t>3</w:t>
            </w:r>
            <w:r>
              <w:rPr>
                <w:rFonts w:hint="default"/>
                <w:color w:val="auto"/>
                <w:sz w:val="24"/>
                <w:szCs w:val="24"/>
                <w:lang w:eastAsia="zh-CN"/>
              </w:rPr>
              <w:t>/a</w:t>
            </w:r>
            <w:r>
              <w:rPr>
                <w:rFonts w:hint="default"/>
                <w:color w:val="auto"/>
                <w:sz w:val="24"/>
                <w:szCs w:val="24"/>
              </w:rPr>
              <w:t>。</w:t>
            </w:r>
          </w:p>
          <w:p w14:paraId="0CEEF2DB">
            <w:pPr>
              <w:pStyle w:val="116"/>
              <w:jc w:val="left"/>
              <w:rPr>
                <w:rFonts w:hint="eastAsia"/>
                <w:color w:val="auto"/>
                <w:sz w:val="24"/>
                <w:szCs w:val="24"/>
              </w:rPr>
            </w:pPr>
            <w:r>
              <w:rPr>
                <w:rFonts w:hint="default"/>
                <w:color w:val="auto"/>
                <w:sz w:val="24"/>
                <w:szCs w:val="24"/>
              </w:rPr>
              <w:t>生活污水的主要污染物为COD、BOD</w:t>
            </w:r>
            <w:r>
              <w:rPr>
                <w:rFonts w:hint="default"/>
                <w:color w:val="auto"/>
                <w:sz w:val="24"/>
                <w:szCs w:val="24"/>
                <w:vertAlign w:val="subscript"/>
              </w:rPr>
              <w:t>5</w:t>
            </w:r>
            <w:r>
              <w:rPr>
                <w:rFonts w:hint="default"/>
                <w:color w:val="auto"/>
                <w:sz w:val="24"/>
                <w:szCs w:val="24"/>
              </w:rPr>
              <w:t>、SS、</w:t>
            </w:r>
            <w:r>
              <w:rPr>
                <w:rFonts w:hint="default"/>
                <w:color w:val="auto"/>
                <w:sz w:val="24"/>
                <w:szCs w:val="24"/>
                <w:lang w:eastAsia="zh-CN"/>
              </w:rPr>
              <w:t>氨氮、总磷、总氮</w:t>
            </w:r>
            <w:r>
              <w:rPr>
                <w:rFonts w:hint="default"/>
                <w:color w:val="auto"/>
                <w:sz w:val="24"/>
                <w:szCs w:val="24"/>
              </w:rPr>
              <w:t>等，参考《给排水设计手册》（第五册城镇排水）典型的生活污水水质，主要污染物浓度选取：COD：</w:t>
            </w:r>
            <w:r>
              <w:rPr>
                <w:rFonts w:hint="default"/>
                <w:color w:val="auto"/>
                <w:sz w:val="24"/>
                <w:szCs w:val="24"/>
                <w:lang w:val="en-US" w:eastAsia="zh-CN"/>
              </w:rPr>
              <w:t>3</w:t>
            </w:r>
            <w:r>
              <w:rPr>
                <w:rFonts w:hint="default"/>
                <w:color w:val="auto"/>
                <w:sz w:val="24"/>
                <w:szCs w:val="24"/>
              </w:rPr>
              <w:t>00mg/L、BOD</w:t>
            </w:r>
            <w:r>
              <w:rPr>
                <w:rFonts w:hint="default"/>
                <w:color w:val="auto"/>
                <w:sz w:val="24"/>
                <w:szCs w:val="24"/>
                <w:vertAlign w:val="subscript"/>
                <w:lang w:val="en-US" w:eastAsia="zh-CN"/>
              </w:rPr>
              <w:t>5</w:t>
            </w:r>
            <w:r>
              <w:rPr>
                <w:rFonts w:hint="default"/>
                <w:color w:val="auto"/>
                <w:sz w:val="24"/>
                <w:szCs w:val="24"/>
              </w:rPr>
              <w:t>：</w:t>
            </w:r>
            <w:r>
              <w:rPr>
                <w:rFonts w:hint="default"/>
                <w:color w:val="auto"/>
                <w:sz w:val="24"/>
                <w:szCs w:val="24"/>
                <w:lang w:val="en-US" w:eastAsia="zh-CN"/>
              </w:rPr>
              <w:t>15</w:t>
            </w:r>
            <w:r>
              <w:rPr>
                <w:rFonts w:hint="default"/>
                <w:color w:val="auto"/>
                <w:sz w:val="24"/>
                <w:szCs w:val="24"/>
              </w:rPr>
              <w:t>0mg/L、SS：</w:t>
            </w:r>
            <w:r>
              <w:rPr>
                <w:rFonts w:hint="default"/>
                <w:color w:val="auto"/>
                <w:sz w:val="24"/>
                <w:szCs w:val="24"/>
                <w:lang w:val="en-US" w:eastAsia="zh-CN"/>
              </w:rPr>
              <w:t>15</w:t>
            </w:r>
            <w:r>
              <w:rPr>
                <w:rFonts w:hint="default"/>
                <w:color w:val="auto"/>
                <w:sz w:val="24"/>
                <w:szCs w:val="24"/>
              </w:rPr>
              <w:t>0mg/L</w:t>
            </w:r>
            <w:r>
              <w:rPr>
                <w:rFonts w:hint="default"/>
                <w:color w:val="auto"/>
                <w:sz w:val="24"/>
                <w:szCs w:val="24"/>
                <w:lang w:eastAsia="zh-CN"/>
              </w:rPr>
              <w:t>、氨氮</w:t>
            </w:r>
            <w:r>
              <w:rPr>
                <w:rFonts w:hint="default"/>
                <w:color w:val="auto"/>
                <w:sz w:val="24"/>
                <w:szCs w:val="24"/>
              </w:rPr>
              <w:t>：</w:t>
            </w:r>
            <w:r>
              <w:rPr>
                <w:rFonts w:hint="default"/>
                <w:color w:val="auto"/>
                <w:sz w:val="24"/>
                <w:szCs w:val="24"/>
                <w:lang w:val="en-US" w:eastAsia="zh-CN"/>
              </w:rPr>
              <w:t>25</w:t>
            </w:r>
            <w:r>
              <w:rPr>
                <w:rFonts w:hint="default"/>
                <w:color w:val="auto"/>
                <w:sz w:val="24"/>
                <w:szCs w:val="24"/>
              </w:rPr>
              <w:t>mg/L、</w:t>
            </w:r>
            <w:r>
              <w:rPr>
                <w:rFonts w:hint="default"/>
                <w:color w:val="auto"/>
                <w:sz w:val="24"/>
                <w:szCs w:val="24"/>
                <w:lang w:eastAsia="zh-CN"/>
              </w:rPr>
              <w:t>总磷：</w:t>
            </w:r>
            <w:r>
              <w:rPr>
                <w:rFonts w:hint="default"/>
                <w:color w:val="auto"/>
                <w:sz w:val="24"/>
                <w:szCs w:val="24"/>
                <w:lang w:val="en-US" w:eastAsia="zh-CN"/>
              </w:rPr>
              <w:t>3</w:t>
            </w:r>
            <w:r>
              <w:rPr>
                <w:rFonts w:hint="default"/>
                <w:color w:val="auto"/>
                <w:sz w:val="24"/>
                <w:szCs w:val="24"/>
              </w:rPr>
              <w:t>mg/L</w:t>
            </w:r>
            <w:r>
              <w:rPr>
                <w:rFonts w:hint="default"/>
                <w:color w:val="auto"/>
                <w:sz w:val="24"/>
                <w:szCs w:val="24"/>
                <w:lang w:eastAsia="zh-CN"/>
              </w:rPr>
              <w:t>、总氮：</w:t>
            </w:r>
            <w:r>
              <w:rPr>
                <w:rFonts w:hint="default"/>
                <w:color w:val="auto"/>
                <w:sz w:val="24"/>
                <w:szCs w:val="24"/>
                <w:lang w:val="en-US" w:eastAsia="zh-CN"/>
              </w:rPr>
              <w:t>30</w:t>
            </w:r>
            <w:r>
              <w:rPr>
                <w:rFonts w:hint="default"/>
                <w:color w:val="auto"/>
                <w:sz w:val="24"/>
                <w:szCs w:val="24"/>
              </w:rPr>
              <w:t>mg/L。参照《</w:t>
            </w:r>
            <w:r>
              <w:rPr>
                <w:rFonts w:hint="default"/>
                <w:color w:val="auto"/>
                <w:sz w:val="24"/>
                <w:szCs w:val="24"/>
                <w:lang w:eastAsia="zh-CN"/>
              </w:rPr>
              <w:t>福州</w:t>
            </w:r>
            <w:r>
              <w:rPr>
                <w:rFonts w:hint="default"/>
                <w:color w:val="auto"/>
                <w:sz w:val="24"/>
                <w:szCs w:val="24"/>
              </w:rPr>
              <w:t>市</w:t>
            </w:r>
            <w:r>
              <w:rPr>
                <w:rFonts w:hint="default"/>
                <w:color w:val="auto"/>
                <w:sz w:val="24"/>
                <w:szCs w:val="24"/>
                <w:lang w:eastAsia="zh-CN"/>
              </w:rPr>
              <w:t>住</w:t>
            </w:r>
            <w:r>
              <w:rPr>
                <w:rFonts w:hint="default"/>
                <w:color w:val="auto"/>
                <w:sz w:val="24"/>
                <w:szCs w:val="24"/>
              </w:rPr>
              <w:t>宅小区化粪池污染物去除效果调查与分析》，化粪池COD、BOD</w:t>
            </w:r>
            <w:r>
              <w:rPr>
                <w:rFonts w:hint="default"/>
                <w:color w:val="auto"/>
                <w:sz w:val="24"/>
                <w:szCs w:val="24"/>
                <w:vertAlign w:val="subscript"/>
              </w:rPr>
              <w:t>5</w:t>
            </w:r>
            <w:r>
              <w:rPr>
                <w:rFonts w:hint="default"/>
                <w:color w:val="auto"/>
                <w:sz w:val="24"/>
                <w:szCs w:val="24"/>
              </w:rPr>
              <w:t>、SS的去除率分别为</w:t>
            </w:r>
            <w:r>
              <w:rPr>
                <w:rFonts w:hint="default"/>
                <w:color w:val="auto"/>
                <w:sz w:val="24"/>
                <w:szCs w:val="24"/>
                <w:lang w:val="en-US" w:eastAsia="zh-CN"/>
              </w:rPr>
              <w:t>20</w:t>
            </w:r>
            <w:r>
              <w:rPr>
                <w:rFonts w:hint="default"/>
                <w:color w:val="auto"/>
                <w:sz w:val="24"/>
                <w:szCs w:val="24"/>
              </w:rPr>
              <w:t>%</w:t>
            </w:r>
            <w:r>
              <w:rPr>
                <w:rFonts w:hint="default"/>
                <w:color w:val="auto"/>
                <w:sz w:val="24"/>
                <w:szCs w:val="24"/>
                <w:lang w:eastAsia="zh-CN"/>
              </w:rPr>
              <w:t>、</w:t>
            </w:r>
            <w:r>
              <w:rPr>
                <w:rFonts w:hint="default"/>
                <w:color w:val="auto"/>
                <w:sz w:val="24"/>
                <w:szCs w:val="24"/>
              </w:rPr>
              <w:t>1</w:t>
            </w:r>
            <w:r>
              <w:rPr>
                <w:rFonts w:hint="default"/>
                <w:color w:val="auto"/>
                <w:sz w:val="24"/>
                <w:szCs w:val="24"/>
                <w:lang w:val="en-US" w:eastAsia="zh-CN"/>
              </w:rPr>
              <w:t>8</w:t>
            </w:r>
            <w:r>
              <w:rPr>
                <w:rFonts w:hint="default"/>
                <w:color w:val="auto"/>
                <w:sz w:val="24"/>
                <w:szCs w:val="24"/>
              </w:rPr>
              <w:t>%、</w:t>
            </w:r>
            <w:r>
              <w:rPr>
                <w:rFonts w:hint="default"/>
                <w:color w:val="auto"/>
                <w:sz w:val="24"/>
                <w:szCs w:val="24"/>
                <w:lang w:val="en-US" w:eastAsia="zh-CN"/>
              </w:rPr>
              <w:t>46</w:t>
            </w:r>
            <w:r>
              <w:rPr>
                <w:rFonts w:hint="default"/>
                <w:color w:val="auto"/>
                <w:sz w:val="24"/>
                <w:szCs w:val="24"/>
              </w:rPr>
              <w:t>%</w:t>
            </w:r>
            <w:r>
              <w:rPr>
                <w:rFonts w:hint="default"/>
                <w:color w:val="auto"/>
                <w:sz w:val="24"/>
                <w:szCs w:val="24"/>
                <w:lang w:eastAsia="zh-CN"/>
              </w:rPr>
              <w:t>，</w:t>
            </w:r>
            <w:r>
              <w:rPr>
                <w:rFonts w:hint="default"/>
                <w:color w:val="auto"/>
                <w:sz w:val="24"/>
                <w:szCs w:val="24"/>
              </w:rPr>
              <w:t>参考环评手册中《常用污水处理设备去除率》</w:t>
            </w:r>
            <w:r>
              <w:rPr>
                <w:rFonts w:hint="default"/>
                <w:color w:val="auto"/>
                <w:sz w:val="24"/>
                <w:szCs w:val="24"/>
                <w:lang w:eastAsia="zh-CN"/>
              </w:rPr>
              <w:t>，</w:t>
            </w:r>
            <w:r>
              <w:rPr>
                <w:rFonts w:hint="default"/>
                <w:color w:val="auto"/>
                <w:sz w:val="24"/>
                <w:szCs w:val="24"/>
              </w:rPr>
              <w:t>化粪池</w:t>
            </w:r>
            <w:r>
              <w:rPr>
                <w:rFonts w:hint="default"/>
                <w:color w:val="auto"/>
                <w:sz w:val="24"/>
                <w:szCs w:val="24"/>
                <w:lang w:eastAsia="zh-CN"/>
              </w:rPr>
              <w:t>氨氮、总磷、总氮的</w:t>
            </w:r>
            <w:r>
              <w:rPr>
                <w:rFonts w:hint="default"/>
                <w:color w:val="auto"/>
                <w:sz w:val="24"/>
                <w:szCs w:val="24"/>
              </w:rPr>
              <w:t>去除率分别为3%、10%</w:t>
            </w:r>
            <w:r>
              <w:rPr>
                <w:rFonts w:hint="default"/>
                <w:color w:val="auto"/>
                <w:sz w:val="24"/>
                <w:szCs w:val="24"/>
                <w:lang w:eastAsia="zh-CN"/>
              </w:rPr>
              <w:t>、</w:t>
            </w:r>
            <w:r>
              <w:rPr>
                <w:rFonts w:hint="default"/>
                <w:color w:val="auto"/>
                <w:sz w:val="24"/>
                <w:szCs w:val="24"/>
              </w:rPr>
              <w:t>3%</w:t>
            </w:r>
            <w:r>
              <w:rPr>
                <w:rFonts w:hint="default"/>
                <w:color w:val="auto"/>
                <w:sz w:val="24"/>
                <w:szCs w:val="24"/>
                <w:lang w:eastAsia="zh-CN"/>
              </w:rPr>
              <w:t>，</w:t>
            </w:r>
            <w:r>
              <w:rPr>
                <w:rFonts w:hint="default"/>
                <w:color w:val="auto"/>
                <w:sz w:val="24"/>
                <w:szCs w:val="24"/>
              </w:rPr>
              <w:t>则经三级化粪池处理后的废水水质大体为COD：</w:t>
            </w:r>
            <w:r>
              <w:rPr>
                <w:rFonts w:hint="default"/>
                <w:color w:val="auto"/>
                <w:sz w:val="24"/>
                <w:szCs w:val="24"/>
                <w:lang w:val="en-US" w:eastAsia="zh-CN"/>
              </w:rPr>
              <w:t>240</w:t>
            </w:r>
            <w:r>
              <w:rPr>
                <w:rFonts w:hint="default"/>
                <w:color w:val="auto"/>
                <w:sz w:val="24"/>
                <w:szCs w:val="24"/>
              </w:rPr>
              <w:t>mg/L、BOD</w:t>
            </w:r>
            <w:r>
              <w:rPr>
                <w:rFonts w:hint="default"/>
                <w:color w:val="auto"/>
                <w:sz w:val="24"/>
                <w:szCs w:val="24"/>
                <w:vertAlign w:val="subscript"/>
                <w:lang w:val="en-US" w:eastAsia="zh-CN"/>
              </w:rPr>
              <w:t>5</w:t>
            </w:r>
            <w:r>
              <w:rPr>
                <w:rFonts w:hint="default"/>
                <w:color w:val="auto"/>
                <w:sz w:val="24"/>
                <w:szCs w:val="24"/>
              </w:rPr>
              <w:t>：</w:t>
            </w:r>
            <w:r>
              <w:rPr>
                <w:rFonts w:hint="default"/>
                <w:color w:val="auto"/>
                <w:sz w:val="24"/>
                <w:szCs w:val="24"/>
                <w:lang w:val="en-US" w:eastAsia="zh-CN"/>
              </w:rPr>
              <w:t>123</w:t>
            </w:r>
            <w:r>
              <w:rPr>
                <w:rFonts w:hint="default"/>
                <w:color w:val="auto"/>
                <w:sz w:val="24"/>
                <w:szCs w:val="24"/>
              </w:rPr>
              <w:t>mg/L、SS：</w:t>
            </w:r>
            <w:r>
              <w:rPr>
                <w:rFonts w:hint="default"/>
                <w:color w:val="auto"/>
                <w:sz w:val="24"/>
                <w:szCs w:val="24"/>
                <w:lang w:val="en-US" w:eastAsia="zh-CN"/>
              </w:rPr>
              <w:t>81</w:t>
            </w:r>
            <w:r>
              <w:rPr>
                <w:rFonts w:hint="default"/>
                <w:color w:val="auto"/>
                <w:sz w:val="24"/>
                <w:szCs w:val="24"/>
              </w:rPr>
              <w:t>mg/L</w:t>
            </w:r>
            <w:r>
              <w:rPr>
                <w:rFonts w:hint="default"/>
                <w:color w:val="auto"/>
                <w:sz w:val="24"/>
                <w:szCs w:val="24"/>
                <w:lang w:eastAsia="zh-CN"/>
              </w:rPr>
              <w:t>、氨氮</w:t>
            </w:r>
            <w:r>
              <w:rPr>
                <w:rFonts w:hint="default"/>
                <w:color w:val="auto"/>
                <w:sz w:val="24"/>
                <w:szCs w:val="24"/>
              </w:rPr>
              <w:t>：</w:t>
            </w:r>
            <w:r>
              <w:rPr>
                <w:rFonts w:hint="default"/>
                <w:color w:val="auto"/>
                <w:sz w:val="24"/>
                <w:szCs w:val="24"/>
                <w:lang w:val="en-US" w:eastAsia="zh-CN"/>
              </w:rPr>
              <w:t>24.25</w:t>
            </w:r>
            <w:r>
              <w:rPr>
                <w:rFonts w:hint="default"/>
                <w:color w:val="auto"/>
                <w:sz w:val="24"/>
                <w:szCs w:val="24"/>
              </w:rPr>
              <w:t>mg/L、</w:t>
            </w:r>
            <w:r>
              <w:rPr>
                <w:rFonts w:hint="default"/>
                <w:color w:val="auto"/>
                <w:sz w:val="24"/>
                <w:szCs w:val="24"/>
                <w:lang w:eastAsia="zh-CN"/>
              </w:rPr>
              <w:t>总磷：</w:t>
            </w:r>
            <w:r>
              <w:rPr>
                <w:rFonts w:hint="default"/>
                <w:color w:val="auto"/>
                <w:sz w:val="24"/>
                <w:szCs w:val="24"/>
                <w:lang w:val="en-US" w:eastAsia="zh-CN"/>
              </w:rPr>
              <w:t>2.7</w:t>
            </w:r>
            <w:r>
              <w:rPr>
                <w:rFonts w:hint="default"/>
                <w:color w:val="auto"/>
                <w:sz w:val="24"/>
                <w:szCs w:val="24"/>
              </w:rPr>
              <w:t>mg/L</w:t>
            </w:r>
            <w:r>
              <w:rPr>
                <w:rFonts w:hint="default"/>
                <w:color w:val="auto"/>
                <w:sz w:val="24"/>
                <w:szCs w:val="24"/>
                <w:lang w:eastAsia="zh-CN"/>
              </w:rPr>
              <w:t>、总氮：</w:t>
            </w:r>
            <w:r>
              <w:rPr>
                <w:rFonts w:hint="default"/>
                <w:color w:val="auto"/>
                <w:sz w:val="24"/>
                <w:szCs w:val="24"/>
                <w:lang w:val="en-US" w:eastAsia="zh-CN"/>
              </w:rPr>
              <w:t>29.1</w:t>
            </w:r>
            <w:r>
              <w:rPr>
                <w:rFonts w:hint="default"/>
                <w:color w:val="auto"/>
                <w:sz w:val="24"/>
                <w:szCs w:val="24"/>
              </w:rPr>
              <w:t>mg/L，外排水质可符合《污水综合排放标准》（GB8978-1996）中表4三级排放标准（</w:t>
            </w:r>
            <w:r>
              <w:rPr>
                <w:rFonts w:hint="default"/>
                <w:color w:val="auto"/>
                <w:sz w:val="24"/>
                <w:szCs w:val="24"/>
                <w:lang w:eastAsia="zh-CN"/>
              </w:rPr>
              <w:t>氨氮、总磷、总氮</w:t>
            </w:r>
            <w:r>
              <w:rPr>
                <w:rFonts w:hint="default"/>
                <w:color w:val="auto"/>
                <w:sz w:val="24"/>
                <w:szCs w:val="24"/>
              </w:rPr>
              <w:t>排放浓度参照《污水排入城镇下水道水质标准》（GB</w:t>
            </w:r>
            <w:r>
              <w:rPr>
                <w:rFonts w:hint="default"/>
                <w:color w:val="auto"/>
                <w:sz w:val="24"/>
                <w:szCs w:val="24"/>
                <w:lang w:val="en-US"/>
              </w:rPr>
              <w:t>/T</w:t>
            </w:r>
            <w:r>
              <w:rPr>
                <w:rFonts w:hint="default"/>
                <w:color w:val="auto"/>
                <w:sz w:val="24"/>
                <w:szCs w:val="24"/>
              </w:rPr>
              <w:t xml:space="preserve"> 31962-2015）表1B级标准）后通过工业区污水管网进入污水处理厂处理。</w:t>
            </w:r>
            <w:r>
              <w:rPr>
                <w:rFonts w:hint="eastAsia"/>
                <w:color w:val="auto"/>
                <w:sz w:val="24"/>
                <w:szCs w:val="24"/>
              </w:rPr>
              <w:t>项目生活污水产生及排放情况详见</w:t>
            </w:r>
            <w:r>
              <w:rPr>
                <w:rFonts w:hint="eastAsia"/>
                <w:color w:val="auto"/>
                <w:sz w:val="24"/>
                <w:szCs w:val="24"/>
              </w:rPr>
              <w:fldChar w:fldCharType="begin"/>
            </w:r>
            <w:r>
              <w:rPr>
                <w:rFonts w:hint="eastAsia"/>
                <w:color w:val="auto"/>
                <w:sz w:val="24"/>
                <w:szCs w:val="24"/>
              </w:rPr>
              <w:instrText xml:space="preserve"> REF _Ref482280541 \n \h  \* MERGEFORMAT </w:instrText>
            </w:r>
            <w:r>
              <w:rPr>
                <w:rFonts w:hint="eastAsia"/>
                <w:color w:val="auto"/>
                <w:sz w:val="24"/>
                <w:szCs w:val="24"/>
              </w:rPr>
              <w:fldChar w:fldCharType="separate"/>
            </w:r>
            <w:r>
              <w:rPr>
                <w:rFonts w:hint="eastAsia"/>
                <w:color w:val="auto"/>
                <w:sz w:val="24"/>
                <w:szCs w:val="24"/>
              </w:rPr>
              <w:t>表4.2-1</w:t>
            </w:r>
            <w:r>
              <w:rPr>
                <w:rFonts w:hint="eastAsia"/>
                <w:color w:val="auto"/>
                <w:sz w:val="24"/>
                <w:szCs w:val="24"/>
              </w:rPr>
              <w:fldChar w:fldCharType="end"/>
            </w:r>
            <w:r>
              <w:rPr>
                <w:rFonts w:hint="eastAsia"/>
                <w:color w:val="auto"/>
                <w:sz w:val="24"/>
                <w:szCs w:val="24"/>
              </w:rPr>
              <w:t>。</w:t>
            </w:r>
          </w:p>
          <w:p w14:paraId="7BEC087F">
            <w:pPr>
              <w:keepNext w:val="0"/>
              <w:keepLines w:val="0"/>
              <w:pageBreakBefore w:val="0"/>
              <w:widowControl w:val="0"/>
              <w:numPr>
                <w:ilvl w:val="0"/>
                <w:numId w:val="0"/>
              </w:numPr>
              <w:tabs>
                <w:tab w:val="left" w:pos="482"/>
              </w:tabs>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eastAsia="宋体" w:cs="Times New Roman"/>
                <w:b/>
                <w:bCs/>
                <w:color w:val="auto"/>
              </w:rPr>
            </w:pPr>
            <w:r>
              <w:rPr>
                <w:rFonts w:hint="eastAsia" w:ascii="Times New Roman" w:hAnsi="Times New Roman" w:eastAsia="宋体" w:cs="Times New Roman"/>
                <w:b/>
                <w:bCs/>
                <w:color w:val="auto"/>
                <w:kern w:val="0"/>
                <w:sz w:val="24"/>
                <w:szCs w:val="24"/>
                <w:lang w:val="en-US" w:eastAsia="zh-CN" w:bidi="ar-SA"/>
              </w:rPr>
              <w:fldChar w:fldCharType="begin"/>
            </w:r>
            <w:r>
              <w:rPr>
                <w:rFonts w:hint="eastAsia" w:ascii="Times New Roman" w:hAnsi="Times New Roman" w:eastAsia="宋体" w:cs="Times New Roman"/>
                <w:b/>
                <w:bCs/>
                <w:color w:val="auto"/>
                <w:kern w:val="0"/>
                <w:sz w:val="24"/>
                <w:szCs w:val="24"/>
                <w:lang w:val="en-US" w:eastAsia="zh-CN" w:bidi="ar-SA"/>
              </w:rPr>
              <w:instrText xml:space="preserve"> REF _Ref482280541 \n \h  \* MERGEFORMAT </w:instrText>
            </w:r>
            <w:r>
              <w:rPr>
                <w:rFonts w:hint="eastAsia" w:ascii="Times New Roman" w:hAnsi="Times New Roman" w:eastAsia="宋体" w:cs="Times New Roman"/>
                <w:b/>
                <w:bCs/>
                <w:color w:val="auto"/>
                <w:kern w:val="0"/>
                <w:sz w:val="24"/>
                <w:szCs w:val="24"/>
                <w:lang w:val="en-US" w:eastAsia="zh-CN" w:bidi="ar-SA"/>
              </w:rPr>
              <w:fldChar w:fldCharType="separate"/>
            </w:r>
            <w:r>
              <w:rPr>
                <w:rFonts w:hint="eastAsia" w:ascii="Times New Roman" w:hAnsi="Times New Roman" w:eastAsia="宋体" w:cs="Times New Roman"/>
                <w:b/>
                <w:bCs/>
                <w:color w:val="auto"/>
                <w:kern w:val="0"/>
                <w:sz w:val="24"/>
                <w:szCs w:val="24"/>
                <w:lang w:val="en-US" w:eastAsia="zh-CN" w:bidi="ar-SA"/>
              </w:rPr>
              <w:t>表4.2-1</w:t>
            </w:r>
            <w:r>
              <w:rPr>
                <w:rFonts w:hint="eastAsia" w:ascii="Times New Roman" w:hAnsi="Times New Roman" w:eastAsia="宋体" w:cs="Times New Roman"/>
                <w:b/>
                <w:bCs/>
                <w:color w:val="auto"/>
                <w:kern w:val="0"/>
                <w:sz w:val="24"/>
                <w:szCs w:val="24"/>
                <w:lang w:val="en-US" w:eastAsia="zh-CN" w:bidi="ar-SA"/>
              </w:rPr>
              <w:fldChar w:fldCharType="end"/>
            </w:r>
            <w:r>
              <w:rPr>
                <w:rFonts w:hint="eastAsia" w:ascii="Times New Roman" w:hAnsi="Times New Roman" w:eastAsia="宋体" w:cs="Times New Roman"/>
                <w:b/>
                <w:bCs/>
                <w:color w:val="auto"/>
                <w:kern w:val="0"/>
                <w:sz w:val="24"/>
                <w:szCs w:val="24"/>
                <w:lang w:val="en-US" w:eastAsia="zh-CN" w:bidi="ar-SA"/>
              </w:rPr>
              <w:t xml:space="preserve"> </w:t>
            </w:r>
            <w:r>
              <w:rPr>
                <w:rFonts w:hint="default" w:ascii="Times New Roman" w:hAnsi="Times New Roman" w:eastAsia="宋体" w:cs="Times New Roman"/>
                <w:b/>
                <w:bCs/>
                <w:color w:val="auto"/>
                <w:kern w:val="0"/>
                <w:sz w:val="24"/>
                <w:szCs w:val="24"/>
                <w:lang w:val="en-US" w:eastAsia="zh-CN" w:bidi="ar-SA"/>
              </w:rPr>
              <w:t>项目生活污水产生及排放情况</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37"/>
              <w:gridCol w:w="959"/>
              <w:gridCol w:w="1046"/>
              <w:gridCol w:w="859"/>
              <w:gridCol w:w="871"/>
              <w:gridCol w:w="911"/>
              <w:gridCol w:w="747"/>
              <w:gridCol w:w="747"/>
            </w:tblGrid>
            <w:tr w14:paraId="696EB7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8" w:type="pct"/>
                  <w:tcBorders>
                    <w:tl2br w:val="nil"/>
                    <w:tr2bl w:val="nil"/>
                  </w:tcBorders>
                  <w:noWrap w:val="0"/>
                  <w:vAlign w:val="center"/>
                </w:tcPr>
                <w:p w14:paraId="426E7A66">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污染物</w:t>
                  </w:r>
                </w:p>
              </w:tc>
              <w:tc>
                <w:tcPr>
                  <w:tcW w:w="565" w:type="pct"/>
                  <w:tcBorders>
                    <w:tl2br w:val="nil"/>
                    <w:tr2bl w:val="nil"/>
                  </w:tcBorders>
                  <w:noWrap w:val="0"/>
                  <w:vAlign w:val="center"/>
                </w:tcPr>
                <w:p w14:paraId="1074AB9E">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废水量</w:t>
                  </w:r>
                </w:p>
              </w:tc>
              <w:tc>
                <w:tcPr>
                  <w:tcW w:w="617" w:type="pct"/>
                  <w:tcBorders>
                    <w:tl2br w:val="nil"/>
                    <w:tr2bl w:val="nil"/>
                  </w:tcBorders>
                  <w:noWrap w:val="0"/>
                  <w:vAlign w:val="center"/>
                </w:tcPr>
                <w:p w14:paraId="3DDF38D2">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COD</w:t>
                  </w:r>
                </w:p>
              </w:tc>
              <w:tc>
                <w:tcPr>
                  <w:tcW w:w="506" w:type="pct"/>
                  <w:tcBorders>
                    <w:tl2br w:val="nil"/>
                    <w:tr2bl w:val="nil"/>
                  </w:tcBorders>
                  <w:noWrap w:val="0"/>
                  <w:vAlign w:val="center"/>
                </w:tcPr>
                <w:p w14:paraId="64BA5F70">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BOD</w:t>
                  </w:r>
                  <w:r>
                    <w:rPr>
                      <w:rFonts w:hint="default" w:ascii="Times New Roman" w:hAnsi="Times New Roman" w:eastAsia="宋体" w:cs="Times New Roman"/>
                      <w:bCs/>
                      <w:color w:val="auto"/>
                      <w:kern w:val="21"/>
                      <w:sz w:val="21"/>
                      <w:szCs w:val="21"/>
                      <w:vertAlign w:val="subscript"/>
                      <w:lang w:val="en-US" w:eastAsia="zh-CN" w:bidi="ar-SA"/>
                    </w:rPr>
                    <w:t>5</w:t>
                  </w:r>
                </w:p>
              </w:tc>
              <w:tc>
                <w:tcPr>
                  <w:tcW w:w="513" w:type="pct"/>
                  <w:tcBorders>
                    <w:tl2br w:val="nil"/>
                    <w:tr2bl w:val="nil"/>
                  </w:tcBorders>
                  <w:noWrap w:val="0"/>
                  <w:vAlign w:val="center"/>
                </w:tcPr>
                <w:p w14:paraId="62381705">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SS</w:t>
                  </w:r>
                </w:p>
              </w:tc>
              <w:tc>
                <w:tcPr>
                  <w:tcW w:w="537" w:type="pct"/>
                  <w:tcBorders>
                    <w:tl2br w:val="nil"/>
                    <w:tr2bl w:val="nil"/>
                  </w:tcBorders>
                  <w:noWrap w:val="0"/>
                  <w:vAlign w:val="center"/>
                </w:tcPr>
                <w:p w14:paraId="33BF6C4E">
                  <w:pPr>
                    <w:pStyle w:val="7"/>
                    <w:wordWrap/>
                    <w:overflowPunct/>
                    <w:adjustRightInd/>
                    <w:snapToGrid w:val="0"/>
                    <w:spacing w:line="240" w:lineRule="auto"/>
                    <w:ind w:firstLine="0" w:firstLineChars="0"/>
                    <w:jc w:val="center"/>
                    <w:rPr>
                      <w:rFonts w:hint="eastAsia"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氨氮</w:t>
                  </w:r>
                </w:p>
              </w:tc>
              <w:tc>
                <w:tcPr>
                  <w:tcW w:w="440" w:type="pct"/>
                  <w:tcBorders>
                    <w:tl2br w:val="nil"/>
                    <w:tr2bl w:val="nil"/>
                  </w:tcBorders>
                  <w:noWrap w:val="0"/>
                  <w:vAlign w:val="center"/>
                </w:tcPr>
                <w:p w14:paraId="5A4950A2">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总磷</w:t>
                  </w:r>
                </w:p>
              </w:tc>
              <w:tc>
                <w:tcPr>
                  <w:tcW w:w="440" w:type="pct"/>
                  <w:tcBorders>
                    <w:tl2br w:val="nil"/>
                    <w:tr2bl w:val="nil"/>
                  </w:tcBorders>
                  <w:noWrap w:val="0"/>
                  <w:vAlign w:val="center"/>
                </w:tcPr>
                <w:p w14:paraId="0739804E">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总氮</w:t>
                  </w:r>
                </w:p>
              </w:tc>
            </w:tr>
            <w:tr w14:paraId="13D66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8" w:type="pct"/>
                  <w:tcBorders>
                    <w:tl2br w:val="nil"/>
                    <w:tr2bl w:val="nil"/>
                  </w:tcBorders>
                  <w:noWrap w:val="0"/>
                  <w:vAlign w:val="center"/>
                </w:tcPr>
                <w:p w14:paraId="750E7ED3">
                  <w:pPr>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产生浓度（mg/L）</w:t>
                  </w:r>
                </w:p>
              </w:tc>
              <w:tc>
                <w:tcPr>
                  <w:tcW w:w="565" w:type="pct"/>
                  <w:vMerge w:val="restart"/>
                  <w:tcBorders>
                    <w:tl2br w:val="nil"/>
                    <w:tr2bl w:val="nil"/>
                  </w:tcBorders>
                  <w:noWrap w:val="0"/>
                  <w:vAlign w:val="center"/>
                </w:tcPr>
                <w:p w14:paraId="14E61E97">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eastAsia="宋体" w:cs="Times New Roman"/>
                      <w:bCs/>
                      <w:color w:val="auto"/>
                      <w:kern w:val="21"/>
                      <w:sz w:val="21"/>
                      <w:szCs w:val="21"/>
                      <w:lang w:val="en-US" w:eastAsia="zh-CN" w:bidi="ar-SA"/>
                    </w:rPr>
                    <w:t>396</w:t>
                  </w:r>
                  <w:r>
                    <w:rPr>
                      <w:rFonts w:hint="default" w:ascii="Times New Roman" w:hAnsi="Times New Roman" w:eastAsia="宋体" w:cs="Times New Roman"/>
                      <w:bCs/>
                      <w:color w:val="auto"/>
                      <w:kern w:val="21"/>
                      <w:sz w:val="21"/>
                      <w:szCs w:val="21"/>
                      <w:lang w:val="en-US" w:eastAsia="zh-CN" w:bidi="ar-SA"/>
                    </w:rPr>
                    <w:t>t/a</w:t>
                  </w:r>
                </w:p>
              </w:tc>
              <w:tc>
                <w:tcPr>
                  <w:tcW w:w="617" w:type="pct"/>
                  <w:tcBorders>
                    <w:tl2br w:val="nil"/>
                    <w:tr2bl w:val="nil"/>
                  </w:tcBorders>
                  <w:noWrap w:val="0"/>
                  <w:vAlign w:val="center"/>
                </w:tcPr>
                <w:p w14:paraId="1CACC8F2">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3</w:t>
                  </w:r>
                  <w:r>
                    <w:rPr>
                      <w:rFonts w:hint="default" w:ascii="Times New Roman" w:hAnsi="Times New Roman" w:eastAsia="宋体" w:cs="Times New Roman"/>
                      <w:bCs/>
                      <w:color w:val="auto"/>
                      <w:kern w:val="21"/>
                      <w:sz w:val="21"/>
                      <w:szCs w:val="21"/>
                      <w:lang w:val="en-US" w:eastAsia="zh-CN" w:bidi="ar-SA"/>
                    </w:rPr>
                    <w:t>00</w:t>
                  </w:r>
                </w:p>
              </w:tc>
              <w:tc>
                <w:tcPr>
                  <w:tcW w:w="506" w:type="pct"/>
                  <w:tcBorders>
                    <w:tl2br w:val="nil"/>
                    <w:tr2bl w:val="nil"/>
                  </w:tcBorders>
                  <w:noWrap w:val="0"/>
                  <w:vAlign w:val="center"/>
                </w:tcPr>
                <w:p w14:paraId="1FAC63E0">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15</w:t>
                  </w:r>
                  <w:r>
                    <w:rPr>
                      <w:rFonts w:hint="default" w:ascii="Times New Roman" w:hAnsi="Times New Roman" w:eastAsia="宋体" w:cs="Times New Roman"/>
                      <w:bCs/>
                      <w:color w:val="auto"/>
                      <w:kern w:val="21"/>
                      <w:sz w:val="21"/>
                      <w:szCs w:val="21"/>
                      <w:lang w:val="en-US" w:eastAsia="zh-CN" w:bidi="ar-SA"/>
                    </w:rPr>
                    <w:t>0</w:t>
                  </w:r>
                </w:p>
              </w:tc>
              <w:tc>
                <w:tcPr>
                  <w:tcW w:w="513" w:type="pct"/>
                  <w:tcBorders>
                    <w:tl2br w:val="nil"/>
                    <w:tr2bl w:val="nil"/>
                  </w:tcBorders>
                  <w:noWrap w:val="0"/>
                  <w:vAlign w:val="center"/>
                </w:tcPr>
                <w:p w14:paraId="69412802">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150</w:t>
                  </w:r>
                </w:p>
              </w:tc>
              <w:tc>
                <w:tcPr>
                  <w:tcW w:w="537" w:type="pct"/>
                  <w:tcBorders>
                    <w:tl2br w:val="nil"/>
                    <w:tr2bl w:val="nil"/>
                  </w:tcBorders>
                  <w:noWrap w:val="0"/>
                  <w:vAlign w:val="center"/>
                </w:tcPr>
                <w:p w14:paraId="4F519108">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25</w:t>
                  </w:r>
                </w:p>
              </w:tc>
              <w:tc>
                <w:tcPr>
                  <w:tcW w:w="440" w:type="pct"/>
                  <w:tcBorders>
                    <w:tl2br w:val="nil"/>
                    <w:tr2bl w:val="nil"/>
                  </w:tcBorders>
                  <w:noWrap w:val="0"/>
                  <w:vAlign w:val="center"/>
                </w:tcPr>
                <w:p w14:paraId="575F36AC">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3</w:t>
                  </w:r>
                </w:p>
              </w:tc>
              <w:tc>
                <w:tcPr>
                  <w:tcW w:w="440" w:type="pct"/>
                  <w:tcBorders>
                    <w:tl2br w:val="nil"/>
                    <w:tr2bl w:val="nil"/>
                  </w:tcBorders>
                  <w:noWrap w:val="0"/>
                  <w:vAlign w:val="center"/>
                </w:tcPr>
                <w:p w14:paraId="1923EF57">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30</w:t>
                  </w:r>
                </w:p>
              </w:tc>
            </w:tr>
            <w:tr w14:paraId="29C2FD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8" w:type="pct"/>
                  <w:tcBorders>
                    <w:tl2br w:val="nil"/>
                    <w:tr2bl w:val="nil"/>
                  </w:tcBorders>
                  <w:noWrap w:val="0"/>
                  <w:vAlign w:val="center"/>
                </w:tcPr>
                <w:p w14:paraId="289DA635">
                  <w:pPr>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产生量（t/a）</w:t>
                  </w:r>
                </w:p>
              </w:tc>
              <w:tc>
                <w:tcPr>
                  <w:tcW w:w="565" w:type="pct"/>
                  <w:vMerge w:val="continue"/>
                  <w:tcBorders>
                    <w:tl2br w:val="nil"/>
                    <w:tr2bl w:val="nil"/>
                  </w:tcBorders>
                  <w:noWrap w:val="0"/>
                  <w:vAlign w:val="center"/>
                </w:tcPr>
                <w:p w14:paraId="00430224">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p>
              </w:tc>
              <w:tc>
                <w:tcPr>
                  <w:tcW w:w="617" w:type="pct"/>
                  <w:tcBorders>
                    <w:tl2br w:val="nil"/>
                    <w:tr2bl w:val="nil"/>
                  </w:tcBorders>
                  <w:noWrap w:val="0"/>
                  <w:vAlign w:val="center"/>
                </w:tcPr>
                <w:p w14:paraId="396C1F09">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0.</w:t>
                  </w:r>
                  <w:r>
                    <w:rPr>
                      <w:rFonts w:hint="eastAsia" w:ascii="Times New Roman" w:hAnsi="Times New Roman" w:eastAsia="宋体" w:cs="Times New Roman"/>
                      <w:bCs/>
                      <w:color w:val="auto"/>
                      <w:kern w:val="21"/>
                      <w:sz w:val="21"/>
                      <w:szCs w:val="21"/>
                      <w:lang w:val="en-US" w:eastAsia="zh-CN" w:bidi="ar-SA"/>
                    </w:rPr>
                    <w:t>1</w:t>
                  </w:r>
                  <w:r>
                    <w:rPr>
                      <w:rFonts w:hint="eastAsia" w:cs="Times New Roman"/>
                      <w:bCs/>
                      <w:color w:val="auto"/>
                      <w:kern w:val="21"/>
                      <w:sz w:val="21"/>
                      <w:szCs w:val="21"/>
                      <w:lang w:val="en-US" w:eastAsia="zh-CN" w:bidi="ar-SA"/>
                    </w:rPr>
                    <w:t>19</w:t>
                  </w:r>
                </w:p>
              </w:tc>
              <w:tc>
                <w:tcPr>
                  <w:tcW w:w="506" w:type="pct"/>
                  <w:tcBorders>
                    <w:tl2br w:val="nil"/>
                    <w:tr2bl w:val="nil"/>
                  </w:tcBorders>
                  <w:noWrap w:val="0"/>
                  <w:vAlign w:val="center"/>
                </w:tcPr>
                <w:p w14:paraId="1568502E">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0.0</w:t>
                  </w:r>
                  <w:r>
                    <w:rPr>
                      <w:rFonts w:hint="eastAsia" w:cs="Times New Roman"/>
                      <w:bCs/>
                      <w:color w:val="auto"/>
                      <w:kern w:val="21"/>
                      <w:sz w:val="21"/>
                      <w:szCs w:val="21"/>
                      <w:lang w:val="en-US" w:eastAsia="zh-CN" w:bidi="ar-SA"/>
                    </w:rPr>
                    <w:t>59</w:t>
                  </w:r>
                </w:p>
              </w:tc>
              <w:tc>
                <w:tcPr>
                  <w:tcW w:w="513" w:type="pct"/>
                  <w:tcBorders>
                    <w:tl2br w:val="nil"/>
                    <w:tr2bl w:val="nil"/>
                  </w:tcBorders>
                  <w:noWrap w:val="0"/>
                  <w:vAlign w:val="center"/>
                </w:tcPr>
                <w:p w14:paraId="4A3F7259">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0.0</w:t>
                  </w:r>
                  <w:r>
                    <w:rPr>
                      <w:rFonts w:hint="eastAsia" w:cs="Times New Roman"/>
                      <w:bCs/>
                      <w:color w:val="auto"/>
                      <w:kern w:val="21"/>
                      <w:sz w:val="21"/>
                      <w:szCs w:val="21"/>
                      <w:lang w:val="en-US" w:eastAsia="zh-CN" w:bidi="ar-SA"/>
                    </w:rPr>
                    <w:t>59</w:t>
                  </w:r>
                </w:p>
              </w:tc>
              <w:tc>
                <w:tcPr>
                  <w:tcW w:w="537" w:type="pct"/>
                  <w:tcBorders>
                    <w:tl2br w:val="nil"/>
                    <w:tr2bl w:val="nil"/>
                  </w:tcBorders>
                  <w:noWrap w:val="0"/>
                  <w:vAlign w:val="center"/>
                </w:tcPr>
                <w:p w14:paraId="33093F1C">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0.</w:t>
                  </w:r>
                  <w:r>
                    <w:rPr>
                      <w:rFonts w:hint="eastAsia" w:ascii="Times New Roman" w:hAnsi="Times New Roman" w:eastAsia="宋体" w:cs="Times New Roman"/>
                      <w:bCs/>
                      <w:color w:val="auto"/>
                      <w:kern w:val="21"/>
                      <w:sz w:val="21"/>
                      <w:szCs w:val="21"/>
                      <w:lang w:val="en-US" w:eastAsia="zh-CN" w:bidi="ar-SA"/>
                    </w:rPr>
                    <w:t>0</w:t>
                  </w:r>
                  <w:r>
                    <w:rPr>
                      <w:rFonts w:hint="eastAsia" w:cs="Times New Roman"/>
                      <w:bCs/>
                      <w:color w:val="auto"/>
                      <w:kern w:val="21"/>
                      <w:sz w:val="21"/>
                      <w:szCs w:val="21"/>
                      <w:lang w:val="en-US" w:eastAsia="zh-CN" w:bidi="ar-SA"/>
                    </w:rPr>
                    <w:t>099</w:t>
                  </w:r>
                </w:p>
              </w:tc>
              <w:tc>
                <w:tcPr>
                  <w:tcW w:w="440" w:type="pct"/>
                  <w:tcBorders>
                    <w:tl2br w:val="nil"/>
                    <w:tr2bl w:val="nil"/>
                  </w:tcBorders>
                  <w:noWrap w:val="0"/>
                  <w:vAlign w:val="center"/>
                </w:tcPr>
                <w:p w14:paraId="01BCDEC8">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0.001</w:t>
                  </w:r>
                  <w:r>
                    <w:rPr>
                      <w:rFonts w:hint="eastAsia" w:cs="Times New Roman"/>
                      <w:bCs/>
                      <w:color w:val="auto"/>
                      <w:kern w:val="21"/>
                      <w:sz w:val="21"/>
                      <w:szCs w:val="21"/>
                      <w:lang w:val="en-US" w:eastAsia="zh-CN" w:bidi="ar-SA"/>
                    </w:rPr>
                    <w:t>2</w:t>
                  </w:r>
                </w:p>
              </w:tc>
              <w:tc>
                <w:tcPr>
                  <w:tcW w:w="440" w:type="pct"/>
                  <w:tcBorders>
                    <w:tl2br w:val="nil"/>
                    <w:tr2bl w:val="nil"/>
                  </w:tcBorders>
                  <w:noWrap w:val="0"/>
                  <w:vAlign w:val="center"/>
                </w:tcPr>
                <w:p w14:paraId="2A93A080">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0.01</w:t>
                  </w:r>
                  <w:r>
                    <w:rPr>
                      <w:rFonts w:hint="eastAsia" w:cs="Times New Roman"/>
                      <w:bCs/>
                      <w:color w:val="auto"/>
                      <w:kern w:val="21"/>
                      <w:sz w:val="21"/>
                      <w:szCs w:val="21"/>
                      <w:lang w:val="en-US" w:eastAsia="zh-CN" w:bidi="ar-SA"/>
                    </w:rPr>
                    <w:t>19</w:t>
                  </w:r>
                </w:p>
              </w:tc>
            </w:tr>
            <w:tr w14:paraId="13EAC2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8" w:type="pct"/>
                  <w:tcBorders>
                    <w:tl2br w:val="nil"/>
                    <w:tr2bl w:val="nil"/>
                  </w:tcBorders>
                  <w:noWrap w:val="0"/>
                  <w:vAlign w:val="center"/>
                </w:tcPr>
                <w:p w14:paraId="575BFB8A">
                  <w:pPr>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三级化粪池处理效率（%）</w:t>
                  </w:r>
                </w:p>
              </w:tc>
              <w:tc>
                <w:tcPr>
                  <w:tcW w:w="565" w:type="pct"/>
                  <w:vMerge w:val="continue"/>
                  <w:tcBorders>
                    <w:tl2br w:val="nil"/>
                    <w:tr2bl w:val="nil"/>
                  </w:tcBorders>
                  <w:noWrap w:val="0"/>
                  <w:vAlign w:val="center"/>
                </w:tcPr>
                <w:p w14:paraId="29A30429">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p>
              </w:tc>
              <w:tc>
                <w:tcPr>
                  <w:tcW w:w="617" w:type="pct"/>
                  <w:tcBorders>
                    <w:tl2br w:val="nil"/>
                    <w:tr2bl w:val="nil"/>
                  </w:tcBorders>
                  <w:noWrap w:val="0"/>
                  <w:vAlign w:val="center"/>
                </w:tcPr>
                <w:p w14:paraId="02DC7877">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20</w:t>
                  </w:r>
                </w:p>
              </w:tc>
              <w:tc>
                <w:tcPr>
                  <w:tcW w:w="506" w:type="pct"/>
                  <w:tcBorders>
                    <w:tl2br w:val="nil"/>
                    <w:tr2bl w:val="nil"/>
                  </w:tcBorders>
                  <w:noWrap w:val="0"/>
                  <w:vAlign w:val="center"/>
                </w:tcPr>
                <w:p w14:paraId="2C822077">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1</w:t>
                  </w:r>
                  <w:r>
                    <w:rPr>
                      <w:rFonts w:hint="eastAsia" w:ascii="Times New Roman" w:hAnsi="Times New Roman" w:eastAsia="宋体" w:cs="Times New Roman"/>
                      <w:bCs/>
                      <w:color w:val="auto"/>
                      <w:kern w:val="21"/>
                      <w:sz w:val="21"/>
                      <w:szCs w:val="21"/>
                      <w:lang w:val="en-US" w:eastAsia="zh-CN" w:bidi="ar-SA"/>
                    </w:rPr>
                    <w:t>8</w:t>
                  </w:r>
                </w:p>
              </w:tc>
              <w:tc>
                <w:tcPr>
                  <w:tcW w:w="513" w:type="pct"/>
                  <w:tcBorders>
                    <w:tl2br w:val="nil"/>
                    <w:tr2bl w:val="nil"/>
                  </w:tcBorders>
                  <w:noWrap w:val="0"/>
                  <w:vAlign w:val="center"/>
                </w:tcPr>
                <w:p w14:paraId="701AE660">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46</w:t>
                  </w:r>
                </w:p>
              </w:tc>
              <w:tc>
                <w:tcPr>
                  <w:tcW w:w="537" w:type="pct"/>
                  <w:tcBorders>
                    <w:tl2br w:val="nil"/>
                    <w:tr2bl w:val="nil"/>
                  </w:tcBorders>
                  <w:noWrap w:val="0"/>
                  <w:vAlign w:val="center"/>
                </w:tcPr>
                <w:p w14:paraId="30D420B0">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3</w:t>
                  </w:r>
                </w:p>
              </w:tc>
              <w:tc>
                <w:tcPr>
                  <w:tcW w:w="440" w:type="pct"/>
                  <w:tcBorders>
                    <w:tl2br w:val="nil"/>
                    <w:tr2bl w:val="nil"/>
                  </w:tcBorders>
                  <w:noWrap w:val="0"/>
                  <w:vAlign w:val="center"/>
                </w:tcPr>
                <w:p w14:paraId="33B84D89">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10</w:t>
                  </w:r>
                </w:p>
              </w:tc>
              <w:tc>
                <w:tcPr>
                  <w:tcW w:w="440" w:type="pct"/>
                  <w:tcBorders>
                    <w:tl2br w:val="nil"/>
                    <w:tr2bl w:val="nil"/>
                  </w:tcBorders>
                  <w:noWrap w:val="0"/>
                  <w:vAlign w:val="center"/>
                </w:tcPr>
                <w:p w14:paraId="6054C3DA">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3</w:t>
                  </w:r>
                </w:p>
              </w:tc>
            </w:tr>
            <w:tr w14:paraId="1C4FAC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8" w:type="pct"/>
                  <w:tcBorders>
                    <w:tl2br w:val="nil"/>
                    <w:tr2bl w:val="nil"/>
                  </w:tcBorders>
                  <w:noWrap w:val="0"/>
                  <w:vAlign w:val="center"/>
                </w:tcPr>
                <w:p w14:paraId="2E341A5F">
                  <w:pPr>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排放浓度（mg/L）</w:t>
                  </w:r>
                </w:p>
              </w:tc>
              <w:tc>
                <w:tcPr>
                  <w:tcW w:w="565" w:type="pct"/>
                  <w:vMerge w:val="continue"/>
                  <w:tcBorders>
                    <w:tl2br w:val="nil"/>
                    <w:tr2bl w:val="nil"/>
                  </w:tcBorders>
                  <w:noWrap w:val="0"/>
                  <w:vAlign w:val="center"/>
                </w:tcPr>
                <w:p w14:paraId="37110DBD">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p>
              </w:tc>
              <w:tc>
                <w:tcPr>
                  <w:tcW w:w="617" w:type="pct"/>
                  <w:tcBorders>
                    <w:tl2br w:val="nil"/>
                    <w:tr2bl w:val="nil"/>
                  </w:tcBorders>
                  <w:noWrap w:val="0"/>
                  <w:vAlign w:val="center"/>
                </w:tcPr>
                <w:p w14:paraId="3A78F2C2">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240</w:t>
                  </w:r>
                </w:p>
              </w:tc>
              <w:tc>
                <w:tcPr>
                  <w:tcW w:w="506" w:type="pct"/>
                  <w:tcBorders>
                    <w:tl2br w:val="nil"/>
                    <w:tr2bl w:val="nil"/>
                  </w:tcBorders>
                  <w:noWrap w:val="0"/>
                  <w:vAlign w:val="center"/>
                </w:tcPr>
                <w:p w14:paraId="3B8A09CA">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1</w:t>
                  </w:r>
                  <w:r>
                    <w:rPr>
                      <w:rFonts w:hint="eastAsia" w:ascii="Times New Roman" w:hAnsi="Times New Roman" w:eastAsia="宋体" w:cs="Times New Roman"/>
                      <w:bCs/>
                      <w:color w:val="auto"/>
                      <w:kern w:val="21"/>
                      <w:sz w:val="21"/>
                      <w:szCs w:val="21"/>
                      <w:lang w:val="en-US" w:eastAsia="zh-CN" w:bidi="ar-SA"/>
                    </w:rPr>
                    <w:t>23</w:t>
                  </w:r>
                </w:p>
              </w:tc>
              <w:tc>
                <w:tcPr>
                  <w:tcW w:w="513" w:type="pct"/>
                  <w:tcBorders>
                    <w:tl2br w:val="nil"/>
                    <w:tr2bl w:val="nil"/>
                  </w:tcBorders>
                  <w:noWrap w:val="0"/>
                  <w:vAlign w:val="center"/>
                </w:tcPr>
                <w:p w14:paraId="21D5AAC5">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81</w:t>
                  </w:r>
                </w:p>
              </w:tc>
              <w:tc>
                <w:tcPr>
                  <w:tcW w:w="537" w:type="pct"/>
                  <w:tcBorders>
                    <w:tl2br w:val="nil"/>
                    <w:tr2bl w:val="nil"/>
                  </w:tcBorders>
                  <w:noWrap w:val="0"/>
                  <w:vAlign w:val="center"/>
                </w:tcPr>
                <w:p w14:paraId="362178F1">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24.25</w:t>
                  </w:r>
                </w:p>
              </w:tc>
              <w:tc>
                <w:tcPr>
                  <w:tcW w:w="440" w:type="pct"/>
                  <w:tcBorders>
                    <w:tl2br w:val="nil"/>
                    <w:tr2bl w:val="nil"/>
                  </w:tcBorders>
                  <w:noWrap w:val="0"/>
                  <w:vAlign w:val="center"/>
                </w:tcPr>
                <w:p w14:paraId="09B5E757">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2.7</w:t>
                  </w:r>
                </w:p>
              </w:tc>
              <w:tc>
                <w:tcPr>
                  <w:tcW w:w="440" w:type="pct"/>
                  <w:tcBorders>
                    <w:tl2br w:val="nil"/>
                    <w:tr2bl w:val="nil"/>
                  </w:tcBorders>
                  <w:noWrap w:val="0"/>
                  <w:vAlign w:val="center"/>
                </w:tcPr>
                <w:p w14:paraId="27AE5696">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29.1</w:t>
                  </w:r>
                </w:p>
              </w:tc>
            </w:tr>
            <w:tr w14:paraId="7D03AE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78" w:type="pct"/>
                  <w:tcBorders>
                    <w:tl2br w:val="nil"/>
                    <w:tr2bl w:val="nil"/>
                  </w:tcBorders>
                  <w:noWrap w:val="0"/>
                  <w:vAlign w:val="center"/>
                </w:tcPr>
                <w:p w14:paraId="0333D9E6">
                  <w:pPr>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排放量（t/a）</w:t>
                  </w:r>
                </w:p>
              </w:tc>
              <w:tc>
                <w:tcPr>
                  <w:tcW w:w="565" w:type="pct"/>
                  <w:vMerge w:val="continue"/>
                  <w:tcBorders>
                    <w:tl2br w:val="nil"/>
                    <w:tr2bl w:val="nil"/>
                  </w:tcBorders>
                  <w:noWrap w:val="0"/>
                  <w:vAlign w:val="center"/>
                </w:tcPr>
                <w:p w14:paraId="01B0878F">
                  <w:pPr>
                    <w:pStyle w:val="7"/>
                    <w:wordWrap/>
                    <w:overflowPunct/>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p>
              </w:tc>
              <w:tc>
                <w:tcPr>
                  <w:tcW w:w="617" w:type="pct"/>
                  <w:tcBorders>
                    <w:tl2br w:val="nil"/>
                    <w:tr2bl w:val="nil"/>
                  </w:tcBorders>
                  <w:noWrap w:val="0"/>
                  <w:vAlign w:val="center"/>
                </w:tcPr>
                <w:p w14:paraId="540FD0FF">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0.</w:t>
                  </w:r>
                  <w:r>
                    <w:rPr>
                      <w:rFonts w:hint="eastAsia" w:cs="Times New Roman"/>
                      <w:bCs/>
                      <w:color w:val="auto"/>
                      <w:kern w:val="21"/>
                      <w:sz w:val="21"/>
                      <w:szCs w:val="21"/>
                      <w:lang w:val="en-US" w:eastAsia="zh-CN" w:bidi="ar-SA"/>
                    </w:rPr>
                    <w:t>095</w:t>
                  </w:r>
                </w:p>
              </w:tc>
              <w:tc>
                <w:tcPr>
                  <w:tcW w:w="506" w:type="pct"/>
                  <w:tcBorders>
                    <w:tl2br w:val="nil"/>
                    <w:tr2bl w:val="nil"/>
                  </w:tcBorders>
                  <w:noWrap w:val="0"/>
                  <w:vAlign w:val="center"/>
                </w:tcPr>
                <w:p w14:paraId="7087E164">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0.0</w:t>
                  </w:r>
                  <w:r>
                    <w:rPr>
                      <w:rFonts w:hint="eastAsia" w:cs="Times New Roman"/>
                      <w:bCs/>
                      <w:color w:val="auto"/>
                      <w:kern w:val="21"/>
                      <w:sz w:val="21"/>
                      <w:szCs w:val="21"/>
                      <w:lang w:val="en-US" w:eastAsia="zh-CN" w:bidi="ar-SA"/>
                    </w:rPr>
                    <w:t>487</w:t>
                  </w:r>
                </w:p>
              </w:tc>
              <w:tc>
                <w:tcPr>
                  <w:tcW w:w="513" w:type="pct"/>
                  <w:tcBorders>
                    <w:tl2br w:val="nil"/>
                    <w:tr2bl w:val="nil"/>
                  </w:tcBorders>
                  <w:noWrap w:val="0"/>
                  <w:vAlign w:val="center"/>
                </w:tcPr>
                <w:p w14:paraId="0CFFEAC6">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0.0</w:t>
                  </w:r>
                  <w:r>
                    <w:rPr>
                      <w:rFonts w:hint="eastAsia" w:cs="Times New Roman"/>
                      <w:bCs/>
                      <w:color w:val="auto"/>
                      <w:kern w:val="21"/>
                      <w:sz w:val="21"/>
                      <w:szCs w:val="21"/>
                      <w:lang w:val="en-US" w:eastAsia="zh-CN" w:bidi="ar-SA"/>
                    </w:rPr>
                    <w:t>32</w:t>
                  </w:r>
                </w:p>
              </w:tc>
              <w:tc>
                <w:tcPr>
                  <w:tcW w:w="537" w:type="pct"/>
                  <w:tcBorders>
                    <w:tl2br w:val="nil"/>
                    <w:tr2bl w:val="nil"/>
                  </w:tcBorders>
                  <w:noWrap w:val="0"/>
                  <w:vAlign w:val="center"/>
                </w:tcPr>
                <w:p w14:paraId="598232E2">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0.0</w:t>
                  </w:r>
                  <w:r>
                    <w:rPr>
                      <w:rFonts w:hint="eastAsia" w:ascii="Times New Roman" w:hAnsi="Times New Roman" w:eastAsia="宋体" w:cs="Times New Roman"/>
                      <w:bCs/>
                      <w:color w:val="auto"/>
                      <w:kern w:val="21"/>
                      <w:sz w:val="21"/>
                      <w:szCs w:val="21"/>
                      <w:lang w:val="en-US" w:eastAsia="zh-CN" w:bidi="ar-SA"/>
                    </w:rPr>
                    <w:t>102</w:t>
                  </w:r>
                </w:p>
              </w:tc>
              <w:tc>
                <w:tcPr>
                  <w:tcW w:w="440" w:type="pct"/>
                  <w:tcBorders>
                    <w:tl2br w:val="nil"/>
                    <w:tr2bl w:val="nil"/>
                  </w:tcBorders>
                  <w:noWrap w:val="0"/>
                  <w:vAlign w:val="center"/>
                </w:tcPr>
                <w:p w14:paraId="0458A584">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0.00</w:t>
                  </w:r>
                  <w:r>
                    <w:rPr>
                      <w:rFonts w:hint="eastAsia" w:cs="Times New Roman"/>
                      <w:bCs/>
                      <w:color w:val="auto"/>
                      <w:kern w:val="21"/>
                      <w:sz w:val="21"/>
                      <w:szCs w:val="21"/>
                      <w:lang w:val="en-US" w:eastAsia="zh-CN" w:bidi="ar-SA"/>
                    </w:rPr>
                    <w:t>96</w:t>
                  </w:r>
                </w:p>
              </w:tc>
              <w:tc>
                <w:tcPr>
                  <w:tcW w:w="440" w:type="pct"/>
                  <w:tcBorders>
                    <w:tl2br w:val="nil"/>
                    <w:tr2bl w:val="nil"/>
                  </w:tcBorders>
                  <w:noWrap w:val="0"/>
                  <w:vAlign w:val="center"/>
                </w:tcPr>
                <w:p w14:paraId="1D0E72AC">
                  <w:pPr>
                    <w:widowControl/>
                    <w:adjustRightInd w:val="0"/>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0.01</w:t>
                  </w:r>
                  <w:r>
                    <w:rPr>
                      <w:rFonts w:hint="eastAsia" w:cs="Times New Roman"/>
                      <w:bCs/>
                      <w:color w:val="auto"/>
                      <w:kern w:val="21"/>
                      <w:sz w:val="21"/>
                      <w:szCs w:val="21"/>
                      <w:lang w:val="en-US" w:eastAsia="zh-CN" w:bidi="ar-SA"/>
                    </w:rPr>
                    <w:t>15</w:t>
                  </w:r>
                </w:p>
              </w:tc>
            </w:tr>
            <w:tr w14:paraId="576CB5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44" w:type="pct"/>
                  <w:gridSpan w:val="2"/>
                  <w:tcBorders>
                    <w:tl2br w:val="nil"/>
                    <w:tr2bl w:val="nil"/>
                  </w:tcBorders>
                  <w:noWrap w:val="0"/>
                  <w:vAlign w:val="center"/>
                </w:tcPr>
                <w:p w14:paraId="4835E13B">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《污水综合排放标准》（GB8978-1996）表4中三级标准及《污水排入城镇下水道水质标准》（GB/T 31962-2015）表1中B级标准</w:t>
                  </w:r>
                </w:p>
              </w:tc>
              <w:tc>
                <w:tcPr>
                  <w:tcW w:w="617" w:type="pct"/>
                  <w:tcBorders>
                    <w:tl2br w:val="nil"/>
                    <w:tr2bl w:val="nil"/>
                  </w:tcBorders>
                  <w:noWrap w:val="0"/>
                  <w:vAlign w:val="center"/>
                </w:tcPr>
                <w:p w14:paraId="7F16FA92">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500</w:t>
                  </w:r>
                </w:p>
              </w:tc>
              <w:tc>
                <w:tcPr>
                  <w:tcW w:w="506" w:type="pct"/>
                  <w:tcBorders>
                    <w:tl2br w:val="nil"/>
                    <w:tr2bl w:val="nil"/>
                  </w:tcBorders>
                  <w:noWrap w:val="0"/>
                  <w:vAlign w:val="center"/>
                </w:tcPr>
                <w:p w14:paraId="2F0AC20A">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300</w:t>
                  </w:r>
                </w:p>
              </w:tc>
              <w:tc>
                <w:tcPr>
                  <w:tcW w:w="513" w:type="pct"/>
                  <w:tcBorders>
                    <w:tl2br w:val="nil"/>
                    <w:tr2bl w:val="nil"/>
                  </w:tcBorders>
                  <w:noWrap w:val="0"/>
                  <w:vAlign w:val="center"/>
                </w:tcPr>
                <w:p w14:paraId="22C9F3DD">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4</w:t>
                  </w:r>
                  <w:r>
                    <w:rPr>
                      <w:rFonts w:hint="eastAsia" w:ascii="Times New Roman" w:hAnsi="Times New Roman" w:eastAsia="宋体" w:cs="Times New Roman"/>
                      <w:bCs/>
                      <w:color w:val="auto"/>
                      <w:kern w:val="21"/>
                      <w:sz w:val="21"/>
                      <w:szCs w:val="21"/>
                      <w:lang w:val="en-US" w:eastAsia="zh-CN" w:bidi="ar-SA"/>
                    </w:rPr>
                    <w:t>00</w:t>
                  </w:r>
                </w:p>
              </w:tc>
              <w:tc>
                <w:tcPr>
                  <w:tcW w:w="537" w:type="pct"/>
                  <w:tcBorders>
                    <w:tl2br w:val="nil"/>
                    <w:tr2bl w:val="nil"/>
                  </w:tcBorders>
                  <w:noWrap w:val="0"/>
                  <w:vAlign w:val="center"/>
                </w:tcPr>
                <w:p w14:paraId="12165A48">
                  <w:pPr>
                    <w:pStyle w:val="7"/>
                    <w:wordWrap/>
                    <w:overflowPunct/>
                    <w:adjustRightInd/>
                    <w:snapToGrid w:val="0"/>
                    <w:spacing w:line="240" w:lineRule="auto"/>
                    <w:ind w:firstLine="0" w:firstLineChars="0"/>
                    <w:jc w:val="center"/>
                    <w:rPr>
                      <w:rFonts w:hint="eastAsia" w:ascii="Times New Roman" w:hAnsi="Times New Roman" w:eastAsia="宋体" w:cs="Times New Roman"/>
                      <w:bCs/>
                      <w:color w:val="auto"/>
                      <w:kern w:val="21"/>
                      <w:sz w:val="21"/>
                      <w:szCs w:val="21"/>
                      <w:lang w:val="en-US" w:eastAsia="zh-CN" w:bidi="ar-SA"/>
                    </w:rPr>
                  </w:pPr>
                  <w:r>
                    <w:rPr>
                      <w:rFonts w:hint="default" w:ascii="Times New Roman" w:hAnsi="Times New Roman" w:eastAsia="宋体" w:cs="Times New Roman"/>
                      <w:bCs/>
                      <w:color w:val="auto"/>
                      <w:kern w:val="21"/>
                      <w:sz w:val="21"/>
                      <w:szCs w:val="21"/>
                      <w:lang w:val="en-US" w:eastAsia="zh-CN" w:bidi="ar-SA"/>
                    </w:rPr>
                    <w:t>4</w:t>
                  </w:r>
                  <w:r>
                    <w:rPr>
                      <w:rFonts w:hint="eastAsia" w:ascii="Times New Roman" w:hAnsi="Times New Roman" w:eastAsia="宋体" w:cs="Times New Roman"/>
                      <w:bCs/>
                      <w:color w:val="auto"/>
                      <w:kern w:val="21"/>
                      <w:sz w:val="21"/>
                      <w:szCs w:val="21"/>
                      <w:lang w:val="en-US" w:eastAsia="zh-CN" w:bidi="ar-SA"/>
                    </w:rPr>
                    <w:t>5</w:t>
                  </w:r>
                </w:p>
              </w:tc>
              <w:tc>
                <w:tcPr>
                  <w:tcW w:w="440" w:type="pct"/>
                  <w:tcBorders>
                    <w:tl2br w:val="nil"/>
                    <w:tr2bl w:val="nil"/>
                  </w:tcBorders>
                  <w:noWrap w:val="0"/>
                  <w:vAlign w:val="center"/>
                </w:tcPr>
                <w:p w14:paraId="1E84BEC3">
                  <w:pPr>
                    <w:pStyle w:val="7"/>
                    <w:wordWrap/>
                    <w:overflowPunct/>
                    <w:adjustRightInd/>
                    <w:snapToGrid w:val="0"/>
                    <w:spacing w:line="240" w:lineRule="auto"/>
                    <w:ind w:firstLine="0" w:firstLineChars="0"/>
                    <w:jc w:val="center"/>
                    <w:rPr>
                      <w:rFonts w:hint="eastAsia"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8</w:t>
                  </w:r>
                </w:p>
              </w:tc>
              <w:tc>
                <w:tcPr>
                  <w:tcW w:w="440" w:type="pct"/>
                  <w:tcBorders>
                    <w:tl2br w:val="nil"/>
                    <w:tr2bl w:val="nil"/>
                  </w:tcBorders>
                  <w:noWrap w:val="0"/>
                  <w:vAlign w:val="center"/>
                </w:tcPr>
                <w:p w14:paraId="3EA2753D">
                  <w:pPr>
                    <w:pStyle w:val="7"/>
                    <w:wordWrap/>
                    <w:overflowPunct/>
                    <w:adjustRightInd/>
                    <w:snapToGrid w:val="0"/>
                    <w:spacing w:line="240" w:lineRule="auto"/>
                    <w:ind w:firstLine="0" w:firstLineChars="0"/>
                    <w:jc w:val="center"/>
                    <w:rPr>
                      <w:rFonts w:hint="default" w:ascii="Times New Roman" w:hAnsi="Times New Roman" w:eastAsia="宋体" w:cs="Times New Roman"/>
                      <w:bCs/>
                      <w:color w:val="auto"/>
                      <w:kern w:val="21"/>
                      <w:sz w:val="21"/>
                      <w:szCs w:val="21"/>
                      <w:lang w:val="en-US" w:eastAsia="zh-CN" w:bidi="ar-SA"/>
                    </w:rPr>
                  </w:pPr>
                  <w:r>
                    <w:rPr>
                      <w:rFonts w:hint="eastAsia" w:ascii="Times New Roman" w:hAnsi="Times New Roman" w:eastAsia="宋体" w:cs="Times New Roman"/>
                      <w:bCs/>
                      <w:color w:val="auto"/>
                      <w:kern w:val="21"/>
                      <w:sz w:val="21"/>
                      <w:szCs w:val="21"/>
                      <w:lang w:val="en-US" w:eastAsia="zh-CN" w:bidi="ar-SA"/>
                    </w:rPr>
                    <w:t>70</w:t>
                  </w:r>
                </w:p>
              </w:tc>
            </w:tr>
          </w:tbl>
          <w:p w14:paraId="03724A78">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b/>
                <w:bCs/>
                <w:color w:val="auto"/>
                <w:sz w:val="24"/>
                <w:szCs w:val="24"/>
              </w:rPr>
            </w:pPr>
            <w:r>
              <w:rPr>
                <w:rFonts w:hint="eastAsia"/>
                <w:b/>
                <w:bCs/>
                <w:color w:val="auto"/>
                <w:sz w:val="24"/>
                <w:szCs w:val="24"/>
                <w:lang w:val="en-US" w:eastAsia="zh-CN"/>
              </w:rPr>
              <w:t>表4.2-</w:t>
            </w:r>
            <w:r>
              <w:rPr>
                <w:rFonts w:hint="eastAsia" w:cs="Times New Roman"/>
                <w:b/>
                <w:bCs/>
                <w:color w:val="auto"/>
                <w:sz w:val="24"/>
                <w:szCs w:val="22"/>
                <w:highlight w:val="none"/>
                <w:lang w:val="en-US" w:eastAsia="zh-CN"/>
              </w:rPr>
              <w:t xml:space="preserve">2  </w:t>
            </w:r>
            <w:r>
              <w:rPr>
                <w:rFonts w:ascii="Times New Roman" w:hAnsi="Times New Roman" w:cs="Times New Roman"/>
                <w:b/>
                <w:bCs/>
                <w:color w:val="auto"/>
                <w:sz w:val="24"/>
                <w:szCs w:val="24"/>
              </w:rPr>
              <w:t>废水类别、污染物及污染治理设施信息表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267"/>
              <w:gridCol w:w="629"/>
              <w:gridCol w:w="875"/>
              <w:gridCol w:w="695"/>
              <w:gridCol w:w="1009"/>
              <w:gridCol w:w="722"/>
              <w:gridCol w:w="721"/>
              <w:gridCol w:w="721"/>
              <w:gridCol w:w="721"/>
              <w:gridCol w:w="722"/>
              <w:gridCol w:w="1395"/>
            </w:tblGrid>
            <w:tr w14:paraId="69C92F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58" w:type="pct"/>
                  <w:vMerge w:val="restart"/>
                  <w:noWrap w:val="0"/>
                  <w:vAlign w:val="center"/>
                </w:tcPr>
                <w:p w14:paraId="76153590">
                  <w:pPr>
                    <w:pStyle w:val="69"/>
                    <w:rPr>
                      <w:color w:val="auto"/>
                    </w:rPr>
                  </w:pPr>
                  <w:r>
                    <w:rPr>
                      <w:color w:val="auto"/>
                    </w:rPr>
                    <w:t>序号</w:t>
                  </w:r>
                </w:p>
              </w:tc>
              <w:tc>
                <w:tcPr>
                  <w:tcW w:w="371" w:type="pct"/>
                  <w:vMerge w:val="restart"/>
                  <w:noWrap w:val="0"/>
                  <w:vAlign w:val="center"/>
                </w:tcPr>
                <w:p w14:paraId="6B3A7170">
                  <w:pPr>
                    <w:pStyle w:val="69"/>
                    <w:rPr>
                      <w:color w:val="auto"/>
                    </w:rPr>
                  </w:pPr>
                  <w:r>
                    <w:rPr>
                      <w:color w:val="auto"/>
                    </w:rPr>
                    <w:t>废水类别</w:t>
                  </w:r>
                </w:p>
              </w:tc>
              <w:tc>
                <w:tcPr>
                  <w:tcW w:w="516" w:type="pct"/>
                  <w:vMerge w:val="restart"/>
                  <w:noWrap w:val="0"/>
                  <w:vAlign w:val="center"/>
                </w:tcPr>
                <w:p w14:paraId="03BF45DB">
                  <w:pPr>
                    <w:pStyle w:val="69"/>
                    <w:rPr>
                      <w:color w:val="auto"/>
                    </w:rPr>
                  </w:pPr>
                  <w:r>
                    <w:rPr>
                      <w:color w:val="auto"/>
                    </w:rPr>
                    <w:t>污染物种类</w:t>
                  </w:r>
                </w:p>
              </w:tc>
              <w:tc>
                <w:tcPr>
                  <w:tcW w:w="410" w:type="pct"/>
                  <w:vMerge w:val="restart"/>
                  <w:noWrap w:val="0"/>
                  <w:vAlign w:val="center"/>
                </w:tcPr>
                <w:p w14:paraId="5E36B35B">
                  <w:pPr>
                    <w:pStyle w:val="69"/>
                    <w:rPr>
                      <w:color w:val="auto"/>
                    </w:rPr>
                  </w:pPr>
                  <w:r>
                    <w:rPr>
                      <w:color w:val="auto"/>
                    </w:rPr>
                    <w:t>排放</w:t>
                  </w:r>
                </w:p>
                <w:p w14:paraId="69A56598">
                  <w:pPr>
                    <w:pStyle w:val="69"/>
                    <w:rPr>
                      <w:color w:val="auto"/>
                    </w:rPr>
                  </w:pPr>
                  <w:r>
                    <w:rPr>
                      <w:color w:val="auto"/>
                    </w:rPr>
                    <w:t>去向</w:t>
                  </w:r>
                </w:p>
              </w:tc>
              <w:tc>
                <w:tcPr>
                  <w:tcW w:w="595" w:type="pct"/>
                  <w:vMerge w:val="restart"/>
                  <w:noWrap w:val="0"/>
                  <w:vAlign w:val="center"/>
                </w:tcPr>
                <w:p w14:paraId="4481ADAE">
                  <w:pPr>
                    <w:pStyle w:val="69"/>
                    <w:rPr>
                      <w:color w:val="auto"/>
                    </w:rPr>
                  </w:pPr>
                  <w:r>
                    <w:rPr>
                      <w:color w:val="auto"/>
                    </w:rPr>
                    <w:t>排放规律</w:t>
                  </w:r>
                </w:p>
              </w:tc>
              <w:tc>
                <w:tcPr>
                  <w:tcW w:w="1276" w:type="pct"/>
                  <w:gridSpan w:val="3"/>
                  <w:noWrap w:val="0"/>
                  <w:vAlign w:val="center"/>
                </w:tcPr>
                <w:p w14:paraId="5C1D16D7">
                  <w:pPr>
                    <w:pStyle w:val="69"/>
                    <w:rPr>
                      <w:color w:val="auto"/>
                    </w:rPr>
                  </w:pPr>
                  <w:r>
                    <w:rPr>
                      <w:color w:val="auto"/>
                    </w:rPr>
                    <w:t>污染治理设施</w:t>
                  </w:r>
                </w:p>
              </w:tc>
              <w:tc>
                <w:tcPr>
                  <w:tcW w:w="425" w:type="pct"/>
                  <w:vMerge w:val="restart"/>
                  <w:noWrap w:val="0"/>
                  <w:vAlign w:val="center"/>
                </w:tcPr>
                <w:p w14:paraId="551E013A">
                  <w:pPr>
                    <w:pStyle w:val="69"/>
                    <w:rPr>
                      <w:color w:val="auto"/>
                    </w:rPr>
                  </w:pPr>
                  <w:r>
                    <w:rPr>
                      <w:color w:val="auto"/>
                    </w:rPr>
                    <w:t>排放口</w:t>
                  </w:r>
                </w:p>
                <w:p w14:paraId="104F5B17">
                  <w:pPr>
                    <w:pStyle w:val="69"/>
                    <w:rPr>
                      <w:color w:val="auto"/>
                    </w:rPr>
                  </w:pPr>
                  <w:r>
                    <w:rPr>
                      <w:color w:val="auto"/>
                    </w:rPr>
                    <w:t>编号</w:t>
                  </w:r>
                </w:p>
              </w:tc>
              <w:tc>
                <w:tcPr>
                  <w:tcW w:w="426" w:type="pct"/>
                  <w:vMerge w:val="restart"/>
                  <w:noWrap w:val="0"/>
                  <w:vAlign w:val="center"/>
                </w:tcPr>
                <w:p w14:paraId="0E2EFFC6">
                  <w:pPr>
                    <w:pStyle w:val="69"/>
                    <w:rPr>
                      <w:color w:val="auto"/>
                    </w:rPr>
                  </w:pPr>
                  <w:r>
                    <w:rPr>
                      <w:color w:val="auto"/>
                    </w:rPr>
                    <w:t>排放口设置是否符合要求</w:t>
                  </w:r>
                </w:p>
              </w:tc>
              <w:tc>
                <w:tcPr>
                  <w:tcW w:w="823" w:type="pct"/>
                  <w:vMerge w:val="restart"/>
                  <w:noWrap w:val="0"/>
                  <w:vAlign w:val="center"/>
                </w:tcPr>
                <w:p w14:paraId="22FE0F56">
                  <w:pPr>
                    <w:pStyle w:val="69"/>
                    <w:rPr>
                      <w:color w:val="auto"/>
                    </w:rPr>
                  </w:pPr>
                  <w:r>
                    <w:rPr>
                      <w:color w:val="auto"/>
                    </w:rPr>
                    <w:t>排放口类型</w:t>
                  </w:r>
                </w:p>
              </w:tc>
            </w:tr>
            <w:tr w14:paraId="5BF840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58" w:type="pct"/>
                  <w:vMerge w:val="continue"/>
                  <w:noWrap w:val="0"/>
                  <w:vAlign w:val="center"/>
                </w:tcPr>
                <w:p w14:paraId="555F39F7">
                  <w:pPr>
                    <w:pStyle w:val="69"/>
                    <w:rPr>
                      <w:color w:val="auto"/>
                    </w:rPr>
                  </w:pPr>
                </w:p>
              </w:tc>
              <w:tc>
                <w:tcPr>
                  <w:tcW w:w="371" w:type="pct"/>
                  <w:vMerge w:val="continue"/>
                  <w:noWrap w:val="0"/>
                  <w:vAlign w:val="center"/>
                </w:tcPr>
                <w:p w14:paraId="4C7B4EF1">
                  <w:pPr>
                    <w:pStyle w:val="69"/>
                    <w:rPr>
                      <w:color w:val="auto"/>
                    </w:rPr>
                  </w:pPr>
                </w:p>
              </w:tc>
              <w:tc>
                <w:tcPr>
                  <w:tcW w:w="516" w:type="pct"/>
                  <w:vMerge w:val="continue"/>
                  <w:noWrap w:val="0"/>
                  <w:vAlign w:val="center"/>
                </w:tcPr>
                <w:p w14:paraId="682BDB9E">
                  <w:pPr>
                    <w:pStyle w:val="69"/>
                    <w:rPr>
                      <w:color w:val="auto"/>
                    </w:rPr>
                  </w:pPr>
                </w:p>
              </w:tc>
              <w:tc>
                <w:tcPr>
                  <w:tcW w:w="410" w:type="pct"/>
                  <w:vMerge w:val="continue"/>
                  <w:noWrap w:val="0"/>
                  <w:vAlign w:val="center"/>
                </w:tcPr>
                <w:p w14:paraId="0DEC9960">
                  <w:pPr>
                    <w:pStyle w:val="69"/>
                    <w:rPr>
                      <w:color w:val="auto"/>
                    </w:rPr>
                  </w:pPr>
                </w:p>
              </w:tc>
              <w:tc>
                <w:tcPr>
                  <w:tcW w:w="595" w:type="pct"/>
                  <w:vMerge w:val="continue"/>
                  <w:noWrap w:val="0"/>
                  <w:vAlign w:val="center"/>
                </w:tcPr>
                <w:p w14:paraId="30ABC321">
                  <w:pPr>
                    <w:pStyle w:val="69"/>
                    <w:rPr>
                      <w:color w:val="auto"/>
                    </w:rPr>
                  </w:pPr>
                </w:p>
              </w:tc>
              <w:tc>
                <w:tcPr>
                  <w:tcW w:w="426" w:type="pct"/>
                  <w:noWrap w:val="0"/>
                  <w:vAlign w:val="center"/>
                </w:tcPr>
                <w:p w14:paraId="71BE58F5">
                  <w:pPr>
                    <w:pStyle w:val="69"/>
                    <w:rPr>
                      <w:color w:val="auto"/>
                    </w:rPr>
                  </w:pPr>
                  <w:r>
                    <w:rPr>
                      <w:color w:val="auto"/>
                    </w:rPr>
                    <w:t>污染治理设施编号</w:t>
                  </w:r>
                </w:p>
              </w:tc>
              <w:tc>
                <w:tcPr>
                  <w:tcW w:w="425" w:type="pct"/>
                  <w:noWrap w:val="0"/>
                  <w:vAlign w:val="center"/>
                </w:tcPr>
                <w:p w14:paraId="38C86678">
                  <w:pPr>
                    <w:pStyle w:val="69"/>
                    <w:rPr>
                      <w:color w:val="auto"/>
                    </w:rPr>
                  </w:pPr>
                  <w:r>
                    <w:rPr>
                      <w:color w:val="auto"/>
                    </w:rPr>
                    <w:t>污染治理设施名称</w:t>
                  </w:r>
                </w:p>
              </w:tc>
              <w:tc>
                <w:tcPr>
                  <w:tcW w:w="425" w:type="pct"/>
                  <w:noWrap w:val="0"/>
                  <w:vAlign w:val="center"/>
                </w:tcPr>
                <w:p w14:paraId="4EB3E275">
                  <w:pPr>
                    <w:pStyle w:val="69"/>
                    <w:rPr>
                      <w:color w:val="auto"/>
                    </w:rPr>
                  </w:pPr>
                  <w:r>
                    <w:rPr>
                      <w:color w:val="auto"/>
                    </w:rPr>
                    <w:t>污染治理设施工艺</w:t>
                  </w:r>
                </w:p>
              </w:tc>
              <w:tc>
                <w:tcPr>
                  <w:tcW w:w="425" w:type="pct"/>
                  <w:vMerge w:val="continue"/>
                  <w:noWrap w:val="0"/>
                  <w:vAlign w:val="center"/>
                </w:tcPr>
                <w:p w14:paraId="28FB1387">
                  <w:pPr>
                    <w:pStyle w:val="69"/>
                    <w:rPr>
                      <w:color w:val="auto"/>
                    </w:rPr>
                  </w:pPr>
                </w:p>
              </w:tc>
              <w:tc>
                <w:tcPr>
                  <w:tcW w:w="426" w:type="pct"/>
                  <w:vMerge w:val="continue"/>
                  <w:noWrap w:val="0"/>
                  <w:vAlign w:val="center"/>
                </w:tcPr>
                <w:p w14:paraId="7FFFC282">
                  <w:pPr>
                    <w:pStyle w:val="69"/>
                    <w:rPr>
                      <w:color w:val="auto"/>
                    </w:rPr>
                  </w:pPr>
                </w:p>
              </w:tc>
              <w:tc>
                <w:tcPr>
                  <w:tcW w:w="823" w:type="pct"/>
                  <w:vMerge w:val="continue"/>
                  <w:noWrap w:val="0"/>
                  <w:vAlign w:val="center"/>
                </w:tcPr>
                <w:p w14:paraId="679CBBE7">
                  <w:pPr>
                    <w:pStyle w:val="69"/>
                    <w:rPr>
                      <w:color w:val="auto"/>
                    </w:rPr>
                  </w:pPr>
                </w:p>
              </w:tc>
            </w:tr>
            <w:tr w14:paraId="29ECD5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158" w:type="pct"/>
                  <w:noWrap w:val="0"/>
                  <w:vAlign w:val="center"/>
                </w:tcPr>
                <w:p w14:paraId="4C5A0DA5">
                  <w:pPr>
                    <w:pStyle w:val="69"/>
                    <w:rPr>
                      <w:color w:val="auto"/>
                    </w:rPr>
                  </w:pPr>
                  <w:r>
                    <w:rPr>
                      <w:color w:val="auto"/>
                    </w:rPr>
                    <w:t>1</w:t>
                  </w:r>
                </w:p>
              </w:tc>
              <w:tc>
                <w:tcPr>
                  <w:tcW w:w="371" w:type="pct"/>
                  <w:noWrap w:val="0"/>
                  <w:vAlign w:val="center"/>
                </w:tcPr>
                <w:p w14:paraId="3FED3119">
                  <w:pPr>
                    <w:pStyle w:val="69"/>
                    <w:rPr>
                      <w:color w:val="auto"/>
                    </w:rPr>
                  </w:pPr>
                  <w:r>
                    <w:rPr>
                      <w:color w:val="auto"/>
                    </w:rPr>
                    <w:t>生活污水</w:t>
                  </w:r>
                </w:p>
              </w:tc>
              <w:tc>
                <w:tcPr>
                  <w:tcW w:w="516" w:type="pct"/>
                  <w:noWrap w:val="0"/>
                  <w:vAlign w:val="center"/>
                </w:tcPr>
                <w:p w14:paraId="18860D25">
                  <w:pPr>
                    <w:pStyle w:val="69"/>
                    <w:rPr>
                      <w:rFonts w:hint="eastAsia" w:eastAsia="宋体"/>
                      <w:color w:val="auto"/>
                      <w:lang w:eastAsia="zh-CN"/>
                    </w:rPr>
                  </w:pPr>
                  <w:r>
                    <w:rPr>
                      <w:color w:val="auto"/>
                    </w:rPr>
                    <w:t>pH、COD、NH</w:t>
                  </w:r>
                  <w:r>
                    <w:rPr>
                      <w:color w:val="auto"/>
                      <w:vertAlign w:val="subscript"/>
                    </w:rPr>
                    <w:t>3</w:t>
                  </w:r>
                  <w:r>
                    <w:rPr>
                      <w:color w:val="auto"/>
                    </w:rPr>
                    <w:t>-N、BOD</w:t>
                  </w:r>
                  <w:r>
                    <w:rPr>
                      <w:color w:val="auto"/>
                      <w:vertAlign w:val="subscript"/>
                    </w:rPr>
                    <w:t>5</w:t>
                  </w:r>
                  <w:r>
                    <w:rPr>
                      <w:color w:val="auto"/>
                    </w:rPr>
                    <w:t>、SS</w:t>
                  </w:r>
                  <w:r>
                    <w:rPr>
                      <w:rFonts w:hint="eastAsia"/>
                      <w:color w:val="auto"/>
                      <w:lang w:eastAsia="zh-CN"/>
                    </w:rPr>
                    <w:t>、总磷、总氮</w:t>
                  </w:r>
                </w:p>
              </w:tc>
              <w:tc>
                <w:tcPr>
                  <w:tcW w:w="410" w:type="pct"/>
                  <w:noWrap w:val="0"/>
                  <w:vAlign w:val="center"/>
                </w:tcPr>
                <w:p w14:paraId="4C2692E3">
                  <w:pPr>
                    <w:pStyle w:val="69"/>
                    <w:rPr>
                      <w:color w:val="auto"/>
                    </w:rPr>
                  </w:pPr>
                  <w:r>
                    <w:rPr>
                      <w:color w:val="auto"/>
                    </w:rPr>
                    <w:t>进入城市污水处理厂</w:t>
                  </w:r>
                </w:p>
              </w:tc>
              <w:tc>
                <w:tcPr>
                  <w:tcW w:w="595" w:type="pct"/>
                  <w:noWrap w:val="0"/>
                  <w:vAlign w:val="center"/>
                </w:tcPr>
                <w:p w14:paraId="09C28C4E">
                  <w:pPr>
                    <w:pStyle w:val="69"/>
                    <w:rPr>
                      <w:color w:val="auto"/>
                    </w:rPr>
                  </w:pPr>
                  <w:r>
                    <w:rPr>
                      <w:color w:val="auto"/>
                    </w:rPr>
                    <w:t>间断排放，排放期间流量不稳定且无规律，但不属于冲击型排放</w:t>
                  </w:r>
                </w:p>
              </w:tc>
              <w:tc>
                <w:tcPr>
                  <w:tcW w:w="426" w:type="pct"/>
                  <w:noWrap w:val="0"/>
                  <w:vAlign w:val="center"/>
                </w:tcPr>
                <w:p w14:paraId="3164285A">
                  <w:pPr>
                    <w:pStyle w:val="69"/>
                    <w:rPr>
                      <w:color w:val="auto"/>
                    </w:rPr>
                  </w:pPr>
                  <w:r>
                    <w:rPr>
                      <w:color w:val="auto"/>
                    </w:rPr>
                    <w:t>TW001</w:t>
                  </w:r>
                </w:p>
              </w:tc>
              <w:tc>
                <w:tcPr>
                  <w:tcW w:w="425" w:type="pct"/>
                  <w:noWrap w:val="0"/>
                  <w:vAlign w:val="center"/>
                </w:tcPr>
                <w:p w14:paraId="4316F206">
                  <w:pPr>
                    <w:pStyle w:val="69"/>
                    <w:rPr>
                      <w:color w:val="auto"/>
                    </w:rPr>
                  </w:pPr>
                  <w:r>
                    <w:rPr>
                      <w:color w:val="auto"/>
                    </w:rPr>
                    <w:t>化粪池</w:t>
                  </w:r>
                </w:p>
              </w:tc>
              <w:tc>
                <w:tcPr>
                  <w:tcW w:w="425" w:type="pct"/>
                  <w:noWrap w:val="0"/>
                  <w:vAlign w:val="center"/>
                </w:tcPr>
                <w:p w14:paraId="1AC091A2">
                  <w:pPr>
                    <w:pStyle w:val="69"/>
                    <w:rPr>
                      <w:color w:val="auto"/>
                    </w:rPr>
                  </w:pPr>
                  <w:r>
                    <w:rPr>
                      <w:color w:val="auto"/>
                    </w:rPr>
                    <w:t>沉淀、厌氧发酵</w:t>
                  </w:r>
                </w:p>
              </w:tc>
              <w:tc>
                <w:tcPr>
                  <w:tcW w:w="425" w:type="pct"/>
                  <w:noWrap w:val="0"/>
                  <w:vAlign w:val="center"/>
                </w:tcPr>
                <w:p w14:paraId="5B91ADE9">
                  <w:pPr>
                    <w:pStyle w:val="69"/>
                    <w:rPr>
                      <w:color w:val="auto"/>
                    </w:rPr>
                  </w:pPr>
                  <w:r>
                    <w:rPr>
                      <w:color w:val="auto"/>
                    </w:rPr>
                    <w:t>DW001</w:t>
                  </w:r>
                </w:p>
              </w:tc>
              <w:tc>
                <w:tcPr>
                  <w:tcW w:w="426" w:type="pct"/>
                  <w:noWrap w:val="0"/>
                  <w:vAlign w:val="center"/>
                </w:tcPr>
                <w:p w14:paraId="3B0FF9A5">
                  <w:pPr>
                    <w:pStyle w:val="69"/>
                    <w:rPr>
                      <w:color w:val="auto"/>
                    </w:rPr>
                  </w:pPr>
                  <w:r>
                    <w:rPr>
                      <w:rFonts w:ascii="Segoe UI Symbol" w:hAnsi="Segoe UI Symbol" w:cs="Segoe UI Symbol"/>
                      <w:color w:val="auto"/>
                      <w:kern w:val="0"/>
                    </w:rPr>
                    <w:t>☑</w:t>
                  </w:r>
                  <w:r>
                    <w:rPr>
                      <w:color w:val="auto"/>
                    </w:rPr>
                    <w:t>是</w:t>
                  </w:r>
                </w:p>
                <w:p w14:paraId="657D6A83">
                  <w:pPr>
                    <w:pStyle w:val="69"/>
                    <w:rPr>
                      <w:color w:val="auto"/>
                    </w:rPr>
                  </w:pPr>
                  <w:r>
                    <w:rPr>
                      <w:color w:val="auto"/>
                    </w:rPr>
                    <w:br w:type="textWrapping"/>
                  </w:r>
                  <w:r>
                    <w:rPr>
                      <w:color w:val="auto"/>
                    </w:rPr>
                    <w:t>□否</w:t>
                  </w:r>
                </w:p>
              </w:tc>
              <w:tc>
                <w:tcPr>
                  <w:tcW w:w="823" w:type="pct"/>
                  <w:noWrap w:val="0"/>
                  <w:vAlign w:val="center"/>
                </w:tcPr>
                <w:p w14:paraId="06E3DB05">
                  <w:pPr>
                    <w:pStyle w:val="69"/>
                    <w:jc w:val="both"/>
                    <w:rPr>
                      <w:color w:val="auto"/>
                    </w:rPr>
                  </w:pPr>
                  <w:r>
                    <w:rPr>
                      <w:rFonts w:ascii="Segoe UI Symbol" w:hAnsi="Segoe UI Symbol" w:cs="Segoe UI Symbol"/>
                      <w:color w:val="auto"/>
                      <w:kern w:val="0"/>
                    </w:rPr>
                    <w:t>☑</w:t>
                  </w:r>
                  <w:r>
                    <w:rPr>
                      <w:color w:val="auto"/>
                    </w:rPr>
                    <w:t>企业总排</w:t>
                  </w:r>
                  <w:r>
                    <w:rPr>
                      <w:color w:val="auto"/>
                    </w:rPr>
                    <w:br w:type="textWrapping"/>
                  </w:r>
                  <w:r>
                    <w:rPr>
                      <w:color w:val="auto"/>
                    </w:rPr>
                    <w:t>□雨水排放</w:t>
                  </w:r>
                  <w:r>
                    <w:rPr>
                      <w:color w:val="auto"/>
                    </w:rPr>
                    <w:br w:type="textWrapping"/>
                  </w:r>
                  <w:r>
                    <w:rPr>
                      <w:color w:val="auto"/>
                    </w:rPr>
                    <w:t>□清净下水排放</w:t>
                  </w:r>
                  <w:r>
                    <w:rPr>
                      <w:color w:val="auto"/>
                    </w:rPr>
                    <w:br w:type="textWrapping"/>
                  </w:r>
                  <w:r>
                    <w:rPr>
                      <w:color w:val="auto"/>
                    </w:rPr>
                    <w:t>□温排水排放</w:t>
                  </w:r>
                </w:p>
                <w:p w14:paraId="2432E15D">
                  <w:pPr>
                    <w:pStyle w:val="69"/>
                    <w:jc w:val="both"/>
                    <w:rPr>
                      <w:color w:val="auto"/>
                    </w:rPr>
                  </w:pPr>
                  <w:r>
                    <w:rPr>
                      <w:color w:val="auto"/>
                    </w:rPr>
                    <w:t>□车间或车间处理设施排放口</w:t>
                  </w:r>
                </w:p>
              </w:tc>
            </w:tr>
          </w:tbl>
          <w:p w14:paraId="319EE33A">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eastAsia="宋体" w:cs="Times New Roman"/>
                <w:b/>
                <w:bCs/>
                <w:color w:val="auto"/>
                <w:sz w:val="24"/>
                <w:szCs w:val="24"/>
              </w:rPr>
            </w:pPr>
            <w:r>
              <w:rPr>
                <w:rFonts w:hint="eastAsia"/>
                <w:b/>
                <w:bCs/>
                <w:color w:val="auto"/>
                <w:sz w:val="24"/>
                <w:szCs w:val="24"/>
                <w:lang w:val="en-US" w:eastAsia="zh-CN"/>
              </w:rPr>
              <w:t>表4.2-</w:t>
            </w:r>
            <w:r>
              <w:rPr>
                <w:rFonts w:hint="eastAsia" w:cs="Times New Roman"/>
                <w:b/>
                <w:bCs/>
                <w:color w:val="auto"/>
                <w:sz w:val="24"/>
                <w:szCs w:val="22"/>
                <w:highlight w:val="none"/>
                <w:lang w:val="en-US" w:eastAsia="zh-CN"/>
              </w:rPr>
              <w:t xml:space="preserve">3  </w:t>
            </w:r>
            <w:r>
              <w:rPr>
                <w:rFonts w:ascii="Times New Roman" w:hAnsi="Times New Roman" w:eastAsia="宋体" w:cs="Times New Roman"/>
                <w:b/>
                <w:bCs/>
                <w:color w:val="auto"/>
                <w:sz w:val="24"/>
                <w:szCs w:val="24"/>
              </w:rPr>
              <w:t>废水</w:t>
            </w:r>
            <w:r>
              <w:rPr>
                <w:rFonts w:ascii="Times New Roman" w:hAnsi="Times New Roman" w:cs="Times New Roman"/>
                <w:b/>
                <w:bCs/>
                <w:color w:val="auto"/>
                <w:sz w:val="24"/>
                <w:szCs w:val="24"/>
              </w:rPr>
              <w:t>间接</w:t>
            </w:r>
            <w:r>
              <w:rPr>
                <w:rFonts w:ascii="Times New Roman" w:hAnsi="Times New Roman" w:eastAsia="宋体" w:cs="Times New Roman"/>
                <w:b/>
                <w:bCs/>
                <w:color w:val="auto"/>
                <w:sz w:val="24"/>
                <w:szCs w:val="24"/>
              </w:rPr>
              <w:t>排放口基本情况表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338"/>
              <w:gridCol w:w="777"/>
              <w:gridCol w:w="1353"/>
              <w:gridCol w:w="726"/>
              <w:gridCol w:w="795"/>
              <w:gridCol w:w="1606"/>
              <w:gridCol w:w="1026"/>
              <w:gridCol w:w="1856"/>
            </w:tblGrid>
            <w:tr w14:paraId="4610A9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blHeader/>
                <w:jc w:val="center"/>
              </w:trPr>
              <w:tc>
                <w:tcPr>
                  <w:tcW w:w="199" w:type="pct"/>
                  <w:vMerge w:val="restart"/>
                  <w:noWrap w:val="0"/>
                  <w:vAlign w:val="center"/>
                </w:tcPr>
                <w:p w14:paraId="6AEFB76F">
                  <w:pPr>
                    <w:widowControl/>
                    <w:jc w:val="center"/>
                    <w:rPr>
                      <w:color w:val="auto"/>
                      <w:kern w:val="0"/>
                      <w:szCs w:val="21"/>
                    </w:rPr>
                  </w:pPr>
                  <w:r>
                    <w:rPr>
                      <w:color w:val="auto"/>
                      <w:kern w:val="0"/>
                      <w:szCs w:val="21"/>
                    </w:rPr>
                    <w:t>序号</w:t>
                  </w:r>
                </w:p>
              </w:tc>
              <w:tc>
                <w:tcPr>
                  <w:tcW w:w="458" w:type="pct"/>
                  <w:vMerge w:val="restart"/>
                  <w:noWrap w:val="0"/>
                  <w:vAlign w:val="center"/>
                </w:tcPr>
                <w:p w14:paraId="7A39B624">
                  <w:pPr>
                    <w:widowControl/>
                    <w:jc w:val="center"/>
                    <w:rPr>
                      <w:color w:val="auto"/>
                      <w:kern w:val="0"/>
                      <w:szCs w:val="21"/>
                    </w:rPr>
                  </w:pPr>
                  <w:r>
                    <w:rPr>
                      <w:color w:val="auto"/>
                      <w:kern w:val="0"/>
                      <w:szCs w:val="21"/>
                    </w:rPr>
                    <w:t>排放口编号</w:t>
                  </w:r>
                </w:p>
              </w:tc>
              <w:tc>
                <w:tcPr>
                  <w:tcW w:w="798" w:type="pct"/>
                  <w:vMerge w:val="restart"/>
                  <w:noWrap w:val="0"/>
                  <w:vAlign w:val="center"/>
                </w:tcPr>
                <w:p w14:paraId="2F717076">
                  <w:pPr>
                    <w:widowControl/>
                    <w:jc w:val="center"/>
                    <w:rPr>
                      <w:color w:val="auto"/>
                      <w:kern w:val="0"/>
                      <w:szCs w:val="21"/>
                    </w:rPr>
                  </w:pPr>
                  <w:r>
                    <w:rPr>
                      <w:color w:val="auto"/>
                      <w:kern w:val="0"/>
                      <w:szCs w:val="21"/>
                    </w:rPr>
                    <w:t>排放口位置</w:t>
                  </w:r>
                </w:p>
              </w:tc>
              <w:tc>
                <w:tcPr>
                  <w:tcW w:w="428" w:type="pct"/>
                  <w:vMerge w:val="restart"/>
                  <w:noWrap w:val="0"/>
                  <w:vAlign w:val="center"/>
                </w:tcPr>
                <w:p w14:paraId="47F976F8">
                  <w:pPr>
                    <w:widowControl/>
                    <w:jc w:val="center"/>
                    <w:rPr>
                      <w:color w:val="auto"/>
                      <w:kern w:val="0"/>
                      <w:szCs w:val="21"/>
                    </w:rPr>
                  </w:pPr>
                  <w:r>
                    <w:rPr>
                      <w:color w:val="auto"/>
                      <w:kern w:val="0"/>
                      <w:szCs w:val="21"/>
                    </w:rPr>
                    <w:t>排放口类型</w:t>
                  </w:r>
                </w:p>
              </w:tc>
              <w:tc>
                <w:tcPr>
                  <w:tcW w:w="469" w:type="pct"/>
                  <w:vMerge w:val="restart"/>
                  <w:noWrap w:val="0"/>
                  <w:vAlign w:val="center"/>
                </w:tcPr>
                <w:p w14:paraId="24182CD7">
                  <w:pPr>
                    <w:widowControl/>
                    <w:jc w:val="center"/>
                    <w:rPr>
                      <w:color w:val="auto"/>
                      <w:kern w:val="0"/>
                      <w:szCs w:val="21"/>
                    </w:rPr>
                  </w:pPr>
                  <w:r>
                    <w:rPr>
                      <w:color w:val="auto"/>
                      <w:kern w:val="0"/>
                      <w:szCs w:val="21"/>
                    </w:rPr>
                    <w:t>排放去向</w:t>
                  </w:r>
                </w:p>
              </w:tc>
              <w:tc>
                <w:tcPr>
                  <w:tcW w:w="947" w:type="pct"/>
                  <w:vMerge w:val="restart"/>
                  <w:noWrap w:val="0"/>
                  <w:vAlign w:val="center"/>
                </w:tcPr>
                <w:p w14:paraId="7AF44C52">
                  <w:pPr>
                    <w:widowControl/>
                    <w:jc w:val="center"/>
                    <w:rPr>
                      <w:color w:val="auto"/>
                      <w:kern w:val="0"/>
                      <w:szCs w:val="21"/>
                    </w:rPr>
                  </w:pPr>
                  <w:r>
                    <w:rPr>
                      <w:color w:val="auto"/>
                      <w:kern w:val="0"/>
                      <w:szCs w:val="21"/>
                    </w:rPr>
                    <w:t>排放规律</w:t>
                  </w:r>
                </w:p>
              </w:tc>
              <w:tc>
                <w:tcPr>
                  <w:tcW w:w="1700" w:type="pct"/>
                  <w:gridSpan w:val="2"/>
                  <w:noWrap w:val="0"/>
                  <w:vAlign w:val="center"/>
                </w:tcPr>
                <w:p w14:paraId="4A955ADA">
                  <w:pPr>
                    <w:widowControl/>
                    <w:jc w:val="center"/>
                    <w:rPr>
                      <w:color w:val="auto"/>
                      <w:kern w:val="0"/>
                      <w:szCs w:val="21"/>
                    </w:rPr>
                  </w:pPr>
                  <w:r>
                    <w:rPr>
                      <w:color w:val="auto"/>
                      <w:kern w:val="0"/>
                      <w:szCs w:val="21"/>
                    </w:rPr>
                    <w:t>受纳污水处理厂信息</w:t>
                  </w:r>
                </w:p>
              </w:tc>
            </w:tr>
            <w:tr w14:paraId="506181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tblHeader/>
                <w:jc w:val="center"/>
              </w:trPr>
              <w:tc>
                <w:tcPr>
                  <w:tcW w:w="199" w:type="pct"/>
                  <w:vMerge w:val="continue"/>
                  <w:noWrap w:val="0"/>
                  <w:vAlign w:val="center"/>
                </w:tcPr>
                <w:p w14:paraId="4CEFA678">
                  <w:pPr>
                    <w:widowControl/>
                    <w:jc w:val="center"/>
                    <w:rPr>
                      <w:color w:val="auto"/>
                      <w:kern w:val="0"/>
                      <w:szCs w:val="21"/>
                    </w:rPr>
                  </w:pPr>
                </w:p>
              </w:tc>
              <w:tc>
                <w:tcPr>
                  <w:tcW w:w="458" w:type="pct"/>
                  <w:vMerge w:val="continue"/>
                  <w:noWrap w:val="0"/>
                  <w:vAlign w:val="center"/>
                </w:tcPr>
                <w:p w14:paraId="32D81A4D">
                  <w:pPr>
                    <w:widowControl/>
                    <w:jc w:val="center"/>
                    <w:rPr>
                      <w:color w:val="auto"/>
                      <w:kern w:val="0"/>
                      <w:szCs w:val="21"/>
                    </w:rPr>
                  </w:pPr>
                </w:p>
              </w:tc>
              <w:tc>
                <w:tcPr>
                  <w:tcW w:w="798" w:type="pct"/>
                  <w:vMerge w:val="continue"/>
                  <w:noWrap w:val="0"/>
                  <w:vAlign w:val="center"/>
                </w:tcPr>
                <w:p w14:paraId="09228479">
                  <w:pPr>
                    <w:widowControl/>
                    <w:jc w:val="center"/>
                    <w:rPr>
                      <w:color w:val="auto"/>
                      <w:kern w:val="0"/>
                      <w:szCs w:val="21"/>
                    </w:rPr>
                  </w:pPr>
                </w:p>
              </w:tc>
              <w:tc>
                <w:tcPr>
                  <w:tcW w:w="428" w:type="pct"/>
                  <w:vMerge w:val="continue"/>
                  <w:noWrap w:val="0"/>
                  <w:vAlign w:val="center"/>
                </w:tcPr>
                <w:p w14:paraId="32F28ABB">
                  <w:pPr>
                    <w:widowControl/>
                    <w:jc w:val="center"/>
                    <w:rPr>
                      <w:color w:val="auto"/>
                      <w:kern w:val="0"/>
                      <w:szCs w:val="21"/>
                    </w:rPr>
                  </w:pPr>
                </w:p>
              </w:tc>
              <w:tc>
                <w:tcPr>
                  <w:tcW w:w="469" w:type="pct"/>
                  <w:vMerge w:val="continue"/>
                  <w:noWrap w:val="0"/>
                  <w:vAlign w:val="center"/>
                </w:tcPr>
                <w:p w14:paraId="146B636C">
                  <w:pPr>
                    <w:widowControl/>
                    <w:jc w:val="center"/>
                    <w:rPr>
                      <w:color w:val="auto"/>
                      <w:kern w:val="0"/>
                      <w:szCs w:val="21"/>
                    </w:rPr>
                  </w:pPr>
                </w:p>
              </w:tc>
              <w:tc>
                <w:tcPr>
                  <w:tcW w:w="947" w:type="pct"/>
                  <w:vMerge w:val="continue"/>
                  <w:noWrap w:val="0"/>
                  <w:vAlign w:val="center"/>
                </w:tcPr>
                <w:p w14:paraId="51882D62">
                  <w:pPr>
                    <w:widowControl/>
                    <w:jc w:val="center"/>
                    <w:rPr>
                      <w:color w:val="auto"/>
                      <w:kern w:val="0"/>
                      <w:szCs w:val="21"/>
                    </w:rPr>
                  </w:pPr>
                </w:p>
              </w:tc>
              <w:tc>
                <w:tcPr>
                  <w:tcW w:w="605" w:type="pct"/>
                  <w:noWrap w:val="0"/>
                  <w:vAlign w:val="center"/>
                </w:tcPr>
                <w:p w14:paraId="6CCC0498">
                  <w:pPr>
                    <w:widowControl/>
                    <w:jc w:val="center"/>
                    <w:rPr>
                      <w:color w:val="auto"/>
                      <w:kern w:val="0"/>
                      <w:szCs w:val="21"/>
                    </w:rPr>
                  </w:pPr>
                  <w:r>
                    <w:rPr>
                      <w:color w:val="auto"/>
                      <w:kern w:val="0"/>
                      <w:szCs w:val="21"/>
                    </w:rPr>
                    <w:t>名称</w:t>
                  </w:r>
                </w:p>
              </w:tc>
              <w:tc>
                <w:tcPr>
                  <w:tcW w:w="1095" w:type="pct"/>
                  <w:noWrap w:val="0"/>
                  <w:vAlign w:val="center"/>
                </w:tcPr>
                <w:p w14:paraId="01F3D4A1">
                  <w:pPr>
                    <w:widowControl/>
                    <w:jc w:val="center"/>
                    <w:rPr>
                      <w:color w:val="auto"/>
                      <w:kern w:val="0"/>
                      <w:szCs w:val="21"/>
                    </w:rPr>
                  </w:pPr>
                  <w:r>
                    <w:rPr>
                      <w:color w:val="auto"/>
                      <w:kern w:val="0"/>
                      <w:szCs w:val="21"/>
                    </w:rPr>
                    <w:t>排放标准</w:t>
                  </w:r>
                </w:p>
              </w:tc>
            </w:tr>
            <w:tr w14:paraId="1D30E5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99" w:type="pct"/>
                  <w:noWrap w:val="0"/>
                  <w:vAlign w:val="center"/>
                </w:tcPr>
                <w:p w14:paraId="45FDA6E9">
                  <w:pPr>
                    <w:widowControl/>
                    <w:jc w:val="center"/>
                    <w:rPr>
                      <w:color w:val="auto"/>
                      <w:kern w:val="0"/>
                      <w:szCs w:val="21"/>
                    </w:rPr>
                  </w:pPr>
                  <w:r>
                    <w:rPr>
                      <w:color w:val="auto"/>
                      <w:kern w:val="0"/>
                      <w:szCs w:val="21"/>
                    </w:rPr>
                    <w:t>1</w:t>
                  </w:r>
                </w:p>
              </w:tc>
              <w:tc>
                <w:tcPr>
                  <w:tcW w:w="458" w:type="pct"/>
                  <w:noWrap w:val="0"/>
                  <w:vAlign w:val="center"/>
                </w:tcPr>
                <w:p w14:paraId="0764DF09">
                  <w:pPr>
                    <w:widowControl/>
                    <w:jc w:val="center"/>
                    <w:rPr>
                      <w:color w:val="auto"/>
                      <w:kern w:val="0"/>
                      <w:szCs w:val="21"/>
                    </w:rPr>
                  </w:pPr>
                  <w:r>
                    <w:rPr>
                      <w:color w:val="auto"/>
                      <w:kern w:val="0"/>
                      <w:szCs w:val="21"/>
                    </w:rPr>
                    <w:t>DW001</w:t>
                  </w:r>
                </w:p>
              </w:tc>
              <w:tc>
                <w:tcPr>
                  <w:tcW w:w="798" w:type="pct"/>
                  <w:noWrap w:val="0"/>
                  <w:vAlign w:val="center"/>
                </w:tcPr>
                <w:p w14:paraId="0F55EDB2">
                  <w:pPr>
                    <w:widowControl/>
                    <w:jc w:val="center"/>
                    <w:rPr>
                      <w:color w:val="auto"/>
                      <w:szCs w:val="21"/>
                    </w:rPr>
                  </w:pPr>
                  <w:r>
                    <w:rPr>
                      <w:color w:val="auto"/>
                      <w:szCs w:val="21"/>
                    </w:rPr>
                    <w:t>119°23′0.43″E</w:t>
                  </w:r>
                </w:p>
                <w:p w14:paraId="3516C8DB">
                  <w:pPr>
                    <w:widowControl/>
                    <w:jc w:val="center"/>
                    <w:rPr>
                      <w:color w:val="auto"/>
                      <w:szCs w:val="21"/>
                    </w:rPr>
                  </w:pPr>
                  <w:r>
                    <w:rPr>
                      <w:color w:val="auto"/>
                      <w:szCs w:val="21"/>
                    </w:rPr>
                    <w:t>25°54′18.38″N</w:t>
                  </w:r>
                </w:p>
              </w:tc>
              <w:tc>
                <w:tcPr>
                  <w:tcW w:w="428" w:type="pct"/>
                  <w:noWrap w:val="0"/>
                  <w:vAlign w:val="center"/>
                </w:tcPr>
                <w:p w14:paraId="68A99839">
                  <w:pPr>
                    <w:widowControl/>
                    <w:jc w:val="center"/>
                    <w:rPr>
                      <w:color w:val="auto"/>
                      <w:kern w:val="0"/>
                      <w:szCs w:val="21"/>
                    </w:rPr>
                  </w:pPr>
                  <w:r>
                    <w:rPr>
                      <w:color w:val="auto"/>
                      <w:szCs w:val="21"/>
                    </w:rPr>
                    <w:t>企业总排</w:t>
                  </w:r>
                </w:p>
              </w:tc>
              <w:tc>
                <w:tcPr>
                  <w:tcW w:w="469" w:type="pct"/>
                  <w:noWrap w:val="0"/>
                  <w:vAlign w:val="center"/>
                </w:tcPr>
                <w:p w14:paraId="222271CA">
                  <w:pPr>
                    <w:widowControl/>
                    <w:jc w:val="center"/>
                    <w:rPr>
                      <w:color w:val="auto"/>
                      <w:kern w:val="0"/>
                      <w:szCs w:val="21"/>
                    </w:rPr>
                  </w:pPr>
                  <w:r>
                    <w:rPr>
                      <w:color w:val="auto"/>
                      <w:kern w:val="0"/>
                      <w:szCs w:val="21"/>
                    </w:rPr>
                    <w:t>进入城市污水处理厂</w:t>
                  </w:r>
                </w:p>
              </w:tc>
              <w:tc>
                <w:tcPr>
                  <w:tcW w:w="947" w:type="pct"/>
                  <w:noWrap w:val="0"/>
                  <w:vAlign w:val="center"/>
                </w:tcPr>
                <w:p w14:paraId="5FA38595">
                  <w:pPr>
                    <w:widowControl/>
                    <w:jc w:val="center"/>
                    <w:rPr>
                      <w:color w:val="auto"/>
                      <w:kern w:val="0"/>
                      <w:szCs w:val="21"/>
                    </w:rPr>
                  </w:pPr>
                  <w:r>
                    <w:rPr>
                      <w:color w:val="auto"/>
                      <w:szCs w:val="21"/>
                    </w:rPr>
                    <w:t>间断排放，排放期间流量不稳定且无规律，但不属于冲击型排放</w:t>
                  </w:r>
                </w:p>
              </w:tc>
              <w:tc>
                <w:tcPr>
                  <w:tcW w:w="605" w:type="pct"/>
                  <w:noWrap w:val="0"/>
                  <w:vAlign w:val="center"/>
                </w:tcPr>
                <w:p w14:paraId="268D3289">
                  <w:pPr>
                    <w:pStyle w:val="30"/>
                    <w:spacing w:before="30" w:after="30"/>
                    <w:jc w:val="both"/>
                    <w:rPr>
                      <w:rFonts w:hint="eastAsia" w:eastAsia="宋体"/>
                      <w:color w:val="auto"/>
                      <w:kern w:val="0"/>
                      <w:szCs w:val="21"/>
                      <w:lang w:eastAsia="zh-CN"/>
                    </w:rPr>
                  </w:pPr>
                  <w:r>
                    <w:rPr>
                      <w:rFonts w:hint="eastAsia"/>
                      <w:color w:val="auto"/>
                      <w:kern w:val="0"/>
                      <w:szCs w:val="21"/>
                      <w:lang w:eastAsia="zh-CN"/>
                    </w:rPr>
                    <w:t>闽侯县污水处理厂</w:t>
                  </w:r>
                </w:p>
              </w:tc>
              <w:tc>
                <w:tcPr>
                  <w:tcW w:w="1095" w:type="pct"/>
                  <w:noWrap w:val="0"/>
                  <w:vAlign w:val="center"/>
                </w:tcPr>
                <w:p w14:paraId="6AC8079B">
                  <w:pPr>
                    <w:pStyle w:val="30"/>
                    <w:spacing w:before="30" w:after="30"/>
                    <w:rPr>
                      <w:rFonts w:hint="eastAsia"/>
                      <w:color w:val="auto"/>
                      <w:kern w:val="0"/>
                      <w:szCs w:val="21"/>
                    </w:rPr>
                  </w:pPr>
                  <w:r>
                    <w:rPr>
                      <w:rFonts w:hint="eastAsia" w:ascii="Times New Roman" w:hAnsi="Times New Roman" w:eastAsia="宋体" w:cs="Times New Roman"/>
                      <w:bCs w:val="0"/>
                      <w:color w:val="auto"/>
                      <w:kern w:val="0"/>
                      <w:sz w:val="21"/>
                      <w:szCs w:val="21"/>
                      <w:lang w:val="en-US" w:eastAsia="zh-CN" w:bidi="ar-SA"/>
                    </w:rPr>
                    <w:t>《</w:t>
                  </w:r>
                  <w:r>
                    <w:rPr>
                      <w:rFonts w:hint="eastAsia" w:ascii="Times New Roman"/>
                      <w:color w:val="auto"/>
                      <w:kern w:val="0"/>
                      <w:sz w:val="21"/>
                      <w:szCs w:val="21"/>
                    </w:rPr>
                    <w:t>城镇污水处理厂污染物排放标准</w:t>
                  </w:r>
                  <w:r>
                    <w:rPr>
                      <w:rFonts w:hint="eastAsia" w:ascii="Times New Roman" w:hAnsi="Times New Roman" w:eastAsia="宋体" w:cs="Times New Roman"/>
                      <w:bCs w:val="0"/>
                      <w:color w:val="auto"/>
                      <w:kern w:val="0"/>
                      <w:sz w:val="21"/>
                      <w:szCs w:val="21"/>
                      <w:lang w:val="en-US" w:eastAsia="zh-CN" w:bidi="ar-SA"/>
                    </w:rPr>
                    <w:t>》</w:t>
                  </w:r>
                  <w:r>
                    <w:rPr>
                      <w:rFonts w:hint="eastAsia" w:ascii="Times New Roman"/>
                      <w:color w:val="auto"/>
                      <w:kern w:val="0"/>
                      <w:sz w:val="21"/>
                      <w:szCs w:val="21"/>
                    </w:rPr>
                    <w:t>（</w:t>
                  </w:r>
                  <w:r>
                    <w:rPr>
                      <w:rFonts w:hint="eastAsia" w:ascii="Times New Roman" w:hAnsi="Times New Roman"/>
                      <w:color w:val="auto"/>
                      <w:kern w:val="0"/>
                      <w:sz w:val="21"/>
                      <w:szCs w:val="21"/>
                    </w:rPr>
                    <w:t>GB18198-2002</w:t>
                  </w:r>
                  <w:r>
                    <w:rPr>
                      <w:rFonts w:hint="eastAsia" w:ascii="Times New Roman"/>
                      <w:color w:val="auto"/>
                      <w:kern w:val="0"/>
                      <w:sz w:val="21"/>
                      <w:szCs w:val="21"/>
                    </w:rPr>
                    <w:t>）</w:t>
                  </w:r>
                  <w:r>
                    <w:rPr>
                      <w:rFonts w:hint="eastAsia"/>
                      <w:color w:val="auto"/>
                      <w:kern w:val="0"/>
                      <w:szCs w:val="21"/>
                    </w:rPr>
                    <w:t>表1中一级A标准</w:t>
                  </w:r>
                </w:p>
              </w:tc>
            </w:tr>
          </w:tbl>
          <w:p w14:paraId="07A2B103">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eastAsia="宋体" w:cs="Times New Roman"/>
                <w:b/>
                <w:bCs/>
                <w:color w:val="auto"/>
                <w:sz w:val="24"/>
                <w:szCs w:val="24"/>
              </w:rPr>
            </w:pPr>
            <w:r>
              <w:rPr>
                <w:rFonts w:hint="eastAsia"/>
                <w:b/>
                <w:bCs/>
                <w:color w:val="auto"/>
                <w:sz w:val="24"/>
                <w:szCs w:val="24"/>
                <w:lang w:val="en-US" w:eastAsia="zh-CN"/>
              </w:rPr>
              <w:t>表4.2-</w:t>
            </w:r>
            <w:r>
              <w:rPr>
                <w:rFonts w:hint="eastAsia" w:cs="Times New Roman"/>
                <w:b/>
                <w:bCs/>
                <w:color w:val="auto"/>
                <w:sz w:val="24"/>
                <w:szCs w:val="22"/>
                <w:highlight w:val="none"/>
                <w:lang w:val="en-US" w:eastAsia="zh-CN"/>
              </w:rPr>
              <w:t xml:space="preserve">4  </w:t>
            </w:r>
            <w:r>
              <w:rPr>
                <w:rFonts w:ascii="Times New Roman" w:hAnsi="Times New Roman" w:eastAsia="宋体" w:cs="Times New Roman"/>
                <w:b/>
                <w:bCs/>
                <w:color w:val="auto"/>
                <w:sz w:val="24"/>
                <w:szCs w:val="24"/>
              </w:rPr>
              <w:t>废水污染物排放执行标准表</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687"/>
              <w:gridCol w:w="1202"/>
              <w:gridCol w:w="2309"/>
              <w:gridCol w:w="2448"/>
              <w:gridCol w:w="1831"/>
            </w:tblGrid>
            <w:tr w14:paraId="363265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05" w:type="pct"/>
                  <w:vMerge w:val="restart"/>
                  <w:noWrap w:val="0"/>
                  <w:vAlign w:val="center"/>
                </w:tcPr>
                <w:p w14:paraId="5FD0A0E5">
                  <w:pPr>
                    <w:widowControl/>
                    <w:jc w:val="center"/>
                    <w:rPr>
                      <w:color w:val="auto"/>
                      <w:kern w:val="0"/>
                      <w:szCs w:val="21"/>
                    </w:rPr>
                  </w:pPr>
                  <w:bookmarkStart w:id="39" w:name="_Hlk61355885"/>
                  <w:r>
                    <w:rPr>
                      <w:color w:val="auto"/>
                      <w:kern w:val="0"/>
                      <w:szCs w:val="21"/>
                    </w:rPr>
                    <w:t>序号</w:t>
                  </w:r>
                </w:p>
              </w:tc>
              <w:tc>
                <w:tcPr>
                  <w:tcW w:w="708" w:type="pct"/>
                  <w:vMerge w:val="restart"/>
                  <w:noWrap w:val="0"/>
                  <w:vAlign w:val="center"/>
                </w:tcPr>
                <w:p w14:paraId="2AB2D98D">
                  <w:pPr>
                    <w:widowControl/>
                    <w:jc w:val="center"/>
                    <w:rPr>
                      <w:color w:val="auto"/>
                      <w:kern w:val="0"/>
                      <w:szCs w:val="21"/>
                    </w:rPr>
                  </w:pPr>
                  <w:r>
                    <w:rPr>
                      <w:color w:val="auto"/>
                      <w:kern w:val="0"/>
                      <w:szCs w:val="21"/>
                    </w:rPr>
                    <w:t>排放口编号</w:t>
                  </w:r>
                </w:p>
              </w:tc>
              <w:tc>
                <w:tcPr>
                  <w:tcW w:w="1361" w:type="pct"/>
                  <w:vMerge w:val="restart"/>
                  <w:noWrap w:val="0"/>
                  <w:vAlign w:val="center"/>
                </w:tcPr>
                <w:p w14:paraId="72866734">
                  <w:pPr>
                    <w:widowControl/>
                    <w:jc w:val="center"/>
                    <w:rPr>
                      <w:color w:val="auto"/>
                      <w:kern w:val="0"/>
                      <w:szCs w:val="21"/>
                    </w:rPr>
                  </w:pPr>
                  <w:r>
                    <w:rPr>
                      <w:color w:val="auto"/>
                      <w:kern w:val="0"/>
                      <w:szCs w:val="21"/>
                    </w:rPr>
                    <w:t>污染物种类</w:t>
                  </w:r>
                </w:p>
              </w:tc>
              <w:tc>
                <w:tcPr>
                  <w:tcW w:w="2523" w:type="pct"/>
                  <w:gridSpan w:val="2"/>
                  <w:noWrap w:val="0"/>
                  <w:vAlign w:val="center"/>
                </w:tcPr>
                <w:p w14:paraId="1F8A3416">
                  <w:pPr>
                    <w:widowControl/>
                    <w:jc w:val="center"/>
                    <w:rPr>
                      <w:color w:val="auto"/>
                      <w:kern w:val="0"/>
                      <w:szCs w:val="21"/>
                    </w:rPr>
                  </w:pPr>
                  <w:r>
                    <w:rPr>
                      <w:color w:val="auto"/>
                      <w:kern w:val="0"/>
                      <w:szCs w:val="21"/>
                    </w:rPr>
                    <w:t>国家或地方污染物排放标准及其他按规定商定的排放协议</w:t>
                  </w:r>
                </w:p>
              </w:tc>
            </w:tr>
            <w:tr w14:paraId="0FD9BF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05" w:type="pct"/>
                  <w:vMerge w:val="continue"/>
                  <w:noWrap w:val="0"/>
                  <w:vAlign w:val="center"/>
                </w:tcPr>
                <w:p w14:paraId="7BAE0416">
                  <w:pPr>
                    <w:widowControl/>
                    <w:jc w:val="left"/>
                    <w:rPr>
                      <w:color w:val="auto"/>
                      <w:kern w:val="0"/>
                      <w:szCs w:val="21"/>
                    </w:rPr>
                  </w:pPr>
                </w:p>
              </w:tc>
              <w:tc>
                <w:tcPr>
                  <w:tcW w:w="708" w:type="pct"/>
                  <w:vMerge w:val="continue"/>
                  <w:noWrap w:val="0"/>
                  <w:vAlign w:val="center"/>
                </w:tcPr>
                <w:p w14:paraId="36399A08">
                  <w:pPr>
                    <w:widowControl/>
                    <w:jc w:val="left"/>
                    <w:rPr>
                      <w:color w:val="auto"/>
                      <w:kern w:val="0"/>
                      <w:szCs w:val="21"/>
                    </w:rPr>
                  </w:pPr>
                </w:p>
              </w:tc>
              <w:tc>
                <w:tcPr>
                  <w:tcW w:w="1361" w:type="pct"/>
                  <w:vMerge w:val="continue"/>
                  <w:noWrap w:val="0"/>
                  <w:vAlign w:val="center"/>
                </w:tcPr>
                <w:p w14:paraId="2F168810">
                  <w:pPr>
                    <w:widowControl/>
                    <w:jc w:val="left"/>
                    <w:rPr>
                      <w:color w:val="auto"/>
                      <w:kern w:val="0"/>
                      <w:szCs w:val="21"/>
                    </w:rPr>
                  </w:pPr>
                </w:p>
              </w:tc>
              <w:tc>
                <w:tcPr>
                  <w:tcW w:w="1443" w:type="pct"/>
                  <w:noWrap w:val="0"/>
                  <w:vAlign w:val="center"/>
                </w:tcPr>
                <w:p w14:paraId="55402B34">
                  <w:pPr>
                    <w:widowControl/>
                    <w:jc w:val="center"/>
                    <w:rPr>
                      <w:color w:val="auto"/>
                      <w:kern w:val="0"/>
                      <w:szCs w:val="21"/>
                    </w:rPr>
                  </w:pPr>
                  <w:r>
                    <w:rPr>
                      <w:color w:val="auto"/>
                      <w:kern w:val="0"/>
                      <w:szCs w:val="21"/>
                    </w:rPr>
                    <w:t>名称</w:t>
                  </w:r>
                </w:p>
              </w:tc>
              <w:tc>
                <w:tcPr>
                  <w:tcW w:w="1079" w:type="pct"/>
                  <w:noWrap w:val="0"/>
                  <w:vAlign w:val="center"/>
                </w:tcPr>
                <w:p w14:paraId="552B01A2">
                  <w:pPr>
                    <w:widowControl/>
                    <w:jc w:val="center"/>
                    <w:rPr>
                      <w:color w:val="auto"/>
                      <w:kern w:val="0"/>
                      <w:szCs w:val="21"/>
                    </w:rPr>
                  </w:pPr>
                  <w:r>
                    <w:rPr>
                      <w:color w:val="auto"/>
                      <w:kern w:val="0"/>
                      <w:szCs w:val="21"/>
                    </w:rPr>
                    <w:t>浓度限值/(mg/L)</w:t>
                  </w:r>
                </w:p>
              </w:tc>
            </w:tr>
            <w:tr w14:paraId="21067A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05" w:type="pct"/>
                  <w:vMerge w:val="restart"/>
                  <w:noWrap w:val="0"/>
                  <w:vAlign w:val="center"/>
                </w:tcPr>
                <w:p w14:paraId="2A774C3D">
                  <w:pPr>
                    <w:widowControl/>
                    <w:jc w:val="center"/>
                    <w:rPr>
                      <w:color w:val="auto"/>
                      <w:kern w:val="0"/>
                      <w:szCs w:val="21"/>
                    </w:rPr>
                  </w:pPr>
                  <w:r>
                    <w:rPr>
                      <w:color w:val="auto"/>
                      <w:kern w:val="0"/>
                      <w:szCs w:val="21"/>
                    </w:rPr>
                    <w:t>1</w:t>
                  </w:r>
                </w:p>
              </w:tc>
              <w:tc>
                <w:tcPr>
                  <w:tcW w:w="708" w:type="pct"/>
                  <w:vMerge w:val="restart"/>
                  <w:noWrap w:val="0"/>
                  <w:vAlign w:val="center"/>
                </w:tcPr>
                <w:p w14:paraId="0B7AD4C0">
                  <w:pPr>
                    <w:widowControl/>
                    <w:jc w:val="center"/>
                    <w:rPr>
                      <w:color w:val="auto"/>
                      <w:kern w:val="0"/>
                      <w:szCs w:val="21"/>
                    </w:rPr>
                  </w:pPr>
                  <w:r>
                    <w:rPr>
                      <w:color w:val="auto"/>
                      <w:kern w:val="0"/>
                      <w:szCs w:val="21"/>
                    </w:rPr>
                    <w:t>DW001</w:t>
                  </w:r>
                </w:p>
              </w:tc>
              <w:tc>
                <w:tcPr>
                  <w:tcW w:w="2309" w:type="dxa"/>
                  <w:noWrap w:val="0"/>
                  <w:vAlign w:val="center"/>
                </w:tcPr>
                <w:p w14:paraId="28669BC2">
                  <w:pPr>
                    <w:pStyle w:val="30"/>
                    <w:spacing w:line="240" w:lineRule="auto"/>
                    <w:rPr>
                      <w:color w:val="auto"/>
                      <w:kern w:val="0"/>
                    </w:rPr>
                  </w:pPr>
                  <w:r>
                    <w:rPr>
                      <w:rFonts w:ascii="Times New Roman" w:hAnsi="Times New Roman"/>
                      <w:color w:val="auto"/>
                      <w:sz w:val="21"/>
                      <w:szCs w:val="21"/>
                    </w:rPr>
                    <w:t>pH</w:t>
                  </w:r>
                </w:p>
              </w:tc>
              <w:tc>
                <w:tcPr>
                  <w:tcW w:w="1443" w:type="pct"/>
                  <w:vMerge w:val="restart"/>
                  <w:noWrap w:val="0"/>
                  <w:vAlign w:val="center"/>
                </w:tcPr>
                <w:p w14:paraId="73A4AF77">
                  <w:pPr>
                    <w:widowControl/>
                    <w:jc w:val="center"/>
                    <w:rPr>
                      <w:color w:val="auto"/>
                      <w:kern w:val="0"/>
                      <w:szCs w:val="21"/>
                    </w:rPr>
                  </w:pPr>
                  <w:r>
                    <w:rPr>
                      <w:rFonts w:ascii="Times New Roman" w:hAnsi="Times New Roman" w:eastAsia="宋体" w:cs="Times New Roman"/>
                      <w:bCs w:val="0"/>
                      <w:color w:val="auto"/>
                      <w:kern w:val="2"/>
                      <w:sz w:val="21"/>
                      <w:szCs w:val="21"/>
                      <w:lang w:val="en-US" w:eastAsia="zh-CN" w:bidi="ar-SA"/>
                    </w:rPr>
                    <w:t>执行《污水综合排放标准》（GB8978-1996）表4中三级标准</w:t>
                  </w:r>
                  <w:r>
                    <w:rPr>
                      <w:rFonts w:hint="eastAsia" w:cs="Times New Roman"/>
                      <w:bCs w:val="0"/>
                      <w:color w:val="auto"/>
                      <w:kern w:val="2"/>
                      <w:sz w:val="21"/>
                      <w:szCs w:val="21"/>
                      <w:lang w:val="en-US" w:eastAsia="zh-CN" w:bidi="ar-SA"/>
                    </w:rPr>
                    <w:t>、</w:t>
                  </w:r>
                  <w:r>
                    <w:rPr>
                      <w:rFonts w:ascii="Times New Roman" w:hAnsi="Times New Roman" w:eastAsia="宋体" w:cs="Times New Roman"/>
                      <w:bCs w:val="0"/>
                      <w:color w:val="auto"/>
                      <w:kern w:val="2"/>
                      <w:sz w:val="21"/>
                      <w:szCs w:val="21"/>
                      <w:lang w:val="en-US" w:eastAsia="zh-CN" w:bidi="ar-SA"/>
                    </w:rPr>
                    <w:t>《污水排入城镇下水道水质标准》（GB/T31962-2015）B等级标准</w:t>
                  </w:r>
                  <w:r>
                    <w:rPr>
                      <w:rFonts w:hint="eastAsia" w:cs="Times New Roman"/>
                      <w:bCs w:val="0"/>
                      <w:color w:val="auto"/>
                      <w:kern w:val="2"/>
                      <w:sz w:val="21"/>
                      <w:szCs w:val="21"/>
                      <w:lang w:val="en-US" w:eastAsia="zh-CN" w:bidi="ar-SA"/>
                    </w:rPr>
                    <w:t>及</w:t>
                  </w:r>
                  <w:r>
                    <w:rPr>
                      <w:rFonts w:hint="eastAsia" w:ascii="Times New Roman" w:hAnsi="Times New Roman" w:eastAsia="宋体" w:cs="Times New Roman"/>
                      <w:bCs w:val="0"/>
                      <w:color w:val="auto"/>
                      <w:kern w:val="2"/>
                      <w:sz w:val="21"/>
                      <w:szCs w:val="21"/>
                      <w:lang w:val="en-US" w:eastAsia="zh-CN" w:bidi="ar-SA"/>
                    </w:rPr>
                    <w:t>闽侯县污水处理厂纳管标准</w:t>
                  </w:r>
                </w:p>
              </w:tc>
              <w:tc>
                <w:tcPr>
                  <w:tcW w:w="1831" w:type="dxa"/>
                  <w:noWrap w:val="0"/>
                  <w:vAlign w:val="center"/>
                </w:tcPr>
                <w:p w14:paraId="32F64FFE">
                  <w:pPr>
                    <w:pStyle w:val="30"/>
                    <w:spacing w:line="240" w:lineRule="auto"/>
                    <w:rPr>
                      <w:color w:val="auto"/>
                      <w:kern w:val="0"/>
                      <w:szCs w:val="21"/>
                    </w:rPr>
                  </w:pPr>
                  <w:r>
                    <w:rPr>
                      <w:rFonts w:hint="eastAsia" w:ascii="Times New Roman" w:hAnsi="Times New Roman"/>
                      <w:color w:val="auto"/>
                      <w:sz w:val="21"/>
                      <w:szCs w:val="21"/>
                    </w:rPr>
                    <w:t>6-9（无量纲）</w:t>
                  </w:r>
                </w:p>
              </w:tc>
            </w:tr>
            <w:tr w14:paraId="05A502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05" w:type="pct"/>
                  <w:vMerge w:val="continue"/>
                  <w:noWrap w:val="0"/>
                  <w:vAlign w:val="center"/>
                </w:tcPr>
                <w:p w14:paraId="27B74E37">
                  <w:pPr>
                    <w:widowControl/>
                    <w:jc w:val="center"/>
                    <w:rPr>
                      <w:color w:val="auto"/>
                      <w:kern w:val="0"/>
                      <w:szCs w:val="21"/>
                    </w:rPr>
                  </w:pPr>
                </w:p>
              </w:tc>
              <w:tc>
                <w:tcPr>
                  <w:tcW w:w="708" w:type="pct"/>
                  <w:vMerge w:val="continue"/>
                  <w:noWrap w:val="0"/>
                  <w:vAlign w:val="center"/>
                </w:tcPr>
                <w:p w14:paraId="56F68F3F">
                  <w:pPr>
                    <w:widowControl/>
                    <w:jc w:val="center"/>
                    <w:rPr>
                      <w:color w:val="auto"/>
                      <w:kern w:val="0"/>
                      <w:szCs w:val="21"/>
                    </w:rPr>
                  </w:pPr>
                </w:p>
              </w:tc>
              <w:tc>
                <w:tcPr>
                  <w:tcW w:w="2309" w:type="dxa"/>
                  <w:noWrap w:val="0"/>
                  <w:vAlign w:val="center"/>
                </w:tcPr>
                <w:p w14:paraId="5E1D8401">
                  <w:pPr>
                    <w:pStyle w:val="30"/>
                    <w:spacing w:line="240" w:lineRule="auto"/>
                    <w:rPr>
                      <w:color w:val="auto"/>
                      <w:kern w:val="0"/>
                      <w:szCs w:val="21"/>
                    </w:rPr>
                  </w:pPr>
                  <w:r>
                    <w:rPr>
                      <w:rFonts w:ascii="Times New Roman" w:hAnsi="Times New Roman"/>
                      <w:color w:val="auto"/>
                      <w:sz w:val="21"/>
                      <w:szCs w:val="21"/>
                    </w:rPr>
                    <w:t>C</w:t>
                  </w:r>
                  <w:r>
                    <w:rPr>
                      <w:rFonts w:hint="eastAsia" w:ascii="Times New Roman" w:hAnsi="Times New Roman"/>
                      <w:color w:val="auto"/>
                      <w:sz w:val="21"/>
                      <w:szCs w:val="21"/>
                    </w:rPr>
                    <w:t>O</w:t>
                  </w:r>
                  <w:r>
                    <w:rPr>
                      <w:rFonts w:ascii="Times New Roman" w:hAnsi="Times New Roman"/>
                      <w:color w:val="auto"/>
                      <w:sz w:val="21"/>
                      <w:szCs w:val="21"/>
                    </w:rPr>
                    <w:t>D</w:t>
                  </w:r>
                </w:p>
              </w:tc>
              <w:tc>
                <w:tcPr>
                  <w:tcW w:w="1443" w:type="pct"/>
                  <w:vMerge w:val="continue"/>
                  <w:noWrap w:val="0"/>
                  <w:vAlign w:val="center"/>
                </w:tcPr>
                <w:p w14:paraId="1EB5B52B">
                  <w:pPr>
                    <w:widowControl/>
                    <w:jc w:val="center"/>
                    <w:rPr>
                      <w:color w:val="auto"/>
                      <w:kern w:val="0"/>
                      <w:szCs w:val="21"/>
                    </w:rPr>
                  </w:pPr>
                </w:p>
              </w:tc>
              <w:tc>
                <w:tcPr>
                  <w:tcW w:w="1831" w:type="dxa"/>
                  <w:noWrap w:val="0"/>
                  <w:vAlign w:val="center"/>
                </w:tcPr>
                <w:p w14:paraId="540B8AE4">
                  <w:pPr>
                    <w:widowControl/>
                    <w:jc w:val="center"/>
                    <w:textAlignment w:val="center"/>
                    <w:rPr>
                      <w:rFonts w:hint="default"/>
                      <w:color w:val="auto"/>
                      <w:kern w:val="0"/>
                      <w:szCs w:val="21"/>
                    </w:rPr>
                  </w:pPr>
                  <w:r>
                    <w:rPr>
                      <w:rFonts w:ascii="Times New Roman" w:hAnsi="Times New Roman" w:eastAsia="宋体" w:cs="Times New Roman"/>
                      <w:bCs w:val="0"/>
                      <w:color w:val="auto"/>
                      <w:kern w:val="2"/>
                      <w:sz w:val="21"/>
                      <w:szCs w:val="21"/>
                      <w:lang w:val="en-US" w:eastAsia="zh-CN" w:bidi="ar-SA"/>
                    </w:rPr>
                    <w:t>250</w:t>
                  </w:r>
                </w:p>
              </w:tc>
            </w:tr>
            <w:tr w14:paraId="100FE8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05" w:type="pct"/>
                  <w:vMerge w:val="continue"/>
                  <w:noWrap w:val="0"/>
                  <w:vAlign w:val="center"/>
                </w:tcPr>
                <w:p w14:paraId="46598DEC">
                  <w:pPr>
                    <w:widowControl/>
                    <w:jc w:val="center"/>
                    <w:rPr>
                      <w:color w:val="auto"/>
                      <w:kern w:val="0"/>
                      <w:szCs w:val="21"/>
                    </w:rPr>
                  </w:pPr>
                </w:p>
              </w:tc>
              <w:tc>
                <w:tcPr>
                  <w:tcW w:w="708" w:type="pct"/>
                  <w:vMerge w:val="continue"/>
                  <w:noWrap w:val="0"/>
                  <w:vAlign w:val="center"/>
                </w:tcPr>
                <w:p w14:paraId="6A8983A3">
                  <w:pPr>
                    <w:widowControl/>
                    <w:jc w:val="center"/>
                    <w:rPr>
                      <w:color w:val="auto"/>
                      <w:kern w:val="0"/>
                      <w:szCs w:val="21"/>
                    </w:rPr>
                  </w:pPr>
                </w:p>
              </w:tc>
              <w:tc>
                <w:tcPr>
                  <w:tcW w:w="2309" w:type="dxa"/>
                  <w:noWrap w:val="0"/>
                  <w:vAlign w:val="center"/>
                </w:tcPr>
                <w:p w14:paraId="42106CC1">
                  <w:pPr>
                    <w:pStyle w:val="30"/>
                    <w:spacing w:line="240" w:lineRule="auto"/>
                    <w:rPr>
                      <w:color w:val="auto"/>
                      <w:kern w:val="0"/>
                      <w:szCs w:val="21"/>
                    </w:rPr>
                  </w:pPr>
                  <w:r>
                    <w:rPr>
                      <w:rFonts w:ascii="Times New Roman" w:hAnsi="Times New Roman"/>
                      <w:color w:val="auto"/>
                      <w:sz w:val="21"/>
                      <w:szCs w:val="21"/>
                    </w:rPr>
                    <w:t>BOD</w:t>
                  </w:r>
                  <w:r>
                    <w:rPr>
                      <w:rFonts w:ascii="Times New Roman" w:hAnsi="Times New Roman"/>
                      <w:color w:val="auto"/>
                      <w:sz w:val="21"/>
                      <w:szCs w:val="21"/>
                      <w:vertAlign w:val="subscript"/>
                    </w:rPr>
                    <w:t>5</w:t>
                  </w:r>
                </w:p>
              </w:tc>
              <w:tc>
                <w:tcPr>
                  <w:tcW w:w="1443" w:type="pct"/>
                  <w:vMerge w:val="continue"/>
                  <w:noWrap w:val="0"/>
                  <w:vAlign w:val="center"/>
                </w:tcPr>
                <w:p w14:paraId="19A3EFFC">
                  <w:pPr>
                    <w:widowControl/>
                    <w:jc w:val="center"/>
                    <w:rPr>
                      <w:color w:val="auto"/>
                      <w:kern w:val="0"/>
                      <w:szCs w:val="21"/>
                    </w:rPr>
                  </w:pPr>
                </w:p>
              </w:tc>
              <w:tc>
                <w:tcPr>
                  <w:tcW w:w="1831" w:type="dxa"/>
                  <w:noWrap w:val="0"/>
                  <w:vAlign w:val="center"/>
                </w:tcPr>
                <w:p w14:paraId="16793ED1">
                  <w:pPr>
                    <w:widowControl/>
                    <w:jc w:val="center"/>
                    <w:textAlignment w:val="center"/>
                    <w:rPr>
                      <w:color w:val="auto"/>
                      <w:kern w:val="0"/>
                      <w:szCs w:val="21"/>
                    </w:rPr>
                  </w:pPr>
                  <w:r>
                    <w:rPr>
                      <w:rFonts w:ascii="Times New Roman" w:hAnsi="Times New Roman" w:eastAsia="宋体" w:cs="Times New Roman"/>
                      <w:bCs w:val="0"/>
                      <w:color w:val="auto"/>
                      <w:kern w:val="2"/>
                      <w:sz w:val="21"/>
                      <w:szCs w:val="21"/>
                      <w:lang w:val="en-US" w:eastAsia="zh-CN" w:bidi="ar-SA"/>
                    </w:rPr>
                    <w:t>150</w:t>
                  </w:r>
                </w:p>
              </w:tc>
            </w:tr>
            <w:tr w14:paraId="5D28CB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05" w:type="pct"/>
                  <w:vMerge w:val="continue"/>
                  <w:noWrap w:val="0"/>
                  <w:vAlign w:val="center"/>
                </w:tcPr>
                <w:p w14:paraId="4A0AACBC">
                  <w:pPr>
                    <w:widowControl/>
                    <w:jc w:val="center"/>
                    <w:rPr>
                      <w:color w:val="auto"/>
                      <w:kern w:val="0"/>
                      <w:szCs w:val="21"/>
                    </w:rPr>
                  </w:pPr>
                </w:p>
              </w:tc>
              <w:tc>
                <w:tcPr>
                  <w:tcW w:w="708" w:type="pct"/>
                  <w:vMerge w:val="continue"/>
                  <w:noWrap w:val="0"/>
                  <w:vAlign w:val="center"/>
                </w:tcPr>
                <w:p w14:paraId="1337CBD7">
                  <w:pPr>
                    <w:widowControl/>
                    <w:jc w:val="center"/>
                    <w:rPr>
                      <w:color w:val="auto"/>
                      <w:kern w:val="0"/>
                      <w:szCs w:val="21"/>
                    </w:rPr>
                  </w:pPr>
                </w:p>
              </w:tc>
              <w:tc>
                <w:tcPr>
                  <w:tcW w:w="2309" w:type="dxa"/>
                  <w:noWrap w:val="0"/>
                  <w:vAlign w:val="center"/>
                </w:tcPr>
                <w:p w14:paraId="5DB28EA2">
                  <w:pPr>
                    <w:pStyle w:val="30"/>
                    <w:spacing w:line="240" w:lineRule="auto"/>
                    <w:rPr>
                      <w:color w:val="auto"/>
                      <w:kern w:val="0"/>
                      <w:szCs w:val="21"/>
                    </w:rPr>
                  </w:pPr>
                  <w:r>
                    <w:rPr>
                      <w:rFonts w:ascii="Times New Roman" w:hAnsi="Times New Roman"/>
                      <w:color w:val="auto"/>
                      <w:sz w:val="21"/>
                      <w:szCs w:val="21"/>
                    </w:rPr>
                    <w:t>SS</w:t>
                  </w:r>
                </w:p>
              </w:tc>
              <w:tc>
                <w:tcPr>
                  <w:tcW w:w="1443" w:type="pct"/>
                  <w:vMerge w:val="continue"/>
                  <w:noWrap w:val="0"/>
                  <w:vAlign w:val="center"/>
                </w:tcPr>
                <w:p w14:paraId="75794EFB">
                  <w:pPr>
                    <w:widowControl/>
                    <w:jc w:val="center"/>
                    <w:rPr>
                      <w:color w:val="auto"/>
                      <w:kern w:val="0"/>
                      <w:szCs w:val="21"/>
                    </w:rPr>
                  </w:pPr>
                </w:p>
              </w:tc>
              <w:tc>
                <w:tcPr>
                  <w:tcW w:w="1831" w:type="dxa"/>
                  <w:noWrap w:val="0"/>
                  <w:vAlign w:val="center"/>
                </w:tcPr>
                <w:p w14:paraId="59831366">
                  <w:pPr>
                    <w:widowControl/>
                    <w:jc w:val="center"/>
                    <w:textAlignment w:val="center"/>
                    <w:rPr>
                      <w:color w:val="auto"/>
                      <w:kern w:val="0"/>
                      <w:szCs w:val="21"/>
                    </w:rPr>
                  </w:pPr>
                  <w:r>
                    <w:rPr>
                      <w:rFonts w:ascii="Times New Roman" w:hAnsi="Times New Roman" w:eastAsia="宋体" w:cs="Times New Roman"/>
                      <w:bCs w:val="0"/>
                      <w:color w:val="auto"/>
                      <w:kern w:val="2"/>
                      <w:sz w:val="21"/>
                      <w:szCs w:val="21"/>
                      <w:lang w:val="en-US" w:eastAsia="zh-CN" w:bidi="ar-SA"/>
                    </w:rPr>
                    <w:t>200</w:t>
                  </w:r>
                </w:p>
              </w:tc>
            </w:tr>
            <w:tr w14:paraId="22738FA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05" w:type="pct"/>
                  <w:vMerge w:val="continue"/>
                  <w:noWrap w:val="0"/>
                  <w:vAlign w:val="center"/>
                </w:tcPr>
                <w:p w14:paraId="5C92E026">
                  <w:pPr>
                    <w:widowControl/>
                    <w:jc w:val="center"/>
                    <w:rPr>
                      <w:color w:val="auto"/>
                      <w:kern w:val="0"/>
                      <w:szCs w:val="21"/>
                    </w:rPr>
                  </w:pPr>
                </w:p>
              </w:tc>
              <w:tc>
                <w:tcPr>
                  <w:tcW w:w="708" w:type="pct"/>
                  <w:vMerge w:val="continue"/>
                  <w:noWrap w:val="0"/>
                  <w:vAlign w:val="center"/>
                </w:tcPr>
                <w:p w14:paraId="56DCC9A2">
                  <w:pPr>
                    <w:widowControl/>
                    <w:jc w:val="center"/>
                    <w:rPr>
                      <w:color w:val="auto"/>
                      <w:kern w:val="0"/>
                      <w:szCs w:val="21"/>
                    </w:rPr>
                  </w:pPr>
                </w:p>
              </w:tc>
              <w:tc>
                <w:tcPr>
                  <w:tcW w:w="2309" w:type="dxa"/>
                  <w:noWrap w:val="0"/>
                  <w:vAlign w:val="center"/>
                </w:tcPr>
                <w:p w14:paraId="1C2F28C8">
                  <w:pPr>
                    <w:pStyle w:val="30"/>
                    <w:spacing w:line="240" w:lineRule="auto"/>
                    <w:rPr>
                      <w:color w:val="auto"/>
                      <w:kern w:val="0"/>
                    </w:rPr>
                  </w:pPr>
                  <w:r>
                    <w:rPr>
                      <w:rFonts w:ascii="Times New Roman" w:hAnsi="Times New Roman"/>
                      <w:color w:val="auto"/>
                      <w:sz w:val="21"/>
                      <w:szCs w:val="21"/>
                    </w:rPr>
                    <w:t>氨氮</w:t>
                  </w:r>
                </w:p>
              </w:tc>
              <w:tc>
                <w:tcPr>
                  <w:tcW w:w="1443" w:type="pct"/>
                  <w:vMerge w:val="continue"/>
                  <w:noWrap w:val="0"/>
                  <w:vAlign w:val="center"/>
                </w:tcPr>
                <w:p w14:paraId="28D49AC7">
                  <w:pPr>
                    <w:widowControl/>
                    <w:jc w:val="center"/>
                    <w:rPr>
                      <w:color w:val="auto"/>
                      <w:kern w:val="0"/>
                      <w:szCs w:val="21"/>
                    </w:rPr>
                  </w:pPr>
                </w:p>
              </w:tc>
              <w:tc>
                <w:tcPr>
                  <w:tcW w:w="1831" w:type="dxa"/>
                  <w:noWrap w:val="0"/>
                  <w:vAlign w:val="center"/>
                </w:tcPr>
                <w:p w14:paraId="669B989C">
                  <w:pPr>
                    <w:pStyle w:val="30"/>
                    <w:spacing w:line="240" w:lineRule="auto"/>
                    <w:rPr>
                      <w:color w:val="auto"/>
                      <w:kern w:val="0"/>
                      <w:szCs w:val="21"/>
                    </w:rPr>
                  </w:pPr>
                  <w:r>
                    <w:rPr>
                      <w:rFonts w:hint="eastAsia" w:ascii="Times New Roman" w:hAnsi="Times New Roman" w:eastAsia="宋体" w:cs="Times New Roman"/>
                      <w:bCs w:val="0"/>
                      <w:color w:val="auto"/>
                      <w:kern w:val="2"/>
                      <w:sz w:val="21"/>
                      <w:szCs w:val="21"/>
                      <w:lang w:val="en-US" w:eastAsia="zh-CN" w:bidi="ar-SA"/>
                    </w:rPr>
                    <w:t>30</w:t>
                  </w:r>
                </w:p>
              </w:tc>
            </w:tr>
            <w:tr w14:paraId="0B594B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05" w:type="pct"/>
                  <w:vMerge w:val="continue"/>
                  <w:noWrap w:val="0"/>
                  <w:vAlign w:val="center"/>
                </w:tcPr>
                <w:p w14:paraId="67142132">
                  <w:pPr>
                    <w:widowControl/>
                    <w:jc w:val="center"/>
                    <w:rPr>
                      <w:color w:val="auto"/>
                      <w:kern w:val="0"/>
                      <w:szCs w:val="21"/>
                    </w:rPr>
                  </w:pPr>
                </w:p>
              </w:tc>
              <w:tc>
                <w:tcPr>
                  <w:tcW w:w="708" w:type="pct"/>
                  <w:vMerge w:val="continue"/>
                  <w:noWrap w:val="0"/>
                  <w:vAlign w:val="center"/>
                </w:tcPr>
                <w:p w14:paraId="51A1A13A">
                  <w:pPr>
                    <w:widowControl/>
                    <w:jc w:val="center"/>
                    <w:rPr>
                      <w:color w:val="auto"/>
                      <w:kern w:val="0"/>
                      <w:szCs w:val="21"/>
                    </w:rPr>
                  </w:pPr>
                </w:p>
              </w:tc>
              <w:tc>
                <w:tcPr>
                  <w:tcW w:w="2309" w:type="dxa"/>
                  <w:noWrap w:val="0"/>
                  <w:vAlign w:val="center"/>
                </w:tcPr>
                <w:p w14:paraId="4E4C8167">
                  <w:pPr>
                    <w:pStyle w:val="30"/>
                    <w:spacing w:line="240" w:lineRule="auto"/>
                    <w:rPr>
                      <w:color w:val="auto"/>
                    </w:rPr>
                  </w:pPr>
                  <w:r>
                    <w:rPr>
                      <w:rFonts w:ascii="Times New Roman" w:hAnsi="Times New Roman"/>
                      <w:color w:val="auto"/>
                      <w:sz w:val="21"/>
                      <w:szCs w:val="21"/>
                    </w:rPr>
                    <w:t>总磷</w:t>
                  </w:r>
                </w:p>
              </w:tc>
              <w:tc>
                <w:tcPr>
                  <w:tcW w:w="1443" w:type="pct"/>
                  <w:vMerge w:val="continue"/>
                  <w:noWrap w:val="0"/>
                  <w:vAlign w:val="center"/>
                </w:tcPr>
                <w:p w14:paraId="5803F338">
                  <w:pPr>
                    <w:widowControl/>
                    <w:jc w:val="center"/>
                    <w:rPr>
                      <w:color w:val="auto"/>
                      <w:kern w:val="0"/>
                      <w:szCs w:val="21"/>
                    </w:rPr>
                  </w:pPr>
                </w:p>
              </w:tc>
              <w:tc>
                <w:tcPr>
                  <w:tcW w:w="1831" w:type="dxa"/>
                  <w:noWrap w:val="0"/>
                  <w:vAlign w:val="center"/>
                </w:tcPr>
                <w:p w14:paraId="56EC9D1B">
                  <w:pPr>
                    <w:pStyle w:val="30"/>
                    <w:spacing w:line="240" w:lineRule="auto"/>
                    <w:rPr>
                      <w:color w:val="auto"/>
                      <w:szCs w:val="21"/>
                    </w:rPr>
                  </w:pPr>
                  <w:r>
                    <w:rPr>
                      <w:rFonts w:hint="eastAsia" w:ascii="Times New Roman" w:hAnsi="Times New Roman" w:eastAsia="宋体" w:cs="Times New Roman"/>
                      <w:bCs w:val="0"/>
                      <w:color w:val="auto"/>
                      <w:kern w:val="2"/>
                      <w:sz w:val="21"/>
                      <w:szCs w:val="21"/>
                      <w:lang w:val="en-US" w:eastAsia="zh-CN" w:bidi="ar-SA"/>
                    </w:rPr>
                    <w:t>3.5</w:t>
                  </w:r>
                </w:p>
              </w:tc>
            </w:tr>
            <w:tr w14:paraId="736D51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05" w:type="pct"/>
                  <w:vMerge w:val="continue"/>
                  <w:noWrap w:val="0"/>
                  <w:vAlign w:val="center"/>
                </w:tcPr>
                <w:p w14:paraId="7C73404A">
                  <w:pPr>
                    <w:widowControl/>
                    <w:jc w:val="center"/>
                    <w:rPr>
                      <w:color w:val="auto"/>
                      <w:kern w:val="0"/>
                      <w:szCs w:val="21"/>
                    </w:rPr>
                  </w:pPr>
                </w:p>
              </w:tc>
              <w:tc>
                <w:tcPr>
                  <w:tcW w:w="708" w:type="pct"/>
                  <w:vMerge w:val="continue"/>
                  <w:noWrap w:val="0"/>
                  <w:vAlign w:val="center"/>
                </w:tcPr>
                <w:p w14:paraId="60A09F61">
                  <w:pPr>
                    <w:widowControl/>
                    <w:jc w:val="center"/>
                    <w:rPr>
                      <w:color w:val="auto"/>
                      <w:kern w:val="0"/>
                      <w:szCs w:val="21"/>
                    </w:rPr>
                  </w:pPr>
                </w:p>
              </w:tc>
              <w:tc>
                <w:tcPr>
                  <w:tcW w:w="2309" w:type="dxa"/>
                  <w:noWrap w:val="0"/>
                  <w:vAlign w:val="center"/>
                </w:tcPr>
                <w:p w14:paraId="49F27CC0">
                  <w:pPr>
                    <w:pStyle w:val="30"/>
                    <w:spacing w:line="240" w:lineRule="auto"/>
                    <w:rPr>
                      <w:color w:val="auto"/>
                    </w:rPr>
                  </w:pPr>
                  <w:r>
                    <w:rPr>
                      <w:rFonts w:ascii="Times New Roman" w:hAnsi="Times New Roman"/>
                      <w:color w:val="auto"/>
                      <w:sz w:val="21"/>
                      <w:szCs w:val="21"/>
                    </w:rPr>
                    <w:t>总氮</w:t>
                  </w:r>
                </w:p>
              </w:tc>
              <w:tc>
                <w:tcPr>
                  <w:tcW w:w="1443" w:type="pct"/>
                  <w:vMerge w:val="continue"/>
                  <w:noWrap w:val="0"/>
                  <w:vAlign w:val="center"/>
                </w:tcPr>
                <w:p w14:paraId="652B9371">
                  <w:pPr>
                    <w:widowControl/>
                    <w:jc w:val="center"/>
                    <w:rPr>
                      <w:color w:val="auto"/>
                      <w:kern w:val="0"/>
                      <w:szCs w:val="21"/>
                    </w:rPr>
                  </w:pPr>
                </w:p>
              </w:tc>
              <w:tc>
                <w:tcPr>
                  <w:tcW w:w="1831" w:type="dxa"/>
                  <w:noWrap w:val="0"/>
                  <w:vAlign w:val="center"/>
                </w:tcPr>
                <w:p w14:paraId="6F0F1804">
                  <w:pPr>
                    <w:pStyle w:val="30"/>
                    <w:spacing w:line="240" w:lineRule="auto"/>
                    <w:rPr>
                      <w:color w:val="auto"/>
                      <w:szCs w:val="21"/>
                    </w:rPr>
                  </w:pPr>
                  <w:r>
                    <w:rPr>
                      <w:rFonts w:hint="eastAsia" w:ascii="Times New Roman" w:hAnsi="Times New Roman" w:eastAsia="宋体" w:cs="Times New Roman"/>
                      <w:bCs w:val="0"/>
                      <w:color w:val="auto"/>
                      <w:kern w:val="2"/>
                      <w:sz w:val="21"/>
                      <w:szCs w:val="21"/>
                      <w:lang w:val="en-US" w:eastAsia="zh-CN" w:bidi="ar-SA"/>
                    </w:rPr>
                    <w:t>40</w:t>
                  </w:r>
                </w:p>
              </w:tc>
            </w:tr>
            <w:bookmarkEnd w:id="39"/>
          </w:tbl>
          <w:p w14:paraId="49595EA1">
            <w:pPr>
              <w:pStyle w:val="55"/>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b/>
                <w:bCs/>
                <w:color w:val="auto"/>
                <w:sz w:val="24"/>
                <w:szCs w:val="24"/>
                <w:lang w:eastAsia="zh-CN"/>
              </w:rPr>
            </w:pPr>
            <w:r>
              <w:rPr>
                <w:rFonts w:hint="eastAsia"/>
                <w:b/>
                <w:bCs/>
                <w:color w:val="auto"/>
                <w:sz w:val="24"/>
                <w:szCs w:val="24"/>
                <w:lang w:eastAsia="zh-CN"/>
              </w:rPr>
              <w:t>（</w:t>
            </w:r>
            <w:r>
              <w:rPr>
                <w:rFonts w:hint="eastAsia"/>
                <w:b/>
                <w:bCs/>
                <w:color w:val="auto"/>
                <w:sz w:val="24"/>
                <w:szCs w:val="24"/>
                <w:lang w:val="en-US" w:eastAsia="zh-CN"/>
              </w:rPr>
              <w:t>3</w:t>
            </w:r>
            <w:r>
              <w:rPr>
                <w:rFonts w:hint="eastAsia"/>
                <w:b/>
                <w:bCs/>
                <w:color w:val="auto"/>
                <w:sz w:val="24"/>
                <w:szCs w:val="24"/>
                <w:lang w:eastAsia="zh-CN"/>
              </w:rPr>
              <w:t>）污染防治措施可行性分析</w:t>
            </w:r>
          </w:p>
          <w:p w14:paraId="583D01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
                <w:bCs/>
                <w:color w:val="auto"/>
                <w:sz w:val="24"/>
                <w:szCs w:val="24"/>
              </w:rPr>
            </w:pPr>
            <w:r>
              <w:rPr>
                <w:rFonts w:hint="default" w:ascii="Times New Roman" w:hAnsi="Times New Roman" w:eastAsia="宋体" w:cs="Times New Roman"/>
                <w:color w:val="auto"/>
                <w:kern w:val="0"/>
                <w:sz w:val="24"/>
                <w:szCs w:val="24"/>
                <w:lang w:bidi="ar"/>
              </w:rPr>
              <w:t>本项目产生的废水主要为冷却水定期排水和生活污水，项目冷却水</w:t>
            </w:r>
            <w:r>
              <w:rPr>
                <w:rFonts w:hint="eastAsia" w:ascii="Times New Roman" w:hAnsi="Times New Roman" w:eastAsia="宋体" w:cs="Times New Roman"/>
                <w:color w:val="auto"/>
                <w:kern w:val="0"/>
                <w:sz w:val="24"/>
                <w:szCs w:val="24"/>
                <w:lang w:eastAsia="zh-CN" w:bidi="ar"/>
              </w:rPr>
              <w:t>间接</w:t>
            </w:r>
            <w:r>
              <w:rPr>
                <w:rFonts w:hint="default" w:ascii="Times New Roman" w:hAnsi="Times New Roman" w:eastAsia="宋体" w:cs="Times New Roman"/>
                <w:color w:val="auto"/>
                <w:kern w:val="0"/>
                <w:sz w:val="24"/>
                <w:szCs w:val="24"/>
                <w:lang w:eastAsia="zh-CN" w:bidi="ar"/>
              </w:rPr>
              <w:t>冷却</w:t>
            </w:r>
            <w:r>
              <w:rPr>
                <w:rFonts w:hint="default" w:ascii="Times New Roman" w:hAnsi="Times New Roman" w:eastAsia="宋体" w:cs="Times New Roman"/>
                <w:color w:val="auto"/>
                <w:kern w:val="0"/>
                <w:sz w:val="24"/>
                <w:szCs w:val="24"/>
                <w:lang w:bidi="ar"/>
              </w:rPr>
              <w:t>，</w:t>
            </w:r>
            <w:r>
              <w:rPr>
                <w:rFonts w:hint="default" w:ascii="Times New Roman" w:hAnsi="Times New Roman" w:eastAsia="宋体" w:cs="Times New Roman"/>
                <w:color w:val="auto"/>
                <w:kern w:val="0"/>
                <w:sz w:val="24"/>
                <w:szCs w:val="24"/>
                <w:lang w:eastAsia="zh-CN" w:bidi="ar"/>
              </w:rPr>
              <w:t>主要为低浓度</w:t>
            </w:r>
            <w:r>
              <w:rPr>
                <w:rFonts w:hint="default" w:ascii="Times New Roman" w:hAnsi="Times New Roman" w:eastAsia="宋体" w:cs="Times New Roman"/>
                <w:color w:val="auto"/>
                <w:kern w:val="0"/>
                <w:sz w:val="24"/>
                <w:szCs w:val="24"/>
                <w:lang w:val="en-US" w:eastAsia="zh-CN" w:bidi="ar"/>
              </w:rPr>
              <w:t>SS，</w:t>
            </w:r>
            <w:r>
              <w:rPr>
                <w:rFonts w:hint="default" w:ascii="Times New Roman" w:hAnsi="Times New Roman" w:eastAsia="宋体" w:cs="Times New Roman"/>
                <w:color w:val="auto"/>
                <w:kern w:val="0"/>
                <w:sz w:val="24"/>
                <w:szCs w:val="24"/>
                <w:lang w:bidi="ar"/>
              </w:rPr>
              <w:t>定期排水水质较为清洁，不需处理即可满足</w:t>
            </w:r>
            <w:r>
              <w:rPr>
                <w:rFonts w:hint="eastAsia" w:ascii="Times New Roman" w:hAnsi="Times New Roman" w:eastAsia="宋体" w:cs="Times New Roman"/>
                <w:color w:val="auto"/>
                <w:sz w:val="24"/>
                <w:szCs w:val="24"/>
                <w:lang w:val="en-GB" w:eastAsia="zh-CN" w:bidi="ar-SA"/>
              </w:rPr>
              <w:t>闽侯县污水处理厂</w:t>
            </w:r>
            <w:r>
              <w:rPr>
                <w:rFonts w:hint="default" w:ascii="Times New Roman" w:hAnsi="Times New Roman" w:eastAsia="宋体" w:cs="Times New Roman"/>
                <w:color w:val="auto"/>
                <w:kern w:val="0"/>
                <w:sz w:val="24"/>
                <w:szCs w:val="24"/>
                <w:lang w:bidi="ar"/>
              </w:rPr>
              <w:t>进水水质要求</w:t>
            </w:r>
            <w:r>
              <w:rPr>
                <w:rFonts w:hint="default" w:ascii="Times New Roman" w:hAnsi="Times New Roman" w:eastAsia="宋体" w:cs="Times New Roman"/>
                <w:color w:val="auto"/>
                <w:kern w:val="0"/>
                <w:sz w:val="24"/>
                <w:szCs w:val="24"/>
                <w:lang w:eastAsia="zh-CN" w:bidi="ar"/>
              </w:rPr>
              <w:t>，</w:t>
            </w:r>
            <w:r>
              <w:rPr>
                <w:rFonts w:hint="default" w:ascii="Times New Roman" w:hAnsi="Times New Roman" w:eastAsia="宋体" w:cs="Times New Roman"/>
                <w:color w:val="auto"/>
                <w:kern w:val="0"/>
                <w:sz w:val="24"/>
                <w:szCs w:val="24"/>
                <w:lang w:bidi="ar"/>
              </w:rPr>
              <w:t>项目生活污水经化粪池预处理，废水经处理后排入市政污水管网，纳入</w:t>
            </w:r>
            <w:r>
              <w:rPr>
                <w:rFonts w:hint="eastAsia" w:ascii="Times New Roman" w:hAnsi="Times New Roman" w:eastAsia="宋体" w:cs="Times New Roman"/>
                <w:color w:val="auto"/>
                <w:sz w:val="24"/>
                <w:szCs w:val="24"/>
                <w:lang w:val="en-GB" w:eastAsia="zh-CN" w:bidi="ar-SA"/>
              </w:rPr>
              <w:t>闽侯县污水处理厂</w:t>
            </w:r>
            <w:r>
              <w:rPr>
                <w:rFonts w:hint="default" w:ascii="Times New Roman" w:hAnsi="Times New Roman" w:eastAsia="宋体" w:cs="Times New Roman"/>
                <w:color w:val="auto"/>
                <w:kern w:val="0"/>
                <w:sz w:val="24"/>
                <w:szCs w:val="24"/>
                <w:lang w:bidi="ar"/>
              </w:rPr>
              <w:t>集中处理。处理后可满足《污水综合排放标准》（GB8978-1996）表4中三级标准（其中氨氮、总磷、总氮达到《污水排入城镇下水道水质标准》（GB/T31962-2015）中B级排放标准）</w:t>
            </w:r>
            <w:r>
              <w:rPr>
                <w:rFonts w:hint="default" w:cs="Times New Roman"/>
                <w:color w:val="auto"/>
                <w:kern w:val="0"/>
                <w:sz w:val="24"/>
                <w:szCs w:val="24"/>
                <w:highlight w:val="none"/>
                <w:lang w:val="en-US" w:eastAsia="zh-CN" w:bidi="ar"/>
              </w:rPr>
              <w:t>并</w:t>
            </w:r>
            <w:r>
              <w:rPr>
                <w:rFonts w:hint="default" w:cs="Times New Roman"/>
                <w:color w:val="auto"/>
                <w:kern w:val="0"/>
                <w:sz w:val="24"/>
                <w:szCs w:val="24"/>
                <w:lang w:val="en-US" w:eastAsia="zh-CN" w:bidi="ar"/>
              </w:rPr>
              <w:t>满足</w:t>
            </w:r>
            <w:r>
              <w:rPr>
                <w:rFonts w:hint="default" w:ascii="Times New Roman" w:hAnsi="Times New Roman" w:eastAsia="宋体" w:cs="Times New Roman"/>
                <w:bCs w:val="0"/>
                <w:color w:val="auto"/>
                <w:kern w:val="0"/>
                <w:sz w:val="24"/>
                <w:szCs w:val="24"/>
                <w:lang w:val="en-US" w:eastAsia="zh-CN" w:bidi="ar"/>
              </w:rPr>
              <w:t>闽侯县污水处理厂纳管标准</w:t>
            </w:r>
            <w:r>
              <w:rPr>
                <w:rFonts w:hint="default" w:ascii="Times New Roman" w:hAnsi="Times New Roman" w:eastAsia="宋体" w:cs="Times New Roman"/>
                <w:color w:val="auto"/>
                <w:kern w:val="0"/>
                <w:sz w:val="24"/>
                <w:szCs w:val="24"/>
                <w:lang w:bidi="ar"/>
              </w:rPr>
              <w:t>。因此废水防治措施可行。</w:t>
            </w:r>
          </w:p>
          <w:p w14:paraId="7FF24765">
            <w:pPr>
              <w:pStyle w:val="62"/>
              <w:keepNext w:val="0"/>
              <w:keepLines w:val="0"/>
              <w:pageBreakBefore w:val="0"/>
              <w:widowControl w:val="0"/>
              <w:numPr>
                <w:ilvl w:val="2"/>
                <w:numId w:val="7"/>
              </w:numPr>
              <w:kinsoku/>
              <w:wordWrap/>
              <w:overflowPunct/>
              <w:topLinePunct w:val="0"/>
              <w:autoSpaceDE/>
              <w:autoSpaceDN/>
              <w:bidi w:val="0"/>
              <w:ind w:left="210"/>
              <w:textAlignment w:val="auto"/>
              <w:rPr>
                <w:rFonts w:ascii="Times New Roman" w:hAnsi="Times New Roman" w:cs="Times New Roman"/>
                <w:color w:val="auto"/>
                <w:sz w:val="24"/>
                <w:szCs w:val="24"/>
              </w:rPr>
            </w:pPr>
            <w:r>
              <w:rPr>
                <w:rFonts w:ascii="Times New Roman" w:hAnsi="Times New Roman" w:cs="Times New Roman"/>
                <w:color w:val="auto"/>
                <w:sz w:val="24"/>
                <w:szCs w:val="24"/>
              </w:rPr>
              <w:t>水环境影响分析</w:t>
            </w:r>
          </w:p>
          <w:p w14:paraId="6F0D50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根据《建设项目环境影响报告表编制技术指南(污染影响类)试行)》(环办环评（</w:t>
            </w:r>
            <w:r>
              <w:rPr>
                <w:rFonts w:hint="eastAsia" w:cs="Times New Roman"/>
                <w:color w:val="auto"/>
                <w:kern w:val="2"/>
                <w:sz w:val="24"/>
                <w:szCs w:val="24"/>
                <w:lang w:val="en-US" w:eastAsia="zh-CN" w:bidi="ar-SA"/>
              </w:rPr>
              <w:t>〔2020〕33号</w:t>
            </w:r>
            <w:r>
              <w:rPr>
                <w:rFonts w:hint="eastAsia" w:ascii="Times New Roman" w:hAnsi="Times New Roman" w:eastAsia="宋体" w:cs="Times New Roman"/>
                <w:color w:val="auto"/>
                <w:kern w:val="2"/>
                <w:sz w:val="24"/>
                <w:szCs w:val="24"/>
                <w:lang w:val="en-US" w:eastAsia="zh-CN" w:bidi="ar-SA"/>
              </w:rPr>
              <w:t>)要求，废水间接排放的建设项目应从处理能力、处理工艺、设计进出水水质等方面，分析依托集中污水处理厂的可行性。</w:t>
            </w:r>
          </w:p>
          <w:p w14:paraId="10A173A8">
            <w:pPr>
              <w:pStyle w:val="55"/>
              <w:ind w:firstLine="422"/>
              <w:rPr>
                <w:b/>
                <w:color w:val="auto"/>
                <w:sz w:val="24"/>
                <w:szCs w:val="24"/>
              </w:rPr>
            </w:pPr>
            <w:r>
              <w:rPr>
                <w:rFonts w:hint="eastAsia" w:ascii="宋体" w:hAnsi="宋体" w:cs="宋体"/>
                <w:b/>
                <w:color w:val="auto"/>
                <w:sz w:val="24"/>
                <w:szCs w:val="24"/>
              </w:rPr>
              <w:t>（1）</w:t>
            </w:r>
            <w:r>
              <w:rPr>
                <w:b/>
                <w:color w:val="auto"/>
                <w:sz w:val="24"/>
                <w:szCs w:val="24"/>
              </w:rPr>
              <w:t>污水处理厂概况</w:t>
            </w:r>
          </w:p>
          <w:p w14:paraId="271AA869">
            <w:pPr>
              <w:pStyle w:val="116"/>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①闽侯县城关污水处理厂概况</w:t>
            </w:r>
          </w:p>
          <w:p w14:paraId="443309F9">
            <w:pPr>
              <w:pStyle w:val="116"/>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闽侯县城关污水处理厂位于甘蔗街道洽浦村后岐坝处，总占地80亩，项目建设采用BOT形式，由闽侯县盈源环保工程有限公司全权负责项目的融资、建设及运营。闽侯县城污水处理厂（福建侯官海峡环保有限公司）一期工程2008年12月投入运营，采用A2O污水处理工艺，处理能力1.5万t/d，二期工程于2014年9月投入运行处理能力为3万t/d，污水经处理后排入洽浦河。排放水质均符合《城镇污水处理厂污染物排放标准》（GB18918-2002）表1一级A标准。</w:t>
            </w:r>
          </w:p>
          <w:p w14:paraId="156B4CA1">
            <w:pPr>
              <w:keepNext w:val="0"/>
              <w:keepLines w:val="0"/>
              <w:pageBreakBefore w:val="0"/>
              <w:widowControl w:val="0"/>
              <w:numPr>
                <w:ilvl w:val="0"/>
                <w:numId w:val="0"/>
              </w:numPr>
              <w:tabs>
                <w:tab w:val="left" w:pos="482"/>
              </w:tabs>
              <w:kinsoku/>
              <w:wordWrap/>
              <w:overflowPunct/>
              <w:topLinePunct w:val="0"/>
              <w:autoSpaceDE/>
              <w:autoSpaceDN/>
              <w:bidi w:val="0"/>
              <w:adjustRightInd/>
              <w:snapToGrid/>
              <w:spacing w:line="240" w:lineRule="auto"/>
              <w:ind w:leftChars="0"/>
              <w:jc w:val="center"/>
              <w:textAlignment w:val="auto"/>
              <w:rPr>
                <w:rFonts w:hint="eastAsia" w:ascii="Times New Roman" w:hAnsi="Times New Roman" w:eastAsia="宋体" w:cs="Times New Roman"/>
                <w:b/>
                <w:bCs/>
                <w:color w:val="auto"/>
                <w:kern w:val="0"/>
                <w:sz w:val="24"/>
                <w:szCs w:val="22"/>
                <w:highlight w:val="none"/>
                <w:lang w:val="en-US" w:eastAsia="zh-CN" w:bidi="ar-SA"/>
              </w:rPr>
            </w:pPr>
            <w:r>
              <w:rPr>
                <w:rFonts w:hint="eastAsia" w:ascii="Times New Roman" w:hAnsi="Times New Roman" w:eastAsia="宋体" w:cs="Times New Roman"/>
                <w:b/>
                <w:bCs/>
                <w:color w:val="auto"/>
                <w:kern w:val="0"/>
                <w:sz w:val="24"/>
                <w:szCs w:val="22"/>
                <w:highlight w:val="none"/>
                <w:lang w:val="en-US" w:eastAsia="zh-CN" w:bidi="ar-SA"/>
              </w:rPr>
              <w:t>表4.2.5污水处理厂</w:t>
            </w:r>
            <w:r>
              <w:rPr>
                <w:rFonts w:hint="eastAsia" w:cs="Times New Roman"/>
                <w:b/>
                <w:bCs/>
                <w:color w:val="auto"/>
                <w:kern w:val="0"/>
                <w:sz w:val="24"/>
                <w:szCs w:val="22"/>
                <w:highlight w:val="none"/>
                <w:lang w:val="en-US" w:eastAsia="zh-CN" w:bidi="ar-SA"/>
              </w:rPr>
              <w:t>进</w:t>
            </w:r>
            <w:r>
              <w:rPr>
                <w:rFonts w:hint="eastAsia" w:ascii="Times New Roman" w:hAnsi="Times New Roman" w:eastAsia="宋体" w:cs="Times New Roman"/>
                <w:b/>
                <w:bCs/>
                <w:color w:val="auto"/>
                <w:kern w:val="0"/>
                <w:sz w:val="24"/>
                <w:szCs w:val="22"/>
                <w:highlight w:val="none"/>
                <w:lang w:val="en-US" w:eastAsia="zh-CN" w:bidi="ar-SA"/>
              </w:rPr>
              <w:t>出水水质一览表</w:t>
            </w:r>
          </w:p>
          <w:tbl>
            <w:tblPr>
              <w:tblStyle w:val="23"/>
              <w:tblW w:w="811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944"/>
              <w:gridCol w:w="809"/>
              <w:gridCol w:w="862"/>
              <w:gridCol w:w="944"/>
              <w:gridCol w:w="944"/>
              <w:gridCol w:w="945"/>
              <w:gridCol w:w="944"/>
            </w:tblGrid>
            <w:tr w14:paraId="0B8B22D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727" w:type="dxa"/>
                  <w:tcBorders>
                    <w:top w:val="single" w:color="auto" w:sz="12" w:space="0"/>
                    <w:left w:val="nil"/>
                    <w:bottom w:val="single" w:color="auto" w:sz="4" w:space="0"/>
                    <w:right w:val="single" w:color="auto" w:sz="4" w:space="0"/>
                  </w:tcBorders>
                  <w:noWrap w:val="0"/>
                  <w:vAlign w:val="center"/>
                </w:tcPr>
                <w:p w14:paraId="75645E39">
                  <w:pPr>
                    <w:spacing w:line="240" w:lineRule="auto"/>
                    <w:jc w:val="center"/>
                    <w:rPr>
                      <w:rFonts w:ascii="Times New Roman" w:hAnsi="Times New Roman"/>
                      <w:color w:val="auto"/>
                      <w:sz w:val="21"/>
                      <w:szCs w:val="21"/>
                    </w:rPr>
                  </w:pPr>
                  <w:r>
                    <w:rPr>
                      <w:rFonts w:ascii="Times New Roman" w:hAnsi="Times New Roman"/>
                      <w:color w:val="auto"/>
                      <w:sz w:val="21"/>
                      <w:szCs w:val="21"/>
                    </w:rPr>
                    <w:t>污染物</w:t>
                  </w:r>
                </w:p>
              </w:tc>
              <w:tc>
                <w:tcPr>
                  <w:tcW w:w="944" w:type="dxa"/>
                  <w:tcBorders>
                    <w:top w:val="single" w:color="auto" w:sz="12" w:space="0"/>
                    <w:left w:val="single" w:color="auto" w:sz="4" w:space="0"/>
                    <w:bottom w:val="single" w:color="auto" w:sz="4" w:space="0"/>
                    <w:right w:val="single" w:color="auto" w:sz="4" w:space="0"/>
                  </w:tcBorders>
                  <w:noWrap w:val="0"/>
                  <w:vAlign w:val="center"/>
                </w:tcPr>
                <w:p w14:paraId="7A6C9858">
                  <w:pPr>
                    <w:spacing w:line="240" w:lineRule="auto"/>
                    <w:jc w:val="center"/>
                    <w:rPr>
                      <w:rFonts w:ascii="Times New Roman" w:hAnsi="Times New Roman"/>
                      <w:color w:val="auto"/>
                      <w:sz w:val="21"/>
                      <w:szCs w:val="21"/>
                    </w:rPr>
                  </w:pPr>
                  <w:r>
                    <w:rPr>
                      <w:rFonts w:ascii="Times New Roman" w:hAnsi="Times New Roman"/>
                      <w:color w:val="auto"/>
                      <w:sz w:val="21"/>
                      <w:szCs w:val="21"/>
                    </w:rPr>
                    <w:t>pH</w:t>
                  </w:r>
                </w:p>
              </w:tc>
              <w:tc>
                <w:tcPr>
                  <w:tcW w:w="809" w:type="dxa"/>
                  <w:tcBorders>
                    <w:top w:val="single" w:color="auto" w:sz="12" w:space="0"/>
                    <w:left w:val="single" w:color="auto" w:sz="4" w:space="0"/>
                    <w:bottom w:val="single" w:color="auto" w:sz="4" w:space="0"/>
                    <w:right w:val="single" w:color="auto" w:sz="4" w:space="0"/>
                  </w:tcBorders>
                  <w:noWrap w:val="0"/>
                  <w:vAlign w:val="center"/>
                </w:tcPr>
                <w:p w14:paraId="00B99740">
                  <w:pPr>
                    <w:spacing w:line="240" w:lineRule="auto"/>
                    <w:jc w:val="center"/>
                    <w:rPr>
                      <w:rFonts w:ascii="Times New Roman" w:hAnsi="Times New Roman"/>
                      <w:color w:val="auto"/>
                      <w:sz w:val="21"/>
                      <w:szCs w:val="21"/>
                    </w:rPr>
                  </w:pPr>
                  <w:r>
                    <w:rPr>
                      <w:rFonts w:ascii="Times New Roman" w:hAnsi="Times New Roman"/>
                      <w:color w:val="auto"/>
                      <w:sz w:val="21"/>
                      <w:szCs w:val="21"/>
                    </w:rPr>
                    <w:t>COD</w:t>
                  </w:r>
                </w:p>
              </w:tc>
              <w:tc>
                <w:tcPr>
                  <w:tcW w:w="862" w:type="dxa"/>
                  <w:tcBorders>
                    <w:top w:val="single" w:color="auto" w:sz="12" w:space="0"/>
                    <w:left w:val="single" w:color="auto" w:sz="4" w:space="0"/>
                    <w:bottom w:val="single" w:color="auto" w:sz="4" w:space="0"/>
                    <w:right w:val="single" w:color="auto" w:sz="4" w:space="0"/>
                  </w:tcBorders>
                  <w:noWrap w:val="0"/>
                  <w:vAlign w:val="center"/>
                </w:tcPr>
                <w:p w14:paraId="0A4B0F18">
                  <w:pPr>
                    <w:spacing w:line="240" w:lineRule="auto"/>
                    <w:jc w:val="center"/>
                    <w:rPr>
                      <w:rFonts w:ascii="Times New Roman" w:hAnsi="Times New Roman"/>
                      <w:color w:val="auto"/>
                      <w:sz w:val="21"/>
                      <w:szCs w:val="21"/>
                      <w:vertAlign w:val="subscript"/>
                    </w:rPr>
                  </w:pPr>
                  <w:r>
                    <w:rPr>
                      <w:rFonts w:ascii="Times New Roman" w:hAnsi="Times New Roman"/>
                      <w:color w:val="auto"/>
                      <w:sz w:val="21"/>
                      <w:szCs w:val="21"/>
                    </w:rPr>
                    <w:t>BOD</w:t>
                  </w:r>
                  <w:r>
                    <w:rPr>
                      <w:rFonts w:ascii="Times New Roman" w:hAnsi="Times New Roman"/>
                      <w:color w:val="auto"/>
                      <w:sz w:val="21"/>
                      <w:szCs w:val="21"/>
                      <w:vertAlign w:val="subscript"/>
                    </w:rPr>
                    <w:t>5</w:t>
                  </w:r>
                </w:p>
              </w:tc>
              <w:tc>
                <w:tcPr>
                  <w:tcW w:w="944" w:type="dxa"/>
                  <w:tcBorders>
                    <w:top w:val="single" w:color="auto" w:sz="12" w:space="0"/>
                    <w:left w:val="single" w:color="auto" w:sz="4" w:space="0"/>
                    <w:bottom w:val="single" w:color="auto" w:sz="4" w:space="0"/>
                    <w:right w:val="single" w:color="auto" w:sz="4" w:space="0"/>
                  </w:tcBorders>
                  <w:noWrap w:val="0"/>
                  <w:vAlign w:val="center"/>
                </w:tcPr>
                <w:p w14:paraId="3975026B">
                  <w:pPr>
                    <w:spacing w:line="240" w:lineRule="auto"/>
                    <w:jc w:val="center"/>
                    <w:rPr>
                      <w:rFonts w:ascii="Times New Roman" w:hAnsi="Times New Roman"/>
                      <w:color w:val="auto"/>
                      <w:sz w:val="21"/>
                      <w:szCs w:val="21"/>
                    </w:rPr>
                  </w:pPr>
                  <w:r>
                    <w:rPr>
                      <w:rFonts w:ascii="Times New Roman" w:hAnsi="Times New Roman"/>
                      <w:color w:val="auto"/>
                      <w:sz w:val="21"/>
                      <w:szCs w:val="21"/>
                    </w:rPr>
                    <w:t>SS</w:t>
                  </w:r>
                </w:p>
              </w:tc>
              <w:tc>
                <w:tcPr>
                  <w:tcW w:w="944" w:type="dxa"/>
                  <w:tcBorders>
                    <w:top w:val="single" w:color="auto" w:sz="12" w:space="0"/>
                    <w:left w:val="single" w:color="auto" w:sz="4" w:space="0"/>
                    <w:bottom w:val="single" w:color="auto" w:sz="4" w:space="0"/>
                    <w:right w:val="nil"/>
                  </w:tcBorders>
                  <w:noWrap w:val="0"/>
                  <w:vAlign w:val="center"/>
                </w:tcPr>
                <w:p w14:paraId="3C9985FE">
                  <w:pPr>
                    <w:spacing w:line="240" w:lineRule="auto"/>
                    <w:jc w:val="center"/>
                    <w:rPr>
                      <w:rFonts w:ascii="Times New Roman" w:hAnsi="Times New Roman"/>
                      <w:color w:val="auto"/>
                      <w:sz w:val="21"/>
                      <w:szCs w:val="21"/>
                    </w:rPr>
                  </w:pPr>
                  <w:r>
                    <w:rPr>
                      <w:rFonts w:ascii="Times New Roman" w:hAnsi="Times New Roman"/>
                      <w:color w:val="auto"/>
                      <w:sz w:val="21"/>
                      <w:szCs w:val="21"/>
                    </w:rPr>
                    <w:t>氨氮</w:t>
                  </w:r>
                </w:p>
              </w:tc>
              <w:tc>
                <w:tcPr>
                  <w:tcW w:w="945" w:type="dxa"/>
                  <w:tcBorders>
                    <w:top w:val="single" w:color="auto" w:sz="12" w:space="0"/>
                    <w:left w:val="single" w:color="auto" w:sz="4" w:space="0"/>
                    <w:bottom w:val="single" w:color="auto" w:sz="4" w:space="0"/>
                    <w:right w:val="nil"/>
                  </w:tcBorders>
                  <w:noWrap w:val="0"/>
                  <w:vAlign w:val="center"/>
                </w:tcPr>
                <w:p w14:paraId="64484824">
                  <w:pPr>
                    <w:spacing w:line="240" w:lineRule="auto"/>
                    <w:jc w:val="center"/>
                    <w:rPr>
                      <w:rFonts w:ascii="Times New Roman" w:hAnsi="Times New Roman"/>
                      <w:color w:val="auto"/>
                      <w:sz w:val="21"/>
                      <w:szCs w:val="21"/>
                    </w:rPr>
                  </w:pPr>
                  <w:r>
                    <w:rPr>
                      <w:rFonts w:ascii="Times New Roman" w:hAnsi="Times New Roman"/>
                      <w:color w:val="auto"/>
                      <w:sz w:val="21"/>
                      <w:szCs w:val="21"/>
                    </w:rPr>
                    <w:t>总磷</w:t>
                  </w:r>
                </w:p>
              </w:tc>
              <w:tc>
                <w:tcPr>
                  <w:tcW w:w="944" w:type="dxa"/>
                  <w:tcBorders>
                    <w:top w:val="single" w:color="auto" w:sz="12" w:space="0"/>
                    <w:left w:val="single" w:color="auto" w:sz="4" w:space="0"/>
                    <w:bottom w:val="single" w:color="auto" w:sz="4" w:space="0"/>
                    <w:right w:val="nil"/>
                  </w:tcBorders>
                  <w:noWrap w:val="0"/>
                  <w:vAlign w:val="center"/>
                </w:tcPr>
                <w:p w14:paraId="66E038FB">
                  <w:pPr>
                    <w:spacing w:line="240" w:lineRule="auto"/>
                    <w:jc w:val="center"/>
                    <w:rPr>
                      <w:rFonts w:ascii="Times New Roman" w:hAnsi="Times New Roman"/>
                      <w:color w:val="auto"/>
                      <w:sz w:val="21"/>
                      <w:szCs w:val="21"/>
                    </w:rPr>
                  </w:pPr>
                  <w:r>
                    <w:rPr>
                      <w:rFonts w:ascii="Times New Roman" w:hAnsi="Times New Roman"/>
                      <w:color w:val="auto"/>
                      <w:sz w:val="21"/>
                      <w:szCs w:val="21"/>
                    </w:rPr>
                    <w:t>总氮</w:t>
                  </w:r>
                </w:p>
              </w:tc>
            </w:tr>
            <w:tr w14:paraId="516B1B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727" w:type="dxa"/>
                  <w:tcBorders>
                    <w:top w:val="single" w:color="auto" w:sz="4" w:space="0"/>
                    <w:left w:val="nil"/>
                    <w:bottom w:val="single" w:color="auto" w:sz="4" w:space="0"/>
                    <w:right w:val="single" w:color="auto" w:sz="4" w:space="0"/>
                  </w:tcBorders>
                  <w:noWrap w:val="0"/>
                  <w:vAlign w:val="center"/>
                </w:tcPr>
                <w:p w14:paraId="03CC3496">
                  <w:pPr>
                    <w:spacing w:line="240" w:lineRule="auto"/>
                    <w:jc w:val="center"/>
                    <w:rPr>
                      <w:rFonts w:ascii="Times New Roman" w:hAnsi="Times New Roman"/>
                      <w:color w:val="auto"/>
                      <w:sz w:val="21"/>
                      <w:szCs w:val="21"/>
                    </w:rPr>
                  </w:pPr>
                  <w:r>
                    <w:rPr>
                      <w:rFonts w:ascii="Times New Roman" w:hAnsi="Times New Roman"/>
                      <w:color w:val="auto"/>
                      <w:sz w:val="21"/>
                      <w:szCs w:val="21"/>
                    </w:rPr>
                    <w:t>进水水质（mg/L）</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1EE2B15F">
                  <w:pPr>
                    <w:spacing w:line="240" w:lineRule="auto"/>
                    <w:jc w:val="center"/>
                    <w:rPr>
                      <w:rFonts w:ascii="Times New Roman" w:hAnsi="Times New Roman"/>
                      <w:color w:val="auto"/>
                      <w:sz w:val="21"/>
                      <w:szCs w:val="21"/>
                    </w:rPr>
                  </w:pPr>
                  <w:r>
                    <w:rPr>
                      <w:rFonts w:hint="eastAsia" w:ascii="Times New Roman" w:hAnsi="Times New Roman"/>
                      <w:color w:val="auto"/>
                      <w:sz w:val="21"/>
                      <w:szCs w:val="21"/>
                    </w:rPr>
                    <w:t>6.5-9.5</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27A3EF74">
                  <w:pPr>
                    <w:spacing w:line="240" w:lineRule="auto"/>
                    <w:jc w:val="center"/>
                    <w:rPr>
                      <w:rFonts w:ascii="Times New Roman" w:hAnsi="Times New Roman"/>
                      <w:color w:val="auto"/>
                      <w:sz w:val="21"/>
                      <w:szCs w:val="21"/>
                    </w:rPr>
                  </w:pPr>
                  <w:r>
                    <w:rPr>
                      <w:rFonts w:ascii="Times New Roman" w:hAnsi="Times New Roman"/>
                      <w:color w:val="auto"/>
                      <w:sz w:val="21"/>
                      <w:szCs w:val="21"/>
                    </w:rPr>
                    <w:t>≤</w:t>
                  </w:r>
                  <w:r>
                    <w:rPr>
                      <w:rFonts w:hint="eastAsia" w:ascii="Times New Roman" w:hAnsi="Times New Roman"/>
                      <w:color w:val="auto"/>
                      <w:sz w:val="21"/>
                      <w:szCs w:val="21"/>
                      <w:lang w:val="en-US" w:eastAsia="zh-CN"/>
                    </w:rPr>
                    <w:t>2</w:t>
                  </w:r>
                  <w:r>
                    <w:rPr>
                      <w:rFonts w:ascii="Times New Roman" w:hAnsi="Times New Roman"/>
                      <w:color w:val="auto"/>
                      <w:sz w:val="21"/>
                      <w:szCs w:val="21"/>
                    </w:rPr>
                    <w:t>50</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766F8CB1">
                  <w:pPr>
                    <w:spacing w:line="240" w:lineRule="auto"/>
                    <w:jc w:val="center"/>
                    <w:rPr>
                      <w:rFonts w:hint="default" w:ascii="Times New Roman" w:hAnsi="Times New Roman" w:eastAsia="宋体"/>
                      <w:color w:val="auto"/>
                      <w:sz w:val="21"/>
                      <w:szCs w:val="21"/>
                      <w:lang w:val="en-US" w:eastAsia="zh-CN"/>
                    </w:rPr>
                  </w:pPr>
                  <w:r>
                    <w:rPr>
                      <w:rFonts w:ascii="Times New Roman" w:hAnsi="Times New Roman"/>
                      <w:color w:val="auto"/>
                      <w:sz w:val="21"/>
                      <w:szCs w:val="21"/>
                    </w:rPr>
                    <w:t>≤</w:t>
                  </w:r>
                  <w:r>
                    <w:rPr>
                      <w:rFonts w:hint="eastAsia" w:ascii="Times New Roman" w:hAnsi="Times New Roman"/>
                      <w:color w:val="auto"/>
                      <w:sz w:val="21"/>
                      <w:szCs w:val="21"/>
                      <w:lang w:val="en-US" w:eastAsia="zh-CN"/>
                    </w:rPr>
                    <w:t>150</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59745A75">
                  <w:pPr>
                    <w:spacing w:line="240" w:lineRule="auto"/>
                    <w:jc w:val="center"/>
                    <w:rPr>
                      <w:rFonts w:ascii="Times New Roman" w:hAnsi="Times New Roman"/>
                      <w:color w:val="auto"/>
                      <w:sz w:val="21"/>
                      <w:szCs w:val="21"/>
                    </w:rPr>
                  </w:pPr>
                  <w:r>
                    <w:rPr>
                      <w:rFonts w:ascii="Times New Roman" w:hAnsi="Times New Roman"/>
                      <w:color w:val="auto"/>
                      <w:sz w:val="21"/>
                      <w:szCs w:val="21"/>
                    </w:rPr>
                    <w:t>≤</w:t>
                  </w:r>
                  <w:r>
                    <w:rPr>
                      <w:rFonts w:hint="eastAsia" w:ascii="Times New Roman" w:hAnsi="Times New Roman"/>
                      <w:color w:val="auto"/>
                      <w:sz w:val="21"/>
                      <w:szCs w:val="21"/>
                      <w:lang w:val="en-US" w:eastAsia="zh-CN"/>
                    </w:rPr>
                    <w:t>20</w:t>
                  </w:r>
                  <w:r>
                    <w:rPr>
                      <w:rFonts w:ascii="Times New Roman" w:hAnsi="Times New Roman"/>
                      <w:color w:val="auto"/>
                      <w:sz w:val="21"/>
                      <w:szCs w:val="21"/>
                    </w:rPr>
                    <w:t>0</w:t>
                  </w:r>
                </w:p>
              </w:tc>
              <w:tc>
                <w:tcPr>
                  <w:tcW w:w="944" w:type="dxa"/>
                  <w:tcBorders>
                    <w:top w:val="single" w:color="auto" w:sz="4" w:space="0"/>
                    <w:left w:val="single" w:color="auto" w:sz="4" w:space="0"/>
                    <w:bottom w:val="single" w:color="auto" w:sz="4" w:space="0"/>
                    <w:right w:val="nil"/>
                  </w:tcBorders>
                  <w:noWrap w:val="0"/>
                  <w:vAlign w:val="center"/>
                </w:tcPr>
                <w:p w14:paraId="5E95E4F3">
                  <w:pPr>
                    <w:spacing w:line="240" w:lineRule="auto"/>
                    <w:jc w:val="center"/>
                    <w:rPr>
                      <w:rFonts w:hint="default" w:ascii="Times New Roman" w:hAnsi="Times New Roman" w:eastAsia="宋体"/>
                      <w:color w:val="auto"/>
                      <w:sz w:val="21"/>
                      <w:szCs w:val="21"/>
                      <w:lang w:val="en-US" w:eastAsia="zh-CN"/>
                    </w:rPr>
                  </w:pPr>
                  <w:r>
                    <w:rPr>
                      <w:rFonts w:ascii="Times New Roman" w:hAnsi="Times New Roman"/>
                      <w:color w:val="auto"/>
                      <w:sz w:val="21"/>
                      <w:szCs w:val="21"/>
                    </w:rPr>
                    <w:t>≤</w:t>
                  </w:r>
                  <w:r>
                    <w:rPr>
                      <w:rFonts w:hint="eastAsia" w:ascii="Times New Roman" w:hAnsi="Times New Roman"/>
                      <w:color w:val="auto"/>
                      <w:sz w:val="21"/>
                      <w:szCs w:val="21"/>
                      <w:lang w:val="en-US" w:eastAsia="zh-CN"/>
                    </w:rPr>
                    <w:t>30</w:t>
                  </w:r>
                </w:p>
              </w:tc>
              <w:tc>
                <w:tcPr>
                  <w:tcW w:w="945" w:type="dxa"/>
                  <w:tcBorders>
                    <w:top w:val="single" w:color="auto" w:sz="4" w:space="0"/>
                    <w:left w:val="single" w:color="auto" w:sz="4" w:space="0"/>
                    <w:bottom w:val="single" w:color="auto" w:sz="4" w:space="0"/>
                    <w:right w:val="nil"/>
                  </w:tcBorders>
                  <w:noWrap w:val="0"/>
                  <w:vAlign w:val="center"/>
                </w:tcPr>
                <w:p w14:paraId="70FBF57B">
                  <w:pPr>
                    <w:spacing w:line="240" w:lineRule="auto"/>
                    <w:jc w:val="center"/>
                    <w:rPr>
                      <w:rFonts w:ascii="Times New Roman" w:hAnsi="Times New Roman"/>
                      <w:color w:val="auto"/>
                      <w:sz w:val="21"/>
                      <w:szCs w:val="21"/>
                    </w:rPr>
                  </w:pPr>
                  <w:r>
                    <w:rPr>
                      <w:rFonts w:hint="eastAsia" w:ascii="Times New Roman" w:hAnsi="Times New Roman"/>
                      <w:color w:val="auto"/>
                      <w:sz w:val="21"/>
                      <w:szCs w:val="21"/>
                      <w:lang w:val="en-US" w:eastAsia="zh-CN"/>
                    </w:rPr>
                    <w:t>3</w:t>
                  </w:r>
                  <w:r>
                    <w:rPr>
                      <w:rFonts w:hint="eastAsia" w:ascii="Times New Roman" w:hAnsi="Times New Roman"/>
                      <w:color w:val="auto"/>
                      <w:sz w:val="21"/>
                      <w:szCs w:val="21"/>
                    </w:rPr>
                    <w:t>.5</w:t>
                  </w:r>
                </w:p>
              </w:tc>
              <w:tc>
                <w:tcPr>
                  <w:tcW w:w="944" w:type="dxa"/>
                  <w:tcBorders>
                    <w:top w:val="single" w:color="auto" w:sz="4" w:space="0"/>
                    <w:left w:val="single" w:color="auto" w:sz="4" w:space="0"/>
                    <w:bottom w:val="single" w:color="auto" w:sz="4" w:space="0"/>
                    <w:right w:val="nil"/>
                  </w:tcBorders>
                  <w:noWrap w:val="0"/>
                  <w:vAlign w:val="center"/>
                </w:tcPr>
                <w:p w14:paraId="44D1162D">
                  <w:pPr>
                    <w:spacing w:line="240" w:lineRule="auto"/>
                    <w:jc w:val="center"/>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40</w:t>
                  </w:r>
                </w:p>
              </w:tc>
            </w:tr>
            <w:tr w14:paraId="60F850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727" w:type="dxa"/>
                  <w:tcBorders>
                    <w:top w:val="single" w:color="auto" w:sz="4" w:space="0"/>
                    <w:left w:val="nil"/>
                    <w:bottom w:val="single" w:color="auto" w:sz="12" w:space="0"/>
                    <w:right w:val="single" w:color="auto" w:sz="4" w:space="0"/>
                  </w:tcBorders>
                  <w:noWrap w:val="0"/>
                  <w:vAlign w:val="center"/>
                </w:tcPr>
                <w:p w14:paraId="55FB55E3">
                  <w:pPr>
                    <w:spacing w:line="240" w:lineRule="auto"/>
                    <w:jc w:val="center"/>
                    <w:rPr>
                      <w:rFonts w:ascii="Times New Roman" w:hAnsi="Times New Roman"/>
                      <w:color w:val="auto"/>
                      <w:sz w:val="21"/>
                      <w:szCs w:val="21"/>
                    </w:rPr>
                  </w:pPr>
                  <w:r>
                    <w:rPr>
                      <w:rFonts w:ascii="Times New Roman" w:hAnsi="Times New Roman"/>
                      <w:color w:val="auto"/>
                      <w:sz w:val="21"/>
                      <w:szCs w:val="21"/>
                    </w:rPr>
                    <w:t>出水水质（mg/L）</w:t>
                  </w:r>
                </w:p>
              </w:tc>
              <w:tc>
                <w:tcPr>
                  <w:tcW w:w="944" w:type="dxa"/>
                  <w:tcBorders>
                    <w:top w:val="single" w:color="auto" w:sz="4" w:space="0"/>
                    <w:left w:val="single" w:color="auto" w:sz="4" w:space="0"/>
                    <w:bottom w:val="single" w:color="auto" w:sz="12" w:space="0"/>
                    <w:right w:val="single" w:color="auto" w:sz="4" w:space="0"/>
                  </w:tcBorders>
                  <w:noWrap w:val="0"/>
                  <w:vAlign w:val="center"/>
                </w:tcPr>
                <w:p w14:paraId="1B3D53B9">
                  <w:pPr>
                    <w:spacing w:line="240" w:lineRule="auto"/>
                    <w:jc w:val="center"/>
                    <w:rPr>
                      <w:rFonts w:hint="eastAsia" w:ascii="Times New Roman" w:hAnsi="Times New Roman"/>
                      <w:color w:val="auto"/>
                      <w:sz w:val="21"/>
                      <w:szCs w:val="21"/>
                    </w:rPr>
                  </w:pPr>
                  <w:r>
                    <w:rPr>
                      <w:rFonts w:hint="eastAsia" w:ascii="Times New Roman" w:hAnsi="Times New Roman"/>
                      <w:color w:val="auto"/>
                      <w:sz w:val="21"/>
                      <w:szCs w:val="21"/>
                    </w:rPr>
                    <w:t>6-9</w:t>
                  </w:r>
                </w:p>
              </w:tc>
              <w:tc>
                <w:tcPr>
                  <w:tcW w:w="809" w:type="dxa"/>
                  <w:tcBorders>
                    <w:top w:val="single" w:color="auto" w:sz="4" w:space="0"/>
                    <w:left w:val="single" w:color="auto" w:sz="4" w:space="0"/>
                    <w:bottom w:val="single" w:color="auto" w:sz="12" w:space="0"/>
                    <w:right w:val="single" w:color="auto" w:sz="4" w:space="0"/>
                  </w:tcBorders>
                  <w:noWrap w:val="0"/>
                  <w:vAlign w:val="center"/>
                </w:tcPr>
                <w:p w14:paraId="755C45D7">
                  <w:pPr>
                    <w:spacing w:line="240" w:lineRule="auto"/>
                    <w:jc w:val="center"/>
                    <w:rPr>
                      <w:rFonts w:ascii="Times New Roman" w:hAnsi="Times New Roman"/>
                      <w:color w:val="auto"/>
                      <w:sz w:val="21"/>
                      <w:szCs w:val="21"/>
                    </w:rPr>
                  </w:pPr>
                  <w:r>
                    <w:rPr>
                      <w:rFonts w:ascii="Times New Roman" w:hAnsi="Times New Roman"/>
                      <w:color w:val="auto"/>
                      <w:sz w:val="21"/>
                      <w:szCs w:val="21"/>
                    </w:rPr>
                    <w:t>≤50</w:t>
                  </w:r>
                </w:p>
              </w:tc>
              <w:tc>
                <w:tcPr>
                  <w:tcW w:w="862" w:type="dxa"/>
                  <w:tcBorders>
                    <w:top w:val="single" w:color="auto" w:sz="4" w:space="0"/>
                    <w:left w:val="single" w:color="auto" w:sz="4" w:space="0"/>
                    <w:bottom w:val="single" w:color="auto" w:sz="12" w:space="0"/>
                    <w:right w:val="single" w:color="auto" w:sz="4" w:space="0"/>
                  </w:tcBorders>
                  <w:noWrap w:val="0"/>
                  <w:vAlign w:val="center"/>
                </w:tcPr>
                <w:p w14:paraId="6E3FCE9C">
                  <w:pPr>
                    <w:spacing w:line="240" w:lineRule="auto"/>
                    <w:jc w:val="center"/>
                    <w:rPr>
                      <w:rFonts w:ascii="Times New Roman" w:hAnsi="Times New Roman"/>
                      <w:color w:val="auto"/>
                      <w:sz w:val="21"/>
                      <w:szCs w:val="21"/>
                    </w:rPr>
                  </w:pPr>
                  <w:r>
                    <w:rPr>
                      <w:rFonts w:ascii="Times New Roman" w:hAnsi="Times New Roman"/>
                      <w:color w:val="auto"/>
                      <w:sz w:val="21"/>
                      <w:szCs w:val="21"/>
                    </w:rPr>
                    <w:t>≤6</w:t>
                  </w:r>
                </w:p>
              </w:tc>
              <w:tc>
                <w:tcPr>
                  <w:tcW w:w="944" w:type="dxa"/>
                  <w:tcBorders>
                    <w:top w:val="single" w:color="auto" w:sz="4" w:space="0"/>
                    <w:left w:val="single" w:color="auto" w:sz="4" w:space="0"/>
                    <w:bottom w:val="single" w:color="auto" w:sz="12" w:space="0"/>
                    <w:right w:val="single" w:color="auto" w:sz="4" w:space="0"/>
                  </w:tcBorders>
                  <w:noWrap w:val="0"/>
                  <w:vAlign w:val="center"/>
                </w:tcPr>
                <w:p w14:paraId="389FB827">
                  <w:pPr>
                    <w:spacing w:line="240" w:lineRule="auto"/>
                    <w:jc w:val="center"/>
                    <w:rPr>
                      <w:rFonts w:ascii="Times New Roman" w:hAnsi="Times New Roman"/>
                      <w:color w:val="auto"/>
                      <w:sz w:val="21"/>
                      <w:szCs w:val="21"/>
                    </w:rPr>
                  </w:pPr>
                  <w:r>
                    <w:rPr>
                      <w:rFonts w:ascii="Times New Roman" w:hAnsi="Times New Roman"/>
                      <w:color w:val="auto"/>
                      <w:sz w:val="21"/>
                      <w:szCs w:val="21"/>
                    </w:rPr>
                    <w:t>≤10</w:t>
                  </w:r>
                </w:p>
              </w:tc>
              <w:tc>
                <w:tcPr>
                  <w:tcW w:w="944" w:type="dxa"/>
                  <w:tcBorders>
                    <w:top w:val="single" w:color="auto" w:sz="4" w:space="0"/>
                    <w:left w:val="single" w:color="auto" w:sz="4" w:space="0"/>
                    <w:bottom w:val="single" w:color="auto" w:sz="12" w:space="0"/>
                    <w:right w:val="nil"/>
                  </w:tcBorders>
                  <w:noWrap w:val="0"/>
                  <w:vAlign w:val="center"/>
                </w:tcPr>
                <w:p w14:paraId="65209BC9">
                  <w:pPr>
                    <w:spacing w:line="240" w:lineRule="auto"/>
                    <w:jc w:val="center"/>
                    <w:rPr>
                      <w:rFonts w:ascii="Times New Roman" w:hAnsi="Times New Roman"/>
                      <w:color w:val="auto"/>
                      <w:sz w:val="21"/>
                      <w:szCs w:val="21"/>
                    </w:rPr>
                  </w:pPr>
                  <w:r>
                    <w:rPr>
                      <w:rFonts w:ascii="Times New Roman" w:hAnsi="Times New Roman"/>
                      <w:color w:val="auto"/>
                      <w:sz w:val="21"/>
                      <w:szCs w:val="21"/>
                    </w:rPr>
                    <w:t>≤5</w:t>
                  </w:r>
                </w:p>
              </w:tc>
              <w:tc>
                <w:tcPr>
                  <w:tcW w:w="945" w:type="dxa"/>
                  <w:tcBorders>
                    <w:top w:val="single" w:color="auto" w:sz="4" w:space="0"/>
                    <w:left w:val="single" w:color="auto" w:sz="4" w:space="0"/>
                    <w:bottom w:val="single" w:color="auto" w:sz="12" w:space="0"/>
                    <w:right w:val="nil"/>
                  </w:tcBorders>
                  <w:noWrap w:val="0"/>
                  <w:vAlign w:val="center"/>
                </w:tcPr>
                <w:p w14:paraId="7CB1C2CD">
                  <w:pPr>
                    <w:spacing w:line="240" w:lineRule="auto"/>
                    <w:jc w:val="center"/>
                    <w:rPr>
                      <w:rFonts w:hint="eastAsia" w:ascii="Times New Roman" w:hAnsi="Times New Roman"/>
                      <w:color w:val="auto"/>
                      <w:sz w:val="21"/>
                      <w:szCs w:val="21"/>
                    </w:rPr>
                  </w:pPr>
                  <w:r>
                    <w:rPr>
                      <w:rFonts w:hint="eastAsia" w:ascii="Times New Roman" w:hAnsi="Times New Roman"/>
                      <w:color w:val="auto"/>
                      <w:sz w:val="21"/>
                      <w:szCs w:val="21"/>
                    </w:rPr>
                    <w:t>0.5</w:t>
                  </w:r>
                </w:p>
              </w:tc>
              <w:tc>
                <w:tcPr>
                  <w:tcW w:w="944" w:type="dxa"/>
                  <w:tcBorders>
                    <w:top w:val="single" w:color="auto" w:sz="4" w:space="0"/>
                    <w:left w:val="single" w:color="auto" w:sz="4" w:space="0"/>
                    <w:bottom w:val="single" w:color="auto" w:sz="12" w:space="0"/>
                    <w:right w:val="nil"/>
                  </w:tcBorders>
                  <w:noWrap w:val="0"/>
                  <w:vAlign w:val="center"/>
                </w:tcPr>
                <w:p w14:paraId="60F32EDE">
                  <w:pPr>
                    <w:spacing w:line="240" w:lineRule="auto"/>
                    <w:jc w:val="center"/>
                    <w:rPr>
                      <w:rFonts w:hint="eastAsia" w:ascii="Times New Roman" w:hAnsi="Times New Roman"/>
                      <w:color w:val="auto"/>
                      <w:sz w:val="21"/>
                      <w:szCs w:val="21"/>
                    </w:rPr>
                  </w:pPr>
                  <w:r>
                    <w:rPr>
                      <w:rFonts w:hint="eastAsia" w:ascii="Times New Roman" w:hAnsi="Times New Roman"/>
                      <w:color w:val="auto"/>
                      <w:sz w:val="21"/>
                      <w:szCs w:val="21"/>
                    </w:rPr>
                    <w:t>15</w:t>
                  </w:r>
                </w:p>
              </w:tc>
            </w:tr>
          </w:tbl>
          <w:p w14:paraId="74D14164">
            <w:pPr>
              <w:rPr>
                <w:rFonts w:hint="eastAsia"/>
                <w:color w:val="auto"/>
                <w:lang w:val="en-US" w:eastAsia="zh-CN"/>
              </w:rPr>
            </w:pPr>
          </w:p>
          <w:p w14:paraId="403DF5F4">
            <w:pPr>
              <w:pStyle w:val="116"/>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②与市政管网的衔接性</w:t>
            </w:r>
          </w:p>
          <w:p w14:paraId="3D559412">
            <w:pPr>
              <w:pStyle w:val="116"/>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属于闽侯县城关污水处理厂的服务范围，该污水处理厂的管网有铺设到项目周边市政道路。根据现场勘查，目前周边的市政污水管网已建成并投入使用，污水管网已铺设完成，因此，项目污水可顺利接入市政污水管网送往闽侯县城关污水处理厂集中处理，对周边环境影响较小。</w:t>
            </w:r>
          </w:p>
          <w:p w14:paraId="33F53E3D">
            <w:pPr>
              <w:pStyle w:val="116"/>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③项目排污对污水处理厂的影响</w:t>
            </w:r>
          </w:p>
          <w:p w14:paraId="17643A9C">
            <w:pPr>
              <w:pStyle w:val="116"/>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项目排污对闽侯县城关污水处理厂的影响主要表现在水质和水量两个方面。</w:t>
            </w:r>
          </w:p>
          <w:p w14:paraId="10B6D4D5">
            <w:pPr>
              <w:pStyle w:val="116"/>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1）废水水质的影响</w:t>
            </w:r>
          </w:p>
          <w:p w14:paraId="14040D6A">
            <w:pPr>
              <w:pStyle w:val="116"/>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项目运营期外排污废水主要为生活污水，项目生活污水经过化粪池处理后，出水水质可满足</w:t>
            </w:r>
            <w:r>
              <w:rPr>
                <w:rFonts w:hint="eastAsia" w:ascii="Times New Roman" w:hAnsi="Times New Roman" w:eastAsia="宋体" w:cs="Times New Roman"/>
                <w:color w:val="auto"/>
                <w:kern w:val="2"/>
                <w:sz w:val="24"/>
                <w:szCs w:val="24"/>
                <w:highlight w:val="none"/>
                <w:lang w:val="en-US" w:eastAsia="zh-CN" w:bidi="ar-SA"/>
              </w:rPr>
              <w:t>《污水综合排放标准》（GB8978-1996）表4三级标准要求后（其中氨氮</w:t>
            </w:r>
            <w:r>
              <w:rPr>
                <w:rFonts w:hint="eastAsia" w:cs="Times New Roman"/>
                <w:color w:val="auto"/>
                <w:kern w:val="2"/>
                <w:sz w:val="24"/>
                <w:szCs w:val="24"/>
                <w:highlight w:val="none"/>
                <w:lang w:val="en-US" w:eastAsia="zh-CN" w:bidi="ar-SA"/>
              </w:rPr>
              <w:t>、总磷、总氮</w:t>
            </w:r>
            <w:r>
              <w:rPr>
                <w:rFonts w:hint="eastAsia" w:ascii="Times New Roman" w:hAnsi="Times New Roman" w:eastAsia="宋体" w:cs="Times New Roman"/>
                <w:color w:val="auto"/>
                <w:kern w:val="2"/>
                <w:sz w:val="24"/>
                <w:szCs w:val="24"/>
                <w:highlight w:val="none"/>
                <w:lang w:val="en-US" w:eastAsia="zh-CN" w:bidi="ar-SA"/>
              </w:rPr>
              <w:t>参照执行《污水排入城镇下水道水质标准》（GB/T 31962-2015）表1中B级标准限值）</w:t>
            </w:r>
            <w:r>
              <w:rPr>
                <w:rFonts w:hint="eastAsia" w:cs="Times New Roman"/>
                <w:color w:val="auto"/>
                <w:kern w:val="2"/>
                <w:sz w:val="24"/>
                <w:szCs w:val="24"/>
                <w:highlight w:val="none"/>
                <w:lang w:val="en-US" w:eastAsia="zh-CN" w:bidi="ar-SA"/>
              </w:rPr>
              <w:t>及</w:t>
            </w:r>
            <w:r>
              <w:rPr>
                <w:rFonts w:hint="eastAsia" w:ascii="Times New Roman" w:hAnsi="Times New Roman" w:eastAsia="宋体" w:cs="Times New Roman"/>
                <w:bCs w:val="0"/>
                <w:color w:val="auto"/>
                <w:kern w:val="2"/>
                <w:sz w:val="24"/>
                <w:szCs w:val="24"/>
                <w:lang w:val="en-US" w:eastAsia="zh-CN" w:bidi="ar-SA"/>
              </w:rPr>
              <w:t>闽侯县污水处理厂纳管标准</w:t>
            </w:r>
            <w:r>
              <w:rPr>
                <w:rFonts w:hint="eastAsia" w:ascii="Times New Roman" w:hAnsi="Times New Roman" w:eastAsia="宋体" w:cs="Times New Roman"/>
                <w:color w:val="auto"/>
                <w:kern w:val="2"/>
                <w:sz w:val="24"/>
                <w:szCs w:val="24"/>
                <w:lang w:val="en-US" w:eastAsia="zh-CN" w:bidi="ar-SA"/>
              </w:rPr>
              <w:t>，项目污水排放不会对闽侯县城关污水处理厂负荷和处理工艺产生影响，也不会对城市污水管道产生腐蚀影响。因此，从废水水质方面考虑，项目产生的废水经过化粪池处理后排入闽侯县城关污水处理厂处理是可行的。</w:t>
            </w:r>
          </w:p>
          <w:p w14:paraId="0151C076">
            <w:pPr>
              <w:pStyle w:val="116"/>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2）废水水量的影响</w:t>
            </w:r>
          </w:p>
          <w:p w14:paraId="600C75F2">
            <w:pPr>
              <w:pStyle w:val="116"/>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根据调查，闽侯县城关污水处理厂目前设计处理能力为3.0万m</w:t>
            </w:r>
            <w:r>
              <w:rPr>
                <w:rFonts w:hint="eastAsia" w:ascii="Times New Roman" w:hAnsi="Times New Roman" w:eastAsia="宋体" w:cs="Times New Roman"/>
                <w:color w:val="auto"/>
                <w:kern w:val="2"/>
                <w:sz w:val="24"/>
                <w:szCs w:val="24"/>
                <w:vertAlign w:val="superscript"/>
                <w:lang w:val="en-US" w:eastAsia="zh-CN" w:bidi="ar-SA"/>
              </w:rPr>
              <w:t>3</w:t>
            </w:r>
            <w:r>
              <w:rPr>
                <w:rFonts w:hint="eastAsia" w:ascii="Times New Roman" w:hAnsi="Times New Roman" w:eastAsia="宋体" w:cs="Times New Roman"/>
                <w:color w:val="auto"/>
                <w:kern w:val="2"/>
                <w:sz w:val="24"/>
                <w:szCs w:val="24"/>
                <w:lang w:val="en-US" w:eastAsia="zh-CN" w:bidi="ar-SA"/>
              </w:rPr>
              <w:t>/d，本项目外排污水量为</w:t>
            </w:r>
            <w:r>
              <w:rPr>
                <w:rFonts w:hint="eastAsia" w:eastAsia="宋体" w:cs="Times New Roman"/>
                <w:color w:val="auto"/>
                <w:kern w:val="2"/>
                <w:sz w:val="24"/>
                <w:szCs w:val="24"/>
                <w:lang w:val="en-US" w:eastAsia="zh-CN" w:bidi="ar-SA"/>
              </w:rPr>
              <w:t>1.2</w:t>
            </w:r>
            <w:r>
              <w:rPr>
                <w:rFonts w:hint="eastAsia" w:ascii="Times New Roman" w:hAnsi="Times New Roman" w:eastAsia="宋体" w:cs="Times New Roman"/>
                <w:color w:val="auto"/>
                <w:kern w:val="2"/>
                <w:sz w:val="24"/>
                <w:szCs w:val="24"/>
                <w:lang w:val="en-US" w:eastAsia="zh-CN" w:bidi="ar-SA"/>
              </w:rPr>
              <w:t>m</w:t>
            </w:r>
            <w:r>
              <w:rPr>
                <w:rFonts w:hint="eastAsia" w:ascii="Times New Roman" w:hAnsi="Times New Roman" w:eastAsia="宋体" w:cs="Times New Roman"/>
                <w:color w:val="auto"/>
                <w:kern w:val="2"/>
                <w:sz w:val="24"/>
                <w:szCs w:val="24"/>
                <w:vertAlign w:val="superscript"/>
                <w:lang w:val="en-US" w:eastAsia="zh-CN" w:bidi="ar-SA"/>
              </w:rPr>
              <w:t>3</w:t>
            </w:r>
            <w:r>
              <w:rPr>
                <w:rFonts w:hint="eastAsia" w:ascii="Times New Roman" w:hAnsi="Times New Roman" w:eastAsia="宋体" w:cs="Times New Roman"/>
                <w:color w:val="auto"/>
                <w:kern w:val="2"/>
                <w:sz w:val="24"/>
                <w:szCs w:val="24"/>
                <w:lang w:val="en-US" w:eastAsia="zh-CN" w:bidi="ar-SA"/>
              </w:rPr>
              <w:t>/d（工作日以</w:t>
            </w:r>
            <w:r>
              <w:rPr>
                <w:rFonts w:hint="eastAsia" w:eastAsia="宋体" w:cs="Times New Roman"/>
                <w:color w:val="auto"/>
                <w:kern w:val="2"/>
                <w:sz w:val="24"/>
                <w:szCs w:val="24"/>
                <w:lang w:val="en-US" w:eastAsia="zh-CN" w:bidi="ar-SA"/>
              </w:rPr>
              <w:t>33</w:t>
            </w:r>
            <w:r>
              <w:rPr>
                <w:rFonts w:hint="eastAsia" w:ascii="Times New Roman" w:hAnsi="Times New Roman" w:eastAsia="宋体" w:cs="Times New Roman"/>
                <w:color w:val="auto"/>
                <w:kern w:val="2"/>
                <w:sz w:val="24"/>
                <w:szCs w:val="24"/>
                <w:lang w:val="en-US" w:eastAsia="zh-CN" w:bidi="ar-SA"/>
              </w:rPr>
              <w:t>0天计），占总规模的0.00</w:t>
            </w:r>
            <w:r>
              <w:rPr>
                <w:rFonts w:hint="eastAsia" w:eastAsia="宋体" w:cs="Times New Roman"/>
                <w:color w:val="auto"/>
                <w:kern w:val="2"/>
                <w:sz w:val="24"/>
                <w:szCs w:val="24"/>
                <w:lang w:val="en-US" w:eastAsia="zh-CN" w:bidi="ar-SA"/>
              </w:rPr>
              <w:t>4</w:t>
            </w:r>
            <w:r>
              <w:rPr>
                <w:rFonts w:hint="eastAsia" w:ascii="Times New Roman" w:hAnsi="Times New Roman" w:eastAsia="宋体" w:cs="Times New Roman"/>
                <w:color w:val="auto"/>
                <w:kern w:val="2"/>
                <w:sz w:val="24"/>
                <w:szCs w:val="24"/>
                <w:lang w:val="en-US" w:eastAsia="zh-CN" w:bidi="ar-SA"/>
              </w:rPr>
              <w:t>6%，由此可见本项目的生活污水纳入闽侯县城关污水处理厂集中统一处理，不会造成明显的负荷冲击。</w:t>
            </w:r>
          </w:p>
          <w:p w14:paraId="28970DD7">
            <w:pPr>
              <w:pStyle w:val="116"/>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综上所述，该项目污水排放不会对闽侯县城关污水处理厂造成影响，生活污水的排放方案可行。</w:t>
            </w:r>
          </w:p>
          <w:p w14:paraId="09CA59F3">
            <w:pPr>
              <w:pStyle w:val="62"/>
              <w:numPr>
                <w:ilvl w:val="2"/>
                <w:numId w:val="7"/>
              </w:numPr>
              <w:ind w:left="210"/>
              <w:rPr>
                <w:rFonts w:ascii="Times New Roman" w:hAnsi="Times New Roman" w:cs="Times New Roman"/>
                <w:color w:val="auto"/>
                <w:sz w:val="24"/>
                <w:szCs w:val="24"/>
              </w:rPr>
            </w:pPr>
            <w:r>
              <w:rPr>
                <w:rFonts w:ascii="Times New Roman" w:hAnsi="Times New Roman" w:cs="Times New Roman"/>
                <w:color w:val="auto"/>
                <w:sz w:val="24"/>
                <w:szCs w:val="24"/>
              </w:rPr>
              <w:t>废水污染防治措施</w:t>
            </w:r>
          </w:p>
          <w:p w14:paraId="1B9AD365">
            <w:pPr>
              <w:pStyle w:val="55"/>
              <w:ind w:firstLine="422"/>
              <w:rPr>
                <w:b/>
                <w:bCs/>
                <w:color w:val="auto"/>
                <w:sz w:val="24"/>
                <w:szCs w:val="24"/>
              </w:rPr>
            </w:pPr>
            <w:r>
              <w:rPr>
                <w:rFonts w:hint="eastAsia"/>
                <w:b/>
                <w:bCs/>
                <w:color w:val="auto"/>
                <w:sz w:val="24"/>
                <w:szCs w:val="24"/>
              </w:rPr>
              <w:t>（1）雨污分流</w:t>
            </w:r>
          </w:p>
          <w:p w14:paraId="48E53D84">
            <w:pPr>
              <w:pStyle w:val="116"/>
              <w:keepNext w:val="0"/>
              <w:keepLines w:val="0"/>
              <w:pageBreakBefore w:val="0"/>
              <w:widowControl w:val="0"/>
              <w:kinsoku/>
              <w:wordWrap/>
              <w:overflowPunct/>
              <w:topLinePunct w:val="0"/>
              <w:autoSpaceDE/>
              <w:autoSpaceDN/>
              <w:bidi w:val="0"/>
              <w:adjustRightInd/>
              <w:snapToGrid/>
              <w:textAlignment w:val="auto"/>
              <w:rPr>
                <w:rFonts w:hint="eastAsia"/>
                <w:b/>
                <w:bCs/>
                <w:color w:val="auto"/>
                <w:sz w:val="24"/>
                <w:szCs w:val="24"/>
              </w:rPr>
            </w:pPr>
            <w:r>
              <w:rPr>
                <w:rFonts w:hint="eastAsia"/>
                <w:color w:val="auto"/>
                <w:sz w:val="24"/>
                <w:szCs w:val="24"/>
              </w:rPr>
              <w:t>项目租赁场地</w:t>
            </w:r>
            <w:r>
              <w:rPr>
                <w:rFonts w:hint="eastAsia" w:ascii="Times New Roman" w:hAnsi="Times New Roman" w:eastAsia="宋体" w:cs="Times New Roman"/>
                <w:color w:val="auto"/>
                <w:kern w:val="2"/>
                <w:sz w:val="24"/>
                <w:szCs w:val="24"/>
                <w:lang w:val="en-US" w:eastAsia="zh-CN" w:bidi="ar-SA"/>
              </w:rPr>
              <w:t>已实行雨污分流、清污分流。屋面及场地雨水经已建雨水管收集雨水后，排入市政雨水管道；项目污水经已建污水管道收集后经化粪池处理后，排入市政污水管网。</w:t>
            </w:r>
          </w:p>
          <w:p w14:paraId="14D33D5C">
            <w:pPr>
              <w:pStyle w:val="55"/>
              <w:keepNext w:val="0"/>
              <w:keepLines w:val="0"/>
              <w:pageBreakBefore w:val="0"/>
              <w:widowControl w:val="0"/>
              <w:kinsoku/>
              <w:wordWrap/>
              <w:overflowPunct/>
              <w:topLinePunct w:val="0"/>
              <w:autoSpaceDE/>
              <w:autoSpaceDN/>
              <w:bidi w:val="0"/>
              <w:adjustRightInd/>
              <w:snapToGrid/>
              <w:ind w:firstLine="422"/>
              <w:textAlignment w:val="auto"/>
              <w:rPr>
                <w:rFonts w:hint="eastAsia"/>
                <w:b/>
                <w:bCs/>
                <w:color w:val="auto"/>
                <w:sz w:val="24"/>
                <w:szCs w:val="24"/>
              </w:rPr>
            </w:pPr>
            <w:r>
              <w:rPr>
                <w:rFonts w:hint="eastAsia"/>
                <w:b/>
                <w:bCs/>
                <w:color w:val="auto"/>
                <w:sz w:val="24"/>
                <w:szCs w:val="24"/>
              </w:rPr>
              <w:t>（2）污水处理方案</w:t>
            </w:r>
          </w:p>
          <w:p w14:paraId="59DE0627">
            <w:pPr>
              <w:pStyle w:val="116"/>
              <w:rPr>
                <w:color w:val="auto"/>
                <w:sz w:val="24"/>
                <w:szCs w:val="24"/>
              </w:rPr>
            </w:pPr>
            <w:r>
              <w:rPr>
                <w:rFonts w:hint="eastAsia"/>
                <w:color w:val="auto"/>
                <w:sz w:val="24"/>
                <w:szCs w:val="24"/>
              </w:rPr>
              <w:t>冷却水循</w:t>
            </w:r>
            <w:r>
              <w:rPr>
                <w:rFonts w:hint="eastAsia" w:ascii="Times New Roman" w:hAnsi="Times New Roman" w:eastAsia="宋体" w:cs="Times New Roman"/>
                <w:color w:val="auto"/>
                <w:kern w:val="2"/>
                <w:sz w:val="24"/>
                <w:szCs w:val="24"/>
                <w:lang w:val="en-US" w:eastAsia="zh-CN" w:bidi="ar-SA"/>
              </w:rPr>
              <w:t>环使用不外排。生活污水依托宏德盛已建化粪池处理后接入市政污水管网由闽侯</w:t>
            </w:r>
            <w:r>
              <w:rPr>
                <w:rFonts w:hint="eastAsia"/>
                <w:color w:val="auto"/>
                <w:sz w:val="24"/>
                <w:szCs w:val="24"/>
                <w:lang w:eastAsia="zh-CN"/>
              </w:rPr>
              <w:t>县污水处理厂</w:t>
            </w:r>
            <w:r>
              <w:rPr>
                <w:rFonts w:hint="eastAsia"/>
                <w:color w:val="auto"/>
                <w:sz w:val="24"/>
                <w:szCs w:val="24"/>
              </w:rPr>
              <w:t>统一处理，尾水排入陶江</w:t>
            </w:r>
            <w:r>
              <w:rPr>
                <w:color w:val="auto"/>
                <w:sz w:val="24"/>
                <w:szCs w:val="24"/>
              </w:rPr>
              <w:t>。</w:t>
            </w:r>
          </w:p>
          <w:p w14:paraId="76A216DD">
            <w:pPr>
              <w:pStyle w:val="55"/>
              <w:ind w:firstLine="422"/>
              <w:rPr>
                <w:rFonts w:hint="eastAsia"/>
                <w:b/>
                <w:bCs/>
                <w:color w:val="auto"/>
                <w:sz w:val="24"/>
                <w:szCs w:val="24"/>
              </w:rPr>
            </w:pPr>
            <w:r>
              <w:rPr>
                <w:rFonts w:hint="eastAsia"/>
                <w:b/>
                <w:bCs/>
                <w:color w:val="auto"/>
                <w:sz w:val="24"/>
                <w:szCs w:val="24"/>
              </w:rPr>
              <w:t>（3）污水处理可行性分析</w:t>
            </w:r>
          </w:p>
          <w:p w14:paraId="6CC600B6">
            <w:pPr>
              <w:pStyle w:val="116"/>
              <w:rPr>
                <w:color w:val="auto"/>
                <w:sz w:val="24"/>
                <w:szCs w:val="24"/>
              </w:rPr>
            </w:pPr>
            <w:r>
              <w:rPr>
                <w:rFonts w:hint="eastAsia"/>
                <w:color w:val="auto"/>
                <w:sz w:val="24"/>
                <w:szCs w:val="24"/>
              </w:rPr>
              <w:t>根据工程分析，本项目废水排放量</w:t>
            </w:r>
            <w:r>
              <w:rPr>
                <w:rFonts w:hint="eastAsia"/>
                <w:color w:val="auto"/>
                <w:sz w:val="24"/>
                <w:szCs w:val="24"/>
                <w:lang w:val="en-US" w:eastAsia="zh-CN"/>
              </w:rPr>
              <w:t>1.2</w:t>
            </w:r>
            <w:r>
              <w:rPr>
                <w:rFonts w:hint="eastAsia"/>
                <w:color w:val="auto"/>
                <w:sz w:val="24"/>
                <w:szCs w:val="24"/>
              </w:rPr>
              <w:t>m</w:t>
            </w:r>
            <w:r>
              <w:rPr>
                <w:color w:val="auto"/>
                <w:sz w:val="24"/>
                <w:szCs w:val="24"/>
                <w:vertAlign w:val="superscript"/>
              </w:rPr>
              <w:t>3</w:t>
            </w:r>
            <w:r>
              <w:rPr>
                <w:color w:val="auto"/>
                <w:sz w:val="24"/>
                <w:szCs w:val="24"/>
              </w:rPr>
              <w:t>/</w:t>
            </w:r>
            <w:r>
              <w:rPr>
                <w:rFonts w:hint="eastAsia"/>
                <w:color w:val="auto"/>
                <w:sz w:val="24"/>
                <w:szCs w:val="24"/>
              </w:rPr>
              <w:t>d，根据现场调查及业主提供资料，</w:t>
            </w:r>
            <w:r>
              <w:rPr>
                <w:rFonts w:hint="eastAsia"/>
                <w:color w:val="auto"/>
                <w:sz w:val="24"/>
                <w:szCs w:val="24"/>
                <w:lang w:val="en-US" w:eastAsia="zh-CN"/>
              </w:rPr>
              <w:t>元可公司</w:t>
            </w:r>
            <w:r>
              <w:rPr>
                <w:rFonts w:hint="eastAsia"/>
                <w:color w:val="auto"/>
                <w:sz w:val="24"/>
                <w:szCs w:val="24"/>
              </w:rPr>
              <w:t>已建化粪池容积约为30m</w:t>
            </w:r>
            <w:r>
              <w:rPr>
                <w:rFonts w:hint="eastAsia"/>
                <w:color w:val="auto"/>
                <w:sz w:val="24"/>
                <w:szCs w:val="24"/>
                <w:vertAlign w:val="superscript"/>
              </w:rPr>
              <w:t>3</w:t>
            </w:r>
            <w:r>
              <w:rPr>
                <w:rFonts w:hint="eastAsia"/>
                <w:color w:val="auto"/>
                <w:sz w:val="24"/>
                <w:szCs w:val="24"/>
              </w:rPr>
              <w:t>，化粪池剩余处理能力</w:t>
            </w:r>
            <w:r>
              <w:rPr>
                <w:rFonts w:hint="eastAsia"/>
                <w:color w:val="auto"/>
                <w:sz w:val="24"/>
                <w:szCs w:val="24"/>
                <w:lang w:val="en-US" w:eastAsia="zh-CN"/>
              </w:rPr>
              <w:t>20</w:t>
            </w:r>
            <w:r>
              <w:rPr>
                <w:rFonts w:hint="eastAsia"/>
                <w:color w:val="auto"/>
                <w:sz w:val="24"/>
                <w:szCs w:val="24"/>
              </w:rPr>
              <w:t>m</w:t>
            </w:r>
            <w:r>
              <w:rPr>
                <w:color w:val="auto"/>
                <w:sz w:val="24"/>
                <w:szCs w:val="24"/>
                <w:vertAlign w:val="superscript"/>
              </w:rPr>
              <w:t>3</w:t>
            </w:r>
            <w:r>
              <w:rPr>
                <w:rFonts w:hint="eastAsia"/>
                <w:color w:val="auto"/>
                <w:sz w:val="24"/>
                <w:szCs w:val="24"/>
              </w:rPr>
              <w:t>，依托处理设施剩余容量能满足项目要求。</w:t>
            </w:r>
          </w:p>
          <w:p w14:paraId="584BC745">
            <w:pPr>
              <w:pStyle w:val="116"/>
              <w:rPr>
                <w:color w:val="auto"/>
                <w:sz w:val="24"/>
                <w:szCs w:val="24"/>
              </w:rPr>
            </w:pPr>
            <w:r>
              <w:rPr>
                <w:rFonts w:hint="eastAsia"/>
                <w:color w:val="auto"/>
                <w:sz w:val="24"/>
                <w:szCs w:val="24"/>
              </w:rPr>
              <w:t>项目生活污水水质简单，处理后的生活污水水质可达到</w:t>
            </w:r>
            <w:r>
              <w:rPr>
                <w:rFonts w:hint="eastAsia"/>
                <w:color w:val="auto"/>
                <w:sz w:val="24"/>
                <w:szCs w:val="24"/>
                <w:highlight w:val="none"/>
              </w:rPr>
              <w:t>《污水综合排放标准》（GB8978-1996）表4中的三级标准</w:t>
            </w:r>
            <w:r>
              <w:rPr>
                <w:rFonts w:hint="eastAsia" w:ascii="Times New Roman" w:hAnsi="Times New Roman" w:eastAsia="宋体" w:cs="Times New Roman"/>
                <w:color w:val="auto"/>
                <w:kern w:val="2"/>
                <w:sz w:val="24"/>
                <w:szCs w:val="24"/>
                <w:highlight w:val="none"/>
                <w:lang w:val="en-US" w:eastAsia="zh-CN" w:bidi="ar-SA"/>
              </w:rPr>
              <w:t>（其中氨氮</w:t>
            </w:r>
            <w:r>
              <w:rPr>
                <w:rFonts w:hint="eastAsia" w:cs="Times New Roman"/>
                <w:color w:val="auto"/>
                <w:kern w:val="2"/>
                <w:sz w:val="24"/>
                <w:szCs w:val="24"/>
                <w:highlight w:val="none"/>
                <w:lang w:val="en-US" w:eastAsia="zh-CN" w:bidi="ar-SA"/>
              </w:rPr>
              <w:t>、总磷、总氮</w:t>
            </w:r>
            <w:r>
              <w:rPr>
                <w:rFonts w:hint="eastAsia" w:ascii="Times New Roman" w:hAnsi="Times New Roman" w:eastAsia="宋体" w:cs="Times New Roman"/>
                <w:color w:val="auto"/>
                <w:kern w:val="2"/>
                <w:sz w:val="24"/>
                <w:szCs w:val="24"/>
                <w:highlight w:val="none"/>
                <w:lang w:val="en-US" w:eastAsia="zh-CN" w:bidi="ar-SA"/>
              </w:rPr>
              <w:t>参照执行《污水排入城镇下水道水质标准》（GB/T 31962-2015）表1中B级标准限值）</w:t>
            </w:r>
            <w:r>
              <w:rPr>
                <w:rFonts w:hint="eastAsia" w:cs="Times New Roman"/>
                <w:color w:val="auto"/>
                <w:kern w:val="2"/>
                <w:sz w:val="24"/>
                <w:szCs w:val="24"/>
                <w:highlight w:val="none"/>
                <w:lang w:val="en-US" w:eastAsia="zh-CN" w:bidi="ar-SA"/>
              </w:rPr>
              <w:t>并</w:t>
            </w:r>
            <w:r>
              <w:rPr>
                <w:rFonts w:hint="eastAsia" w:cs="Times New Roman"/>
                <w:color w:val="auto"/>
                <w:kern w:val="0"/>
                <w:sz w:val="24"/>
                <w:szCs w:val="24"/>
                <w:highlight w:val="none"/>
                <w:lang w:val="en-US" w:eastAsia="zh-CN" w:bidi="ar-SA"/>
              </w:rPr>
              <w:t>满足</w:t>
            </w:r>
            <w:r>
              <w:rPr>
                <w:rFonts w:hint="eastAsia" w:ascii="Times New Roman" w:hAnsi="Times New Roman" w:eastAsia="宋体" w:cs="Times New Roman"/>
                <w:bCs w:val="0"/>
                <w:color w:val="auto"/>
                <w:kern w:val="0"/>
                <w:sz w:val="24"/>
                <w:szCs w:val="24"/>
                <w:lang w:val="en-US" w:eastAsia="zh-CN" w:bidi="ar-SA"/>
              </w:rPr>
              <w:t>闽侯县污水处理厂纳管标准</w:t>
            </w:r>
            <w:r>
              <w:rPr>
                <w:rFonts w:hint="eastAsia"/>
                <w:color w:val="auto"/>
                <w:sz w:val="24"/>
                <w:szCs w:val="24"/>
              </w:rPr>
              <w:t>，项目厂址所在区域为</w:t>
            </w:r>
            <w:r>
              <w:rPr>
                <w:rFonts w:hint="eastAsia"/>
                <w:color w:val="auto"/>
                <w:sz w:val="24"/>
                <w:szCs w:val="24"/>
                <w:lang w:eastAsia="zh-CN"/>
              </w:rPr>
              <w:t>闽侯县污水处理厂</w:t>
            </w:r>
            <w:r>
              <w:rPr>
                <w:rFonts w:hint="eastAsia"/>
                <w:color w:val="auto"/>
                <w:sz w:val="24"/>
                <w:szCs w:val="24"/>
              </w:rPr>
              <w:t>服务范围内，项目生活污水纳入</w:t>
            </w:r>
            <w:r>
              <w:rPr>
                <w:rFonts w:hint="eastAsia"/>
                <w:color w:val="auto"/>
                <w:sz w:val="24"/>
                <w:szCs w:val="24"/>
                <w:lang w:eastAsia="zh-CN"/>
              </w:rPr>
              <w:t>闽侯县污水处理厂</w:t>
            </w:r>
            <w:r>
              <w:rPr>
                <w:rFonts w:hint="eastAsia"/>
                <w:color w:val="auto"/>
                <w:sz w:val="24"/>
                <w:szCs w:val="24"/>
              </w:rPr>
              <w:t>统一处理可行。</w:t>
            </w:r>
          </w:p>
          <w:p w14:paraId="736C7D9A">
            <w:pPr>
              <w:pStyle w:val="54"/>
              <w:numPr>
                <w:ilvl w:val="1"/>
                <w:numId w:val="7"/>
              </w:numPr>
              <w:rPr>
                <w:rFonts w:cs="Times New Roman"/>
                <w:color w:val="auto"/>
                <w:sz w:val="24"/>
                <w:szCs w:val="24"/>
              </w:rPr>
            </w:pPr>
            <w:r>
              <w:rPr>
                <w:rFonts w:cs="Times New Roman"/>
                <w:color w:val="auto"/>
                <w:sz w:val="24"/>
                <w:szCs w:val="24"/>
              </w:rPr>
              <w:t>噪声</w:t>
            </w:r>
          </w:p>
          <w:p w14:paraId="61FD7161">
            <w:pPr>
              <w:pStyle w:val="62"/>
              <w:numPr>
                <w:ilvl w:val="2"/>
                <w:numId w:val="7"/>
              </w:numPr>
              <w:ind w:left="210"/>
              <w:rPr>
                <w:rFonts w:ascii="Times New Roman" w:hAnsi="Times New Roman" w:cs="Times New Roman"/>
                <w:color w:val="auto"/>
                <w:sz w:val="24"/>
                <w:szCs w:val="24"/>
              </w:rPr>
            </w:pPr>
            <w:r>
              <w:rPr>
                <w:rFonts w:ascii="Times New Roman" w:hAnsi="Times New Roman" w:cs="Times New Roman"/>
                <w:color w:val="auto"/>
                <w:sz w:val="24"/>
                <w:szCs w:val="24"/>
              </w:rPr>
              <w:t>污染源强分析</w:t>
            </w:r>
          </w:p>
          <w:p w14:paraId="5212A032">
            <w:pPr>
              <w:pStyle w:val="116"/>
              <w:rPr>
                <w:color w:val="auto"/>
                <w:sz w:val="24"/>
                <w:szCs w:val="24"/>
              </w:rPr>
            </w:pPr>
            <w:r>
              <w:rPr>
                <w:color w:val="auto"/>
                <w:sz w:val="24"/>
                <w:szCs w:val="24"/>
              </w:rPr>
              <w:t>本项目噪声主要来自</w:t>
            </w:r>
            <w:r>
              <w:rPr>
                <w:rFonts w:hint="eastAsia"/>
                <w:color w:val="auto"/>
                <w:sz w:val="24"/>
                <w:szCs w:val="24"/>
              </w:rPr>
              <w:t>破碎机、空压机、推台锯、台钻</w:t>
            </w:r>
            <w:r>
              <w:rPr>
                <w:color w:val="auto"/>
                <w:sz w:val="24"/>
                <w:szCs w:val="24"/>
              </w:rPr>
              <w:t>等生产设备以及风机、空压机、水泵等辅助生产设备。</w:t>
            </w:r>
          </w:p>
          <w:p w14:paraId="4C557756">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color w:val="auto"/>
                <w:sz w:val="24"/>
                <w:szCs w:val="24"/>
              </w:rPr>
            </w:pPr>
            <w:r>
              <w:rPr>
                <w:rFonts w:hint="eastAsia"/>
                <w:b/>
                <w:bCs/>
                <w:color w:val="auto"/>
                <w:sz w:val="24"/>
                <w:szCs w:val="24"/>
                <w:lang w:val="en-US" w:eastAsia="zh-CN"/>
              </w:rPr>
              <w:t>表4.3-</w:t>
            </w:r>
            <w:r>
              <w:rPr>
                <w:rFonts w:hint="eastAsia" w:cs="Times New Roman"/>
                <w:b/>
                <w:bCs/>
                <w:color w:val="auto"/>
                <w:sz w:val="24"/>
                <w:szCs w:val="22"/>
                <w:highlight w:val="none"/>
                <w:lang w:val="en-US" w:eastAsia="zh-CN"/>
              </w:rPr>
              <w:t xml:space="preserve">1  </w:t>
            </w:r>
            <w:r>
              <w:rPr>
                <w:rFonts w:ascii="Times New Roman" w:hAnsi="Times New Roman" w:cs="Times New Roman"/>
                <w:b/>
                <w:bCs/>
                <w:color w:val="auto"/>
                <w:sz w:val="24"/>
                <w:szCs w:val="24"/>
              </w:rPr>
              <w:t>生产设备噪声一览表</w:t>
            </w:r>
          </w:p>
          <w:tbl>
            <w:tblPr>
              <w:tblStyle w:val="23"/>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030"/>
              <w:gridCol w:w="2019"/>
              <w:gridCol w:w="721"/>
              <w:gridCol w:w="576"/>
              <w:gridCol w:w="861"/>
              <w:gridCol w:w="1444"/>
              <w:gridCol w:w="877"/>
              <w:gridCol w:w="949"/>
            </w:tblGrid>
            <w:tr w14:paraId="19BCDA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restart"/>
                  <w:noWrap w:val="0"/>
                  <w:vAlign w:val="center"/>
                </w:tcPr>
                <w:p w14:paraId="1275CF98">
                  <w:pPr>
                    <w:pStyle w:val="30"/>
                    <w:rPr>
                      <w:color w:val="auto"/>
                      <w:szCs w:val="21"/>
                    </w:rPr>
                  </w:pPr>
                  <w:r>
                    <w:rPr>
                      <w:color w:val="auto"/>
                      <w:szCs w:val="21"/>
                    </w:rPr>
                    <w:t>工序/生产线</w:t>
                  </w:r>
                </w:p>
              </w:tc>
              <w:tc>
                <w:tcPr>
                  <w:tcW w:w="1190" w:type="pct"/>
                  <w:vMerge w:val="restart"/>
                  <w:noWrap w:val="0"/>
                  <w:vAlign w:val="center"/>
                </w:tcPr>
                <w:p w14:paraId="55FDA8C5">
                  <w:pPr>
                    <w:pStyle w:val="30"/>
                    <w:rPr>
                      <w:color w:val="auto"/>
                      <w:szCs w:val="21"/>
                    </w:rPr>
                  </w:pPr>
                  <w:r>
                    <w:rPr>
                      <w:color w:val="auto"/>
                      <w:szCs w:val="21"/>
                    </w:rPr>
                    <w:t>设备名称</w:t>
                  </w:r>
                </w:p>
              </w:tc>
              <w:tc>
                <w:tcPr>
                  <w:tcW w:w="425" w:type="pct"/>
                  <w:vMerge w:val="restart"/>
                  <w:noWrap w:val="0"/>
                  <w:vAlign w:val="center"/>
                </w:tcPr>
                <w:p w14:paraId="5646ABC4">
                  <w:pPr>
                    <w:pStyle w:val="30"/>
                    <w:rPr>
                      <w:color w:val="auto"/>
                      <w:szCs w:val="21"/>
                    </w:rPr>
                  </w:pPr>
                  <w:r>
                    <w:rPr>
                      <w:color w:val="auto"/>
                      <w:szCs w:val="21"/>
                    </w:rPr>
                    <w:t>设备</w:t>
                  </w:r>
                </w:p>
                <w:p w14:paraId="6E71BABE">
                  <w:pPr>
                    <w:pStyle w:val="30"/>
                    <w:rPr>
                      <w:color w:val="auto"/>
                      <w:szCs w:val="21"/>
                    </w:rPr>
                  </w:pPr>
                  <w:r>
                    <w:rPr>
                      <w:color w:val="auto"/>
                      <w:szCs w:val="21"/>
                    </w:rPr>
                    <w:t>数量</w:t>
                  </w:r>
                </w:p>
              </w:tc>
              <w:tc>
                <w:tcPr>
                  <w:tcW w:w="339" w:type="pct"/>
                  <w:vMerge w:val="restart"/>
                  <w:noWrap w:val="0"/>
                  <w:vAlign w:val="center"/>
                </w:tcPr>
                <w:p w14:paraId="6068896A">
                  <w:pPr>
                    <w:pStyle w:val="30"/>
                    <w:rPr>
                      <w:color w:val="auto"/>
                      <w:szCs w:val="21"/>
                    </w:rPr>
                  </w:pPr>
                  <w:r>
                    <w:rPr>
                      <w:color w:val="auto"/>
                      <w:szCs w:val="21"/>
                    </w:rPr>
                    <w:t>声源</w:t>
                  </w:r>
                </w:p>
                <w:p w14:paraId="4EE34744">
                  <w:pPr>
                    <w:pStyle w:val="30"/>
                    <w:rPr>
                      <w:color w:val="auto"/>
                      <w:szCs w:val="21"/>
                    </w:rPr>
                  </w:pPr>
                  <w:r>
                    <w:rPr>
                      <w:color w:val="auto"/>
                      <w:szCs w:val="21"/>
                    </w:rPr>
                    <w:t>类型</w:t>
                  </w:r>
                </w:p>
              </w:tc>
              <w:tc>
                <w:tcPr>
                  <w:tcW w:w="507" w:type="pct"/>
                  <w:vMerge w:val="restart"/>
                  <w:noWrap w:val="0"/>
                  <w:vAlign w:val="center"/>
                </w:tcPr>
                <w:p w14:paraId="2C10023B">
                  <w:pPr>
                    <w:pStyle w:val="30"/>
                    <w:rPr>
                      <w:color w:val="auto"/>
                      <w:szCs w:val="21"/>
                    </w:rPr>
                  </w:pPr>
                  <w:r>
                    <w:rPr>
                      <w:color w:val="auto"/>
                      <w:szCs w:val="21"/>
                    </w:rPr>
                    <w:t>噪声源</w:t>
                  </w:r>
                </w:p>
                <w:p w14:paraId="2B0EC068">
                  <w:pPr>
                    <w:pStyle w:val="30"/>
                    <w:rPr>
                      <w:color w:val="auto"/>
                      <w:szCs w:val="21"/>
                    </w:rPr>
                  </w:pPr>
                  <w:r>
                    <w:rPr>
                      <w:color w:val="auto"/>
                      <w:szCs w:val="21"/>
                    </w:rPr>
                    <w:t>源强/dB</w:t>
                  </w:r>
                </w:p>
              </w:tc>
              <w:tc>
                <w:tcPr>
                  <w:tcW w:w="1368" w:type="pct"/>
                  <w:gridSpan w:val="2"/>
                  <w:noWrap w:val="0"/>
                  <w:vAlign w:val="center"/>
                </w:tcPr>
                <w:p w14:paraId="3FB5D97E">
                  <w:pPr>
                    <w:pStyle w:val="30"/>
                    <w:rPr>
                      <w:color w:val="auto"/>
                      <w:szCs w:val="21"/>
                    </w:rPr>
                  </w:pPr>
                  <w:r>
                    <w:rPr>
                      <w:color w:val="auto"/>
                      <w:szCs w:val="21"/>
                    </w:rPr>
                    <w:t>降噪措施</w:t>
                  </w:r>
                </w:p>
              </w:tc>
              <w:tc>
                <w:tcPr>
                  <w:tcW w:w="559" w:type="pct"/>
                  <w:vMerge w:val="restart"/>
                  <w:noWrap w:val="0"/>
                  <w:vAlign w:val="center"/>
                </w:tcPr>
                <w:p w14:paraId="496BE7FA">
                  <w:pPr>
                    <w:pStyle w:val="30"/>
                    <w:rPr>
                      <w:color w:val="auto"/>
                      <w:szCs w:val="21"/>
                    </w:rPr>
                  </w:pPr>
                  <w:r>
                    <w:rPr>
                      <w:color w:val="auto"/>
                      <w:szCs w:val="21"/>
                    </w:rPr>
                    <w:t>采取措施后噪声级/dB</w:t>
                  </w:r>
                </w:p>
              </w:tc>
            </w:tr>
            <w:tr w14:paraId="3D1421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1E94E149">
                  <w:pPr>
                    <w:pStyle w:val="30"/>
                    <w:rPr>
                      <w:color w:val="auto"/>
                      <w:szCs w:val="21"/>
                    </w:rPr>
                  </w:pPr>
                </w:p>
              </w:tc>
              <w:tc>
                <w:tcPr>
                  <w:tcW w:w="1190" w:type="pct"/>
                  <w:vMerge w:val="continue"/>
                  <w:noWrap w:val="0"/>
                  <w:vAlign w:val="center"/>
                </w:tcPr>
                <w:p w14:paraId="5C4B1C9D">
                  <w:pPr>
                    <w:pStyle w:val="30"/>
                    <w:rPr>
                      <w:color w:val="auto"/>
                      <w:szCs w:val="21"/>
                    </w:rPr>
                  </w:pPr>
                </w:p>
              </w:tc>
              <w:tc>
                <w:tcPr>
                  <w:tcW w:w="425" w:type="pct"/>
                  <w:vMerge w:val="continue"/>
                  <w:noWrap w:val="0"/>
                  <w:vAlign w:val="center"/>
                </w:tcPr>
                <w:p w14:paraId="19A226B5">
                  <w:pPr>
                    <w:pStyle w:val="30"/>
                    <w:rPr>
                      <w:color w:val="auto"/>
                      <w:szCs w:val="21"/>
                    </w:rPr>
                  </w:pPr>
                </w:p>
              </w:tc>
              <w:tc>
                <w:tcPr>
                  <w:tcW w:w="339" w:type="pct"/>
                  <w:vMerge w:val="continue"/>
                  <w:noWrap w:val="0"/>
                  <w:vAlign w:val="center"/>
                </w:tcPr>
                <w:p w14:paraId="4BCE8821">
                  <w:pPr>
                    <w:pStyle w:val="30"/>
                    <w:rPr>
                      <w:color w:val="auto"/>
                      <w:szCs w:val="21"/>
                    </w:rPr>
                  </w:pPr>
                </w:p>
              </w:tc>
              <w:tc>
                <w:tcPr>
                  <w:tcW w:w="507" w:type="pct"/>
                  <w:vMerge w:val="continue"/>
                  <w:noWrap w:val="0"/>
                  <w:vAlign w:val="center"/>
                </w:tcPr>
                <w:p w14:paraId="73303D8C">
                  <w:pPr>
                    <w:pStyle w:val="30"/>
                    <w:rPr>
                      <w:color w:val="auto"/>
                      <w:szCs w:val="21"/>
                    </w:rPr>
                  </w:pPr>
                </w:p>
              </w:tc>
              <w:tc>
                <w:tcPr>
                  <w:tcW w:w="851" w:type="pct"/>
                  <w:noWrap w:val="0"/>
                  <w:vAlign w:val="center"/>
                </w:tcPr>
                <w:p w14:paraId="77C2F128">
                  <w:pPr>
                    <w:pStyle w:val="30"/>
                    <w:rPr>
                      <w:color w:val="auto"/>
                      <w:szCs w:val="21"/>
                    </w:rPr>
                  </w:pPr>
                  <w:r>
                    <w:rPr>
                      <w:color w:val="auto"/>
                      <w:szCs w:val="21"/>
                    </w:rPr>
                    <w:t>工艺</w:t>
                  </w:r>
                </w:p>
              </w:tc>
              <w:tc>
                <w:tcPr>
                  <w:tcW w:w="517" w:type="pct"/>
                  <w:noWrap w:val="0"/>
                  <w:vAlign w:val="center"/>
                </w:tcPr>
                <w:p w14:paraId="2BDA2ED1">
                  <w:pPr>
                    <w:pStyle w:val="30"/>
                    <w:rPr>
                      <w:color w:val="auto"/>
                      <w:szCs w:val="21"/>
                    </w:rPr>
                  </w:pPr>
                  <w:r>
                    <w:rPr>
                      <w:color w:val="auto"/>
                      <w:szCs w:val="21"/>
                    </w:rPr>
                    <w:t>降噪效果/dB</w:t>
                  </w:r>
                </w:p>
              </w:tc>
              <w:tc>
                <w:tcPr>
                  <w:tcW w:w="559" w:type="pct"/>
                  <w:vMerge w:val="continue"/>
                  <w:noWrap w:val="0"/>
                  <w:vAlign w:val="center"/>
                </w:tcPr>
                <w:p w14:paraId="5C27FD5F">
                  <w:pPr>
                    <w:pStyle w:val="30"/>
                    <w:rPr>
                      <w:color w:val="auto"/>
                      <w:szCs w:val="21"/>
                    </w:rPr>
                  </w:pPr>
                </w:p>
              </w:tc>
            </w:tr>
            <w:tr w14:paraId="525D56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restart"/>
                  <w:noWrap w:val="0"/>
                  <w:vAlign w:val="center"/>
                </w:tcPr>
                <w:p w14:paraId="1801EDE8">
                  <w:pPr>
                    <w:pStyle w:val="30"/>
                    <w:rPr>
                      <w:rFonts w:hint="eastAsia"/>
                      <w:color w:val="auto"/>
                      <w:szCs w:val="21"/>
                    </w:rPr>
                  </w:pPr>
                  <w:r>
                    <w:rPr>
                      <w:rFonts w:hint="eastAsia"/>
                      <w:color w:val="auto"/>
                    </w:rPr>
                    <w:t>1层生产区</w:t>
                  </w:r>
                </w:p>
              </w:tc>
              <w:tc>
                <w:tcPr>
                  <w:tcW w:w="1190" w:type="pct"/>
                  <w:noWrap w:val="0"/>
                  <w:vAlign w:val="center"/>
                </w:tcPr>
                <w:p w14:paraId="193500E0">
                  <w:pPr>
                    <w:pStyle w:val="30"/>
                    <w:rPr>
                      <w:color w:val="auto"/>
                      <w:szCs w:val="21"/>
                    </w:rPr>
                  </w:pPr>
                  <w:r>
                    <w:rPr>
                      <w:rFonts w:hint="eastAsia"/>
                      <w:color w:val="auto"/>
                    </w:rPr>
                    <w:t>破碎机</w:t>
                  </w:r>
                </w:p>
              </w:tc>
              <w:tc>
                <w:tcPr>
                  <w:tcW w:w="425" w:type="pct"/>
                  <w:shd w:val="clear" w:color="auto" w:fill="auto"/>
                  <w:noWrap w:val="0"/>
                  <w:vAlign w:val="center"/>
                </w:tcPr>
                <w:p w14:paraId="54850B92">
                  <w:pPr>
                    <w:pStyle w:val="30"/>
                    <w:rPr>
                      <w:rFonts w:hint="eastAsia" w:eastAsia="宋体"/>
                      <w:color w:val="auto"/>
                      <w:szCs w:val="21"/>
                      <w:highlight w:val="none"/>
                      <w:lang w:eastAsia="zh-CN"/>
                    </w:rPr>
                  </w:pPr>
                  <w:r>
                    <w:rPr>
                      <w:rFonts w:hint="eastAsia"/>
                      <w:color w:val="auto"/>
                      <w:highlight w:val="none"/>
                      <w:lang w:val="en-US" w:eastAsia="zh-CN"/>
                    </w:rPr>
                    <w:t>2</w:t>
                  </w:r>
                </w:p>
              </w:tc>
              <w:tc>
                <w:tcPr>
                  <w:tcW w:w="339" w:type="pct"/>
                  <w:noWrap w:val="0"/>
                  <w:vAlign w:val="center"/>
                </w:tcPr>
                <w:p w14:paraId="740B336E">
                  <w:pPr>
                    <w:pStyle w:val="30"/>
                    <w:rPr>
                      <w:color w:val="auto"/>
                      <w:szCs w:val="21"/>
                    </w:rPr>
                  </w:pPr>
                  <w:r>
                    <w:rPr>
                      <w:color w:val="auto"/>
                      <w:szCs w:val="21"/>
                    </w:rPr>
                    <w:t>频发</w:t>
                  </w:r>
                </w:p>
              </w:tc>
              <w:tc>
                <w:tcPr>
                  <w:tcW w:w="507" w:type="pct"/>
                  <w:tcBorders>
                    <w:bottom w:val="single" w:color="auto" w:sz="4" w:space="0"/>
                  </w:tcBorders>
                  <w:noWrap w:val="0"/>
                  <w:vAlign w:val="center"/>
                </w:tcPr>
                <w:p w14:paraId="3E7FB473">
                  <w:pPr>
                    <w:pStyle w:val="30"/>
                    <w:rPr>
                      <w:color w:val="auto"/>
                      <w:szCs w:val="21"/>
                    </w:rPr>
                  </w:pPr>
                  <w:r>
                    <w:rPr>
                      <w:color w:val="auto"/>
                      <w:szCs w:val="21"/>
                    </w:rPr>
                    <w:t>80-95</w:t>
                  </w:r>
                </w:p>
              </w:tc>
              <w:tc>
                <w:tcPr>
                  <w:tcW w:w="851" w:type="pct"/>
                  <w:vMerge w:val="restart"/>
                  <w:noWrap w:val="0"/>
                  <w:vAlign w:val="center"/>
                </w:tcPr>
                <w:p w14:paraId="0CDB1DE2">
                  <w:pPr>
                    <w:pStyle w:val="30"/>
                    <w:rPr>
                      <w:color w:val="auto"/>
                      <w:szCs w:val="21"/>
                    </w:rPr>
                  </w:pPr>
                  <w:r>
                    <w:rPr>
                      <w:color w:val="auto"/>
                      <w:szCs w:val="21"/>
                    </w:rPr>
                    <w:t>厂房隔声+减振基础</w:t>
                  </w:r>
                </w:p>
              </w:tc>
              <w:tc>
                <w:tcPr>
                  <w:tcW w:w="517" w:type="pct"/>
                  <w:noWrap w:val="0"/>
                  <w:vAlign w:val="center"/>
                </w:tcPr>
                <w:p w14:paraId="686CF91A">
                  <w:pPr>
                    <w:pStyle w:val="30"/>
                    <w:rPr>
                      <w:color w:val="auto"/>
                      <w:szCs w:val="21"/>
                    </w:rPr>
                  </w:pPr>
                  <w:r>
                    <w:rPr>
                      <w:color w:val="auto"/>
                      <w:szCs w:val="21"/>
                    </w:rPr>
                    <w:t>20</w:t>
                  </w:r>
                </w:p>
              </w:tc>
              <w:tc>
                <w:tcPr>
                  <w:tcW w:w="559" w:type="pct"/>
                  <w:noWrap w:val="0"/>
                  <w:vAlign w:val="center"/>
                </w:tcPr>
                <w:p w14:paraId="594B0A6F">
                  <w:pPr>
                    <w:pStyle w:val="30"/>
                    <w:rPr>
                      <w:color w:val="auto"/>
                      <w:szCs w:val="21"/>
                    </w:rPr>
                  </w:pPr>
                  <w:r>
                    <w:rPr>
                      <w:color w:val="auto"/>
                      <w:szCs w:val="21"/>
                    </w:rPr>
                    <w:t>60-75</w:t>
                  </w:r>
                </w:p>
              </w:tc>
            </w:tr>
            <w:tr w14:paraId="002396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560005DF">
                  <w:pPr>
                    <w:pStyle w:val="30"/>
                    <w:rPr>
                      <w:color w:val="auto"/>
                      <w:szCs w:val="21"/>
                    </w:rPr>
                  </w:pPr>
                </w:p>
              </w:tc>
              <w:tc>
                <w:tcPr>
                  <w:tcW w:w="1190" w:type="pct"/>
                  <w:noWrap w:val="0"/>
                  <w:vAlign w:val="center"/>
                </w:tcPr>
                <w:p w14:paraId="3A41BA4D">
                  <w:pPr>
                    <w:pStyle w:val="30"/>
                    <w:rPr>
                      <w:rFonts w:hint="eastAsia"/>
                      <w:color w:val="auto"/>
                    </w:rPr>
                  </w:pPr>
                  <w:r>
                    <w:rPr>
                      <w:rFonts w:hint="eastAsia"/>
                      <w:color w:val="auto"/>
                    </w:rPr>
                    <w:t>拌料机</w:t>
                  </w:r>
                </w:p>
              </w:tc>
              <w:tc>
                <w:tcPr>
                  <w:tcW w:w="425" w:type="pct"/>
                  <w:shd w:val="clear" w:color="auto" w:fill="auto"/>
                  <w:noWrap w:val="0"/>
                  <w:vAlign w:val="center"/>
                </w:tcPr>
                <w:p w14:paraId="597EB119">
                  <w:pPr>
                    <w:pStyle w:val="30"/>
                    <w:rPr>
                      <w:rFonts w:hint="default" w:eastAsia="等线"/>
                      <w:color w:val="auto"/>
                      <w:highlight w:val="none"/>
                      <w:lang w:val="en-US" w:eastAsia="zh-CN"/>
                    </w:rPr>
                  </w:pPr>
                  <w:r>
                    <w:rPr>
                      <w:rFonts w:hint="eastAsia" w:eastAsia="等线"/>
                      <w:color w:val="auto"/>
                      <w:highlight w:val="none"/>
                      <w:lang w:val="en-US" w:eastAsia="zh-CN"/>
                    </w:rPr>
                    <w:t>16</w:t>
                  </w:r>
                </w:p>
              </w:tc>
              <w:tc>
                <w:tcPr>
                  <w:tcW w:w="339" w:type="pct"/>
                  <w:noWrap w:val="0"/>
                  <w:vAlign w:val="center"/>
                </w:tcPr>
                <w:p w14:paraId="26ED0847">
                  <w:pPr>
                    <w:pStyle w:val="30"/>
                    <w:rPr>
                      <w:color w:val="auto"/>
                      <w:szCs w:val="21"/>
                    </w:rPr>
                  </w:pPr>
                  <w:r>
                    <w:rPr>
                      <w:color w:val="auto"/>
                      <w:szCs w:val="21"/>
                    </w:rPr>
                    <w:t>频发</w:t>
                  </w:r>
                </w:p>
              </w:tc>
              <w:tc>
                <w:tcPr>
                  <w:tcW w:w="507" w:type="pct"/>
                  <w:tcBorders>
                    <w:top w:val="single" w:color="auto" w:sz="4" w:space="0"/>
                    <w:bottom w:val="single" w:color="auto" w:sz="4" w:space="0"/>
                  </w:tcBorders>
                  <w:noWrap w:val="0"/>
                  <w:vAlign w:val="center"/>
                </w:tcPr>
                <w:p w14:paraId="34F4F4A7">
                  <w:pPr>
                    <w:pStyle w:val="30"/>
                    <w:rPr>
                      <w:color w:val="auto"/>
                      <w:szCs w:val="21"/>
                    </w:rPr>
                  </w:pPr>
                  <w:r>
                    <w:rPr>
                      <w:color w:val="auto"/>
                      <w:szCs w:val="21"/>
                    </w:rPr>
                    <w:t>80-90</w:t>
                  </w:r>
                </w:p>
              </w:tc>
              <w:tc>
                <w:tcPr>
                  <w:tcW w:w="851" w:type="pct"/>
                  <w:vMerge w:val="continue"/>
                  <w:noWrap w:val="0"/>
                  <w:vAlign w:val="center"/>
                </w:tcPr>
                <w:p w14:paraId="73841FDA">
                  <w:pPr>
                    <w:pStyle w:val="30"/>
                    <w:rPr>
                      <w:color w:val="auto"/>
                      <w:szCs w:val="21"/>
                    </w:rPr>
                  </w:pPr>
                </w:p>
              </w:tc>
              <w:tc>
                <w:tcPr>
                  <w:tcW w:w="517" w:type="pct"/>
                  <w:noWrap w:val="0"/>
                  <w:vAlign w:val="center"/>
                </w:tcPr>
                <w:p w14:paraId="14CBCB80">
                  <w:pPr>
                    <w:pStyle w:val="30"/>
                    <w:rPr>
                      <w:color w:val="auto"/>
                      <w:szCs w:val="21"/>
                    </w:rPr>
                  </w:pPr>
                  <w:r>
                    <w:rPr>
                      <w:color w:val="auto"/>
                      <w:szCs w:val="21"/>
                    </w:rPr>
                    <w:t>20</w:t>
                  </w:r>
                </w:p>
              </w:tc>
              <w:tc>
                <w:tcPr>
                  <w:tcW w:w="559" w:type="pct"/>
                  <w:noWrap w:val="0"/>
                  <w:vAlign w:val="center"/>
                </w:tcPr>
                <w:p w14:paraId="421FAB15">
                  <w:pPr>
                    <w:pStyle w:val="30"/>
                    <w:rPr>
                      <w:color w:val="auto"/>
                      <w:szCs w:val="21"/>
                    </w:rPr>
                  </w:pPr>
                  <w:r>
                    <w:rPr>
                      <w:color w:val="auto"/>
                      <w:szCs w:val="21"/>
                    </w:rPr>
                    <w:t>60-70</w:t>
                  </w:r>
                </w:p>
              </w:tc>
            </w:tr>
            <w:tr w14:paraId="37E32B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09283541">
                  <w:pPr>
                    <w:pStyle w:val="30"/>
                    <w:rPr>
                      <w:color w:val="auto"/>
                      <w:szCs w:val="21"/>
                    </w:rPr>
                  </w:pPr>
                </w:p>
              </w:tc>
              <w:tc>
                <w:tcPr>
                  <w:tcW w:w="1190" w:type="pct"/>
                  <w:noWrap w:val="0"/>
                  <w:vAlign w:val="center"/>
                </w:tcPr>
                <w:p w14:paraId="45CB86F4">
                  <w:pPr>
                    <w:pStyle w:val="30"/>
                    <w:rPr>
                      <w:rFonts w:hint="eastAsia"/>
                      <w:color w:val="auto"/>
                    </w:rPr>
                  </w:pPr>
                  <w:r>
                    <w:rPr>
                      <w:rFonts w:hint="eastAsia"/>
                      <w:color w:val="auto"/>
                    </w:rPr>
                    <w:t>挤压机</w:t>
                  </w:r>
                </w:p>
              </w:tc>
              <w:tc>
                <w:tcPr>
                  <w:tcW w:w="425" w:type="pct"/>
                  <w:shd w:val="clear" w:color="auto" w:fill="auto"/>
                  <w:noWrap w:val="0"/>
                  <w:vAlign w:val="center"/>
                </w:tcPr>
                <w:p w14:paraId="326C0A60">
                  <w:pPr>
                    <w:pStyle w:val="30"/>
                    <w:rPr>
                      <w:rFonts w:hint="eastAsia" w:eastAsia="宋体"/>
                      <w:color w:val="auto"/>
                      <w:highlight w:val="none"/>
                      <w:lang w:eastAsia="zh-CN"/>
                    </w:rPr>
                  </w:pPr>
                  <w:r>
                    <w:rPr>
                      <w:color w:val="auto"/>
                      <w:highlight w:val="none"/>
                    </w:rPr>
                    <w:t>1</w:t>
                  </w:r>
                  <w:r>
                    <w:rPr>
                      <w:rFonts w:hint="eastAsia"/>
                      <w:color w:val="auto"/>
                      <w:highlight w:val="none"/>
                      <w:lang w:val="en-US" w:eastAsia="zh-CN"/>
                    </w:rPr>
                    <w:t>6</w:t>
                  </w:r>
                </w:p>
              </w:tc>
              <w:tc>
                <w:tcPr>
                  <w:tcW w:w="339" w:type="pct"/>
                  <w:noWrap w:val="0"/>
                  <w:vAlign w:val="center"/>
                </w:tcPr>
                <w:p w14:paraId="06FE653B">
                  <w:pPr>
                    <w:pStyle w:val="30"/>
                    <w:rPr>
                      <w:color w:val="auto"/>
                      <w:szCs w:val="21"/>
                    </w:rPr>
                  </w:pPr>
                  <w:r>
                    <w:rPr>
                      <w:color w:val="auto"/>
                      <w:szCs w:val="21"/>
                    </w:rPr>
                    <w:t>频发</w:t>
                  </w:r>
                </w:p>
              </w:tc>
              <w:tc>
                <w:tcPr>
                  <w:tcW w:w="507" w:type="pct"/>
                  <w:tcBorders>
                    <w:top w:val="single" w:color="auto" w:sz="4" w:space="0"/>
                    <w:bottom w:val="single" w:color="auto" w:sz="4" w:space="0"/>
                  </w:tcBorders>
                  <w:noWrap w:val="0"/>
                  <w:vAlign w:val="center"/>
                </w:tcPr>
                <w:p w14:paraId="22F9099D">
                  <w:pPr>
                    <w:pStyle w:val="30"/>
                    <w:rPr>
                      <w:color w:val="auto"/>
                      <w:szCs w:val="21"/>
                    </w:rPr>
                  </w:pPr>
                  <w:r>
                    <w:rPr>
                      <w:color w:val="auto"/>
                      <w:szCs w:val="21"/>
                    </w:rPr>
                    <w:t>80-85</w:t>
                  </w:r>
                </w:p>
              </w:tc>
              <w:tc>
                <w:tcPr>
                  <w:tcW w:w="851" w:type="pct"/>
                  <w:vMerge w:val="continue"/>
                  <w:noWrap w:val="0"/>
                  <w:vAlign w:val="center"/>
                </w:tcPr>
                <w:p w14:paraId="662DF5DF">
                  <w:pPr>
                    <w:pStyle w:val="30"/>
                    <w:rPr>
                      <w:color w:val="auto"/>
                      <w:szCs w:val="21"/>
                    </w:rPr>
                  </w:pPr>
                </w:p>
              </w:tc>
              <w:tc>
                <w:tcPr>
                  <w:tcW w:w="517" w:type="pct"/>
                  <w:noWrap w:val="0"/>
                  <w:vAlign w:val="center"/>
                </w:tcPr>
                <w:p w14:paraId="75FE48BD">
                  <w:pPr>
                    <w:pStyle w:val="30"/>
                    <w:rPr>
                      <w:color w:val="auto"/>
                      <w:szCs w:val="21"/>
                    </w:rPr>
                  </w:pPr>
                  <w:r>
                    <w:rPr>
                      <w:color w:val="auto"/>
                      <w:szCs w:val="21"/>
                    </w:rPr>
                    <w:t>20</w:t>
                  </w:r>
                </w:p>
              </w:tc>
              <w:tc>
                <w:tcPr>
                  <w:tcW w:w="559" w:type="pct"/>
                  <w:noWrap w:val="0"/>
                  <w:vAlign w:val="center"/>
                </w:tcPr>
                <w:p w14:paraId="46B5BDEB">
                  <w:pPr>
                    <w:pStyle w:val="30"/>
                    <w:rPr>
                      <w:color w:val="auto"/>
                      <w:szCs w:val="21"/>
                    </w:rPr>
                  </w:pPr>
                  <w:r>
                    <w:rPr>
                      <w:color w:val="auto"/>
                      <w:szCs w:val="21"/>
                    </w:rPr>
                    <w:t>60-65</w:t>
                  </w:r>
                </w:p>
              </w:tc>
            </w:tr>
            <w:tr w14:paraId="63E998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620B541A">
                  <w:pPr>
                    <w:pStyle w:val="30"/>
                    <w:rPr>
                      <w:color w:val="auto"/>
                      <w:szCs w:val="21"/>
                    </w:rPr>
                  </w:pPr>
                </w:p>
              </w:tc>
              <w:tc>
                <w:tcPr>
                  <w:tcW w:w="1190" w:type="pct"/>
                  <w:noWrap w:val="0"/>
                  <w:vAlign w:val="center"/>
                </w:tcPr>
                <w:p w14:paraId="450C8012">
                  <w:pPr>
                    <w:pStyle w:val="30"/>
                    <w:rPr>
                      <w:color w:val="auto"/>
                      <w:szCs w:val="21"/>
                    </w:rPr>
                  </w:pPr>
                  <w:r>
                    <w:rPr>
                      <w:rFonts w:hint="eastAsia"/>
                      <w:color w:val="auto"/>
                    </w:rPr>
                    <w:t>空压机</w:t>
                  </w:r>
                </w:p>
              </w:tc>
              <w:tc>
                <w:tcPr>
                  <w:tcW w:w="425" w:type="pct"/>
                  <w:shd w:val="clear" w:color="auto" w:fill="auto"/>
                  <w:noWrap w:val="0"/>
                  <w:vAlign w:val="center"/>
                </w:tcPr>
                <w:p w14:paraId="0B95AC1F">
                  <w:pPr>
                    <w:pStyle w:val="30"/>
                    <w:rPr>
                      <w:rFonts w:hint="eastAsia" w:eastAsia="宋体"/>
                      <w:color w:val="auto"/>
                      <w:szCs w:val="21"/>
                      <w:highlight w:val="none"/>
                      <w:lang w:eastAsia="zh-CN"/>
                    </w:rPr>
                  </w:pPr>
                  <w:r>
                    <w:rPr>
                      <w:rFonts w:hint="eastAsia"/>
                      <w:color w:val="auto"/>
                      <w:highlight w:val="none"/>
                      <w:lang w:val="en-US" w:eastAsia="zh-CN"/>
                    </w:rPr>
                    <w:t>2</w:t>
                  </w:r>
                </w:p>
              </w:tc>
              <w:tc>
                <w:tcPr>
                  <w:tcW w:w="339" w:type="pct"/>
                  <w:noWrap w:val="0"/>
                  <w:vAlign w:val="center"/>
                </w:tcPr>
                <w:p w14:paraId="2B573D0B">
                  <w:pPr>
                    <w:pStyle w:val="30"/>
                    <w:rPr>
                      <w:color w:val="auto"/>
                      <w:szCs w:val="21"/>
                    </w:rPr>
                  </w:pPr>
                  <w:r>
                    <w:rPr>
                      <w:color w:val="auto"/>
                      <w:szCs w:val="21"/>
                    </w:rPr>
                    <w:t>频发</w:t>
                  </w:r>
                </w:p>
              </w:tc>
              <w:tc>
                <w:tcPr>
                  <w:tcW w:w="507" w:type="pct"/>
                  <w:tcBorders>
                    <w:top w:val="single" w:color="auto" w:sz="4" w:space="0"/>
                    <w:bottom w:val="single" w:color="auto" w:sz="4" w:space="0"/>
                  </w:tcBorders>
                  <w:noWrap w:val="0"/>
                  <w:vAlign w:val="center"/>
                </w:tcPr>
                <w:p w14:paraId="4929884F">
                  <w:pPr>
                    <w:pStyle w:val="30"/>
                    <w:rPr>
                      <w:color w:val="auto"/>
                      <w:szCs w:val="21"/>
                    </w:rPr>
                  </w:pPr>
                  <w:r>
                    <w:rPr>
                      <w:color w:val="auto"/>
                      <w:szCs w:val="21"/>
                    </w:rPr>
                    <w:t>85-95</w:t>
                  </w:r>
                </w:p>
              </w:tc>
              <w:tc>
                <w:tcPr>
                  <w:tcW w:w="851" w:type="pct"/>
                  <w:vMerge w:val="continue"/>
                  <w:noWrap w:val="0"/>
                  <w:vAlign w:val="center"/>
                </w:tcPr>
                <w:p w14:paraId="304D0DC3">
                  <w:pPr>
                    <w:pStyle w:val="30"/>
                    <w:rPr>
                      <w:color w:val="auto"/>
                      <w:szCs w:val="21"/>
                    </w:rPr>
                  </w:pPr>
                </w:p>
              </w:tc>
              <w:tc>
                <w:tcPr>
                  <w:tcW w:w="517" w:type="pct"/>
                  <w:noWrap w:val="0"/>
                  <w:vAlign w:val="center"/>
                </w:tcPr>
                <w:p w14:paraId="657CFDF2">
                  <w:pPr>
                    <w:pStyle w:val="30"/>
                    <w:rPr>
                      <w:color w:val="auto"/>
                      <w:szCs w:val="21"/>
                    </w:rPr>
                  </w:pPr>
                  <w:r>
                    <w:rPr>
                      <w:color w:val="auto"/>
                      <w:szCs w:val="21"/>
                    </w:rPr>
                    <w:t>20</w:t>
                  </w:r>
                </w:p>
              </w:tc>
              <w:tc>
                <w:tcPr>
                  <w:tcW w:w="559" w:type="pct"/>
                  <w:noWrap w:val="0"/>
                  <w:vAlign w:val="center"/>
                </w:tcPr>
                <w:p w14:paraId="4BEE08F6">
                  <w:pPr>
                    <w:pStyle w:val="30"/>
                    <w:rPr>
                      <w:color w:val="auto"/>
                      <w:szCs w:val="21"/>
                    </w:rPr>
                  </w:pPr>
                  <w:r>
                    <w:rPr>
                      <w:color w:val="auto"/>
                      <w:szCs w:val="21"/>
                    </w:rPr>
                    <w:t>65-75</w:t>
                  </w:r>
                </w:p>
              </w:tc>
            </w:tr>
            <w:tr w14:paraId="4C9798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6DB5BD5B">
                  <w:pPr>
                    <w:pStyle w:val="30"/>
                    <w:rPr>
                      <w:color w:val="auto"/>
                      <w:szCs w:val="21"/>
                    </w:rPr>
                  </w:pPr>
                </w:p>
              </w:tc>
              <w:tc>
                <w:tcPr>
                  <w:tcW w:w="1190" w:type="pct"/>
                  <w:noWrap w:val="0"/>
                  <w:vAlign w:val="center"/>
                </w:tcPr>
                <w:p w14:paraId="2D9E9844">
                  <w:pPr>
                    <w:pStyle w:val="30"/>
                    <w:rPr>
                      <w:color w:val="auto"/>
                      <w:szCs w:val="21"/>
                    </w:rPr>
                  </w:pPr>
                  <w:r>
                    <w:rPr>
                      <w:rFonts w:hint="eastAsia"/>
                      <w:color w:val="auto"/>
                    </w:rPr>
                    <w:t>CNC机器</w:t>
                  </w:r>
                </w:p>
              </w:tc>
              <w:tc>
                <w:tcPr>
                  <w:tcW w:w="425" w:type="pct"/>
                  <w:shd w:val="clear" w:color="auto" w:fill="auto"/>
                  <w:noWrap w:val="0"/>
                  <w:vAlign w:val="center"/>
                </w:tcPr>
                <w:p w14:paraId="7D0EDD63">
                  <w:pPr>
                    <w:pStyle w:val="30"/>
                    <w:rPr>
                      <w:rFonts w:hint="eastAsia" w:eastAsia="宋体"/>
                      <w:color w:val="auto"/>
                      <w:szCs w:val="21"/>
                      <w:highlight w:val="none"/>
                      <w:lang w:eastAsia="zh-CN"/>
                    </w:rPr>
                  </w:pPr>
                  <w:r>
                    <w:rPr>
                      <w:rFonts w:hint="eastAsia"/>
                      <w:color w:val="auto"/>
                      <w:highlight w:val="none"/>
                      <w:lang w:val="en-US" w:eastAsia="zh-CN"/>
                    </w:rPr>
                    <w:t>4</w:t>
                  </w:r>
                </w:p>
              </w:tc>
              <w:tc>
                <w:tcPr>
                  <w:tcW w:w="339" w:type="pct"/>
                  <w:noWrap w:val="0"/>
                  <w:vAlign w:val="center"/>
                </w:tcPr>
                <w:p w14:paraId="4AFEC29D">
                  <w:pPr>
                    <w:pStyle w:val="30"/>
                    <w:rPr>
                      <w:color w:val="auto"/>
                      <w:szCs w:val="21"/>
                    </w:rPr>
                  </w:pPr>
                  <w:r>
                    <w:rPr>
                      <w:color w:val="auto"/>
                      <w:szCs w:val="21"/>
                    </w:rPr>
                    <w:t>频发</w:t>
                  </w:r>
                </w:p>
              </w:tc>
              <w:tc>
                <w:tcPr>
                  <w:tcW w:w="507" w:type="pct"/>
                  <w:tcBorders>
                    <w:top w:val="single" w:color="auto" w:sz="4" w:space="0"/>
                  </w:tcBorders>
                  <w:noWrap w:val="0"/>
                  <w:vAlign w:val="center"/>
                </w:tcPr>
                <w:p w14:paraId="6CE625B9">
                  <w:pPr>
                    <w:pStyle w:val="30"/>
                    <w:rPr>
                      <w:color w:val="auto"/>
                      <w:szCs w:val="21"/>
                    </w:rPr>
                  </w:pPr>
                  <w:r>
                    <w:rPr>
                      <w:color w:val="auto"/>
                      <w:szCs w:val="21"/>
                    </w:rPr>
                    <w:t>80-85</w:t>
                  </w:r>
                </w:p>
              </w:tc>
              <w:tc>
                <w:tcPr>
                  <w:tcW w:w="851" w:type="pct"/>
                  <w:vMerge w:val="continue"/>
                  <w:noWrap w:val="0"/>
                  <w:vAlign w:val="center"/>
                </w:tcPr>
                <w:p w14:paraId="0A41958A">
                  <w:pPr>
                    <w:pStyle w:val="30"/>
                    <w:rPr>
                      <w:color w:val="auto"/>
                      <w:szCs w:val="21"/>
                    </w:rPr>
                  </w:pPr>
                </w:p>
              </w:tc>
              <w:tc>
                <w:tcPr>
                  <w:tcW w:w="517" w:type="pct"/>
                  <w:noWrap w:val="0"/>
                  <w:vAlign w:val="center"/>
                </w:tcPr>
                <w:p w14:paraId="7B171084">
                  <w:pPr>
                    <w:pStyle w:val="30"/>
                    <w:rPr>
                      <w:color w:val="auto"/>
                      <w:szCs w:val="21"/>
                    </w:rPr>
                  </w:pPr>
                  <w:r>
                    <w:rPr>
                      <w:color w:val="auto"/>
                      <w:szCs w:val="21"/>
                    </w:rPr>
                    <w:t>20</w:t>
                  </w:r>
                </w:p>
              </w:tc>
              <w:tc>
                <w:tcPr>
                  <w:tcW w:w="559" w:type="pct"/>
                  <w:noWrap w:val="0"/>
                  <w:vAlign w:val="center"/>
                </w:tcPr>
                <w:p w14:paraId="65A2F499">
                  <w:pPr>
                    <w:pStyle w:val="30"/>
                    <w:rPr>
                      <w:color w:val="auto"/>
                      <w:szCs w:val="21"/>
                    </w:rPr>
                  </w:pPr>
                  <w:r>
                    <w:rPr>
                      <w:color w:val="auto"/>
                      <w:szCs w:val="21"/>
                    </w:rPr>
                    <w:t>60-65</w:t>
                  </w:r>
                </w:p>
              </w:tc>
            </w:tr>
            <w:tr w14:paraId="3A9F32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restart"/>
                  <w:noWrap w:val="0"/>
                  <w:vAlign w:val="center"/>
                </w:tcPr>
                <w:p w14:paraId="2B9F235D">
                  <w:pPr>
                    <w:pStyle w:val="30"/>
                    <w:rPr>
                      <w:color w:val="auto"/>
                      <w:szCs w:val="21"/>
                    </w:rPr>
                  </w:pPr>
                  <w:r>
                    <w:rPr>
                      <w:rFonts w:hint="eastAsia"/>
                      <w:color w:val="auto"/>
                      <w:szCs w:val="21"/>
                      <w:lang w:val="en-US" w:eastAsia="zh-CN"/>
                    </w:rPr>
                    <w:t>2</w:t>
                  </w:r>
                  <w:r>
                    <w:rPr>
                      <w:rFonts w:hint="eastAsia"/>
                      <w:color w:val="auto"/>
                      <w:szCs w:val="21"/>
                    </w:rPr>
                    <w:t>层生产区</w:t>
                  </w:r>
                </w:p>
              </w:tc>
              <w:tc>
                <w:tcPr>
                  <w:tcW w:w="1190" w:type="pct"/>
                  <w:noWrap w:val="0"/>
                  <w:vAlign w:val="center"/>
                </w:tcPr>
                <w:p w14:paraId="5CA4F524">
                  <w:pPr>
                    <w:pStyle w:val="30"/>
                    <w:rPr>
                      <w:color w:val="auto"/>
                      <w:szCs w:val="21"/>
                    </w:rPr>
                  </w:pPr>
                  <w:r>
                    <w:rPr>
                      <w:rFonts w:hint="eastAsia"/>
                      <w:color w:val="auto"/>
                    </w:rPr>
                    <w:t>推台锯大</w:t>
                  </w:r>
                </w:p>
              </w:tc>
              <w:tc>
                <w:tcPr>
                  <w:tcW w:w="425" w:type="pct"/>
                  <w:shd w:val="clear" w:color="auto" w:fill="auto"/>
                  <w:noWrap w:val="0"/>
                  <w:vAlign w:val="center"/>
                </w:tcPr>
                <w:p w14:paraId="0205EAE5">
                  <w:pPr>
                    <w:pStyle w:val="30"/>
                    <w:rPr>
                      <w:rFonts w:hint="eastAsia" w:eastAsia="宋体"/>
                      <w:color w:val="auto"/>
                      <w:szCs w:val="21"/>
                      <w:highlight w:val="none"/>
                      <w:lang w:eastAsia="zh-CN"/>
                    </w:rPr>
                  </w:pPr>
                  <w:r>
                    <w:rPr>
                      <w:rFonts w:hint="eastAsia"/>
                      <w:color w:val="auto"/>
                      <w:highlight w:val="none"/>
                      <w:lang w:val="en-US" w:eastAsia="zh-CN"/>
                    </w:rPr>
                    <w:t>2</w:t>
                  </w:r>
                </w:p>
              </w:tc>
              <w:tc>
                <w:tcPr>
                  <w:tcW w:w="339" w:type="pct"/>
                  <w:noWrap w:val="0"/>
                  <w:vAlign w:val="center"/>
                </w:tcPr>
                <w:p w14:paraId="05FF031D">
                  <w:pPr>
                    <w:pStyle w:val="30"/>
                    <w:rPr>
                      <w:color w:val="auto"/>
                      <w:szCs w:val="21"/>
                    </w:rPr>
                  </w:pPr>
                  <w:r>
                    <w:rPr>
                      <w:color w:val="auto"/>
                      <w:szCs w:val="21"/>
                    </w:rPr>
                    <w:t>频发</w:t>
                  </w:r>
                </w:p>
              </w:tc>
              <w:tc>
                <w:tcPr>
                  <w:tcW w:w="507" w:type="pct"/>
                  <w:noWrap w:val="0"/>
                  <w:vAlign w:val="center"/>
                </w:tcPr>
                <w:p w14:paraId="74B49AF0">
                  <w:pPr>
                    <w:pStyle w:val="30"/>
                    <w:rPr>
                      <w:color w:val="auto"/>
                      <w:szCs w:val="21"/>
                    </w:rPr>
                  </w:pPr>
                  <w:r>
                    <w:rPr>
                      <w:color w:val="auto"/>
                      <w:szCs w:val="21"/>
                    </w:rPr>
                    <w:t>80-85</w:t>
                  </w:r>
                </w:p>
              </w:tc>
              <w:tc>
                <w:tcPr>
                  <w:tcW w:w="851" w:type="pct"/>
                  <w:vMerge w:val="continue"/>
                  <w:noWrap w:val="0"/>
                  <w:vAlign w:val="center"/>
                </w:tcPr>
                <w:p w14:paraId="73ECA17F">
                  <w:pPr>
                    <w:pStyle w:val="30"/>
                    <w:rPr>
                      <w:color w:val="auto"/>
                      <w:szCs w:val="21"/>
                    </w:rPr>
                  </w:pPr>
                </w:p>
              </w:tc>
              <w:tc>
                <w:tcPr>
                  <w:tcW w:w="517" w:type="pct"/>
                  <w:noWrap w:val="0"/>
                  <w:vAlign w:val="center"/>
                </w:tcPr>
                <w:p w14:paraId="2532F08F">
                  <w:pPr>
                    <w:pStyle w:val="30"/>
                    <w:rPr>
                      <w:color w:val="auto"/>
                      <w:szCs w:val="21"/>
                    </w:rPr>
                  </w:pPr>
                  <w:r>
                    <w:rPr>
                      <w:color w:val="auto"/>
                      <w:szCs w:val="21"/>
                    </w:rPr>
                    <w:t>20</w:t>
                  </w:r>
                </w:p>
              </w:tc>
              <w:tc>
                <w:tcPr>
                  <w:tcW w:w="559" w:type="pct"/>
                  <w:noWrap w:val="0"/>
                  <w:vAlign w:val="center"/>
                </w:tcPr>
                <w:p w14:paraId="240A1A0A">
                  <w:pPr>
                    <w:pStyle w:val="30"/>
                    <w:rPr>
                      <w:color w:val="auto"/>
                      <w:szCs w:val="21"/>
                    </w:rPr>
                  </w:pPr>
                  <w:r>
                    <w:rPr>
                      <w:color w:val="auto"/>
                      <w:szCs w:val="21"/>
                    </w:rPr>
                    <w:t>60-65</w:t>
                  </w:r>
                </w:p>
              </w:tc>
            </w:tr>
            <w:tr w14:paraId="036D99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79FC1A89">
                  <w:pPr>
                    <w:pStyle w:val="30"/>
                    <w:rPr>
                      <w:color w:val="auto"/>
                      <w:szCs w:val="21"/>
                    </w:rPr>
                  </w:pPr>
                </w:p>
              </w:tc>
              <w:tc>
                <w:tcPr>
                  <w:tcW w:w="1190" w:type="pct"/>
                  <w:noWrap w:val="0"/>
                  <w:vAlign w:val="center"/>
                </w:tcPr>
                <w:p w14:paraId="5B517978">
                  <w:pPr>
                    <w:pStyle w:val="30"/>
                    <w:rPr>
                      <w:color w:val="auto"/>
                      <w:szCs w:val="21"/>
                    </w:rPr>
                  </w:pPr>
                  <w:r>
                    <w:rPr>
                      <w:rFonts w:hint="eastAsia"/>
                      <w:color w:val="auto"/>
                    </w:rPr>
                    <w:t>精达小推台锯</w:t>
                  </w:r>
                </w:p>
              </w:tc>
              <w:tc>
                <w:tcPr>
                  <w:tcW w:w="425" w:type="pct"/>
                  <w:shd w:val="clear" w:color="auto" w:fill="auto"/>
                  <w:noWrap w:val="0"/>
                  <w:vAlign w:val="center"/>
                </w:tcPr>
                <w:p w14:paraId="5028F996">
                  <w:pPr>
                    <w:pStyle w:val="30"/>
                    <w:rPr>
                      <w:rFonts w:hint="eastAsia" w:eastAsia="宋体"/>
                      <w:color w:val="auto"/>
                      <w:szCs w:val="21"/>
                      <w:highlight w:val="none"/>
                      <w:lang w:eastAsia="zh-CN"/>
                    </w:rPr>
                  </w:pPr>
                  <w:r>
                    <w:rPr>
                      <w:rFonts w:hint="eastAsia"/>
                      <w:color w:val="auto"/>
                      <w:highlight w:val="none"/>
                      <w:lang w:val="en-US" w:eastAsia="zh-CN"/>
                    </w:rPr>
                    <w:t>2</w:t>
                  </w:r>
                </w:p>
              </w:tc>
              <w:tc>
                <w:tcPr>
                  <w:tcW w:w="339" w:type="pct"/>
                  <w:noWrap w:val="0"/>
                  <w:vAlign w:val="center"/>
                </w:tcPr>
                <w:p w14:paraId="62E9B021">
                  <w:pPr>
                    <w:pStyle w:val="30"/>
                    <w:rPr>
                      <w:color w:val="auto"/>
                      <w:szCs w:val="21"/>
                    </w:rPr>
                  </w:pPr>
                  <w:r>
                    <w:rPr>
                      <w:color w:val="auto"/>
                      <w:szCs w:val="21"/>
                    </w:rPr>
                    <w:t>频发</w:t>
                  </w:r>
                </w:p>
              </w:tc>
              <w:tc>
                <w:tcPr>
                  <w:tcW w:w="507" w:type="pct"/>
                  <w:noWrap w:val="0"/>
                  <w:vAlign w:val="center"/>
                </w:tcPr>
                <w:p w14:paraId="475371D2">
                  <w:pPr>
                    <w:pStyle w:val="30"/>
                    <w:rPr>
                      <w:color w:val="auto"/>
                      <w:szCs w:val="21"/>
                    </w:rPr>
                  </w:pPr>
                  <w:r>
                    <w:rPr>
                      <w:color w:val="auto"/>
                      <w:szCs w:val="21"/>
                    </w:rPr>
                    <w:t>80-85</w:t>
                  </w:r>
                </w:p>
              </w:tc>
              <w:tc>
                <w:tcPr>
                  <w:tcW w:w="851" w:type="pct"/>
                  <w:vMerge w:val="continue"/>
                  <w:noWrap w:val="0"/>
                  <w:vAlign w:val="center"/>
                </w:tcPr>
                <w:p w14:paraId="2BD9A265">
                  <w:pPr>
                    <w:pStyle w:val="30"/>
                    <w:rPr>
                      <w:color w:val="auto"/>
                      <w:szCs w:val="21"/>
                    </w:rPr>
                  </w:pPr>
                </w:p>
              </w:tc>
              <w:tc>
                <w:tcPr>
                  <w:tcW w:w="517" w:type="pct"/>
                  <w:noWrap w:val="0"/>
                  <w:vAlign w:val="center"/>
                </w:tcPr>
                <w:p w14:paraId="1E9E82AF">
                  <w:pPr>
                    <w:pStyle w:val="30"/>
                    <w:rPr>
                      <w:color w:val="auto"/>
                      <w:szCs w:val="21"/>
                    </w:rPr>
                  </w:pPr>
                  <w:r>
                    <w:rPr>
                      <w:color w:val="auto"/>
                      <w:szCs w:val="21"/>
                    </w:rPr>
                    <w:t>20</w:t>
                  </w:r>
                </w:p>
              </w:tc>
              <w:tc>
                <w:tcPr>
                  <w:tcW w:w="559" w:type="pct"/>
                  <w:noWrap w:val="0"/>
                  <w:vAlign w:val="center"/>
                </w:tcPr>
                <w:p w14:paraId="008E49D5">
                  <w:pPr>
                    <w:pStyle w:val="30"/>
                    <w:rPr>
                      <w:color w:val="auto"/>
                      <w:szCs w:val="21"/>
                    </w:rPr>
                  </w:pPr>
                  <w:r>
                    <w:rPr>
                      <w:color w:val="auto"/>
                      <w:szCs w:val="21"/>
                    </w:rPr>
                    <w:t>60-65</w:t>
                  </w:r>
                </w:p>
              </w:tc>
            </w:tr>
            <w:tr w14:paraId="5880DC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04DCD556">
                  <w:pPr>
                    <w:pStyle w:val="30"/>
                    <w:rPr>
                      <w:color w:val="auto"/>
                      <w:szCs w:val="21"/>
                    </w:rPr>
                  </w:pPr>
                </w:p>
              </w:tc>
              <w:tc>
                <w:tcPr>
                  <w:tcW w:w="1190" w:type="pct"/>
                  <w:noWrap w:val="0"/>
                  <w:vAlign w:val="center"/>
                </w:tcPr>
                <w:p w14:paraId="6F331782">
                  <w:pPr>
                    <w:pStyle w:val="30"/>
                    <w:rPr>
                      <w:color w:val="auto"/>
                      <w:szCs w:val="21"/>
                    </w:rPr>
                  </w:pPr>
                  <w:r>
                    <w:rPr>
                      <w:rFonts w:hint="eastAsia"/>
                      <w:color w:val="auto"/>
                    </w:rPr>
                    <w:t>台钻</w:t>
                  </w:r>
                </w:p>
              </w:tc>
              <w:tc>
                <w:tcPr>
                  <w:tcW w:w="425" w:type="pct"/>
                  <w:shd w:val="clear" w:color="auto" w:fill="auto"/>
                  <w:noWrap w:val="0"/>
                  <w:vAlign w:val="center"/>
                </w:tcPr>
                <w:p w14:paraId="6C468769">
                  <w:pPr>
                    <w:pStyle w:val="30"/>
                    <w:rPr>
                      <w:rFonts w:hint="eastAsia" w:eastAsia="宋体"/>
                      <w:color w:val="auto"/>
                      <w:szCs w:val="21"/>
                      <w:highlight w:val="none"/>
                      <w:lang w:eastAsia="zh-CN"/>
                    </w:rPr>
                  </w:pPr>
                  <w:r>
                    <w:rPr>
                      <w:rFonts w:hint="eastAsia"/>
                      <w:color w:val="auto"/>
                      <w:highlight w:val="none"/>
                      <w:lang w:val="en-US" w:eastAsia="zh-CN"/>
                    </w:rPr>
                    <w:t>2</w:t>
                  </w:r>
                </w:p>
              </w:tc>
              <w:tc>
                <w:tcPr>
                  <w:tcW w:w="339" w:type="pct"/>
                  <w:noWrap w:val="0"/>
                  <w:vAlign w:val="center"/>
                </w:tcPr>
                <w:p w14:paraId="283FB7AC">
                  <w:pPr>
                    <w:pStyle w:val="30"/>
                    <w:rPr>
                      <w:color w:val="auto"/>
                      <w:szCs w:val="21"/>
                    </w:rPr>
                  </w:pPr>
                  <w:r>
                    <w:rPr>
                      <w:color w:val="auto"/>
                      <w:szCs w:val="21"/>
                    </w:rPr>
                    <w:t>频发</w:t>
                  </w:r>
                </w:p>
              </w:tc>
              <w:tc>
                <w:tcPr>
                  <w:tcW w:w="507" w:type="pct"/>
                  <w:noWrap w:val="0"/>
                  <w:vAlign w:val="center"/>
                </w:tcPr>
                <w:p w14:paraId="35BC13B2">
                  <w:pPr>
                    <w:pStyle w:val="30"/>
                    <w:rPr>
                      <w:color w:val="auto"/>
                      <w:szCs w:val="21"/>
                    </w:rPr>
                  </w:pPr>
                  <w:r>
                    <w:rPr>
                      <w:color w:val="auto"/>
                      <w:szCs w:val="21"/>
                    </w:rPr>
                    <w:t>85-90</w:t>
                  </w:r>
                </w:p>
              </w:tc>
              <w:tc>
                <w:tcPr>
                  <w:tcW w:w="851" w:type="pct"/>
                  <w:vMerge w:val="continue"/>
                  <w:noWrap w:val="0"/>
                  <w:vAlign w:val="center"/>
                </w:tcPr>
                <w:p w14:paraId="257A478A">
                  <w:pPr>
                    <w:pStyle w:val="30"/>
                    <w:rPr>
                      <w:color w:val="auto"/>
                      <w:szCs w:val="21"/>
                    </w:rPr>
                  </w:pPr>
                </w:p>
              </w:tc>
              <w:tc>
                <w:tcPr>
                  <w:tcW w:w="517" w:type="pct"/>
                  <w:noWrap w:val="0"/>
                  <w:vAlign w:val="center"/>
                </w:tcPr>
                <w:p w14:paraId="0401F687">
                  <w:pPr>
                    <w:pStyle w:val="30"/>
                    <w:rPr>
                      <w:color w:val="auto"/>
                      <w:szCs w:val="21"/>
                    </w:rPr>
                  </w:pPr>
                  <w:r>
                    <w:rPr>
                      <w:color w:val="auto"/>
                      <w:szCs w:val="21"/>
                    </w:rPr>
                    <w:t>20</w:t>
                  </w:r>
                </w:p>
              </w:tc>
              <w:tc>
                <w:tcPr>
                  <w:tcW w:w="559" w:type="pct"/>
                  <w:noWrap w:val="0"/>
                  <w:vAlign w:val="center"/>
                </w:tcPr>
                <w:p w14:paraId="4668D986">
                  <w:pPr>
                    <w:pStyle w:val="30"/>
                    <w:rPr>
                      <w:color w:val="auto"/>
                      <w:szCs w:val="21"/>
                    </w:rPr>
                  </w:pPr>
                  <w:r>
                    <w:rPr>
                      <w:color w:val="auto"/>
                      <w:szCs w:val="21"/>
                    </w:rPr>
                    <w:t>65-70</w:t>
                  </w:r>
                </w:p>
              </w:tc>
            </w:tr>
            <w:tr w14:paraId="483DD4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1E2293DF">
                  <w:pPr>
                    <w:pStyle w:val="30"/>
                    <w:rPr>
                      <w:color w:val="auto"/>
                      <w:szCs w:val="21"/>
                    </w:rPr>
                  </w:pPr>
                </w:p>
              </w:tc>
              <w:tc>
                <w:tcPr>
                  <w:tcW w:w="1190" w:type="pct"/>
                  <w:noWrap w:val="0"/>
                  <w:vAlign w:val="center"/>
                </w:tcPr>
                <w:p w14:paraId="5A49D8ED">
                  <w:pPr>
                    <w:pStyle w:val="30"/>
                    <w:rPr>
                      <w:color w:val="auto"/>
                      <w:szCs w:val="21"/>
                    </w:rPr>
                  </w:pPr>
                  <w:r>
                    <w:rPr>
                      <w:rFonts w:hint="eastAsia"/>
                      <w:color w:val="auto"/>
                    </w:rPr>
                    <w:t>铰链钻</w:t>
                  </w:r>
                </w:p>
              </w:tc>
              <w:tc>
                <w:tcPr>
                  <w:tcW w:w="425" w:type="pct"/>
                  <w:shd w:val="clear" w:color="auto" w:fill="auto"/>
                  <w:noWrap w:val="0"/>
                  <w:vAlign w:val="center"/>
                </w:tcPr>
                <w:p w14:paraId="13132991">
                  <w:pPr>
                    <w:pStyle w:val="30"/>
                    <w:rPr>
                      <w:rFonts w:hint="eastAsia" w:eastAsia="宋体"/>
                      <w:color w:val="auto"/>
                      <w:szCs w:val="21"/>
                      <w:highlight w:val="none"/>
                      <w:lang w:eastAsia="zh-CN"/>
                    </w:rPr>
                  </w:pPr>
                  <w:r>
                    <w:rPr>
                      <w:rFonts w:hint="eastAsia"/>
                      <w:color w:val="auto"/>
                      <w:highlight w:val="none"/>
                      <w:lang w:val="en-US" w:eastAsia="zh-CN"/>
                    </w:rPr>
                    <w:t>5</w:t>
                  </w:r>
                </w:p>
              </w:tc>
              <w:tc>
                <w:tcPr>
                  <w:tcW w:w="339" w:type="pct"/>
                  <w:noWrap w:val="0"/>
                  <w:vAlign w:val="center"/>
                </w:tcPr>
                <w:p w14:paraId="75A40EC2">
                  <w:pPr>
                    <w:pStyle w:val="30"/>
                    <w:rPr>
                      <w:color w:val="auto"/>
                      <w:szCs w:val="21"/>
                    </w:rPr>
                  </w:pPr>
                  <w:r>
                    <w:rPr>
                      <w:color w:val="auto"/>
                      <w:szCs w:val="21"/>
                    </w:rPr>
                    <w:t>频发</w:t>
                  </w:r>
                </w:p>
              </w:tc>
              <w:tc>
                <w:tcPr>
                  <w:tcW w:w="507" w:type="pct"/>
                  <w:noWrap w:val="0"/>
                  <w:vAlign w:val="center"/>
                </w:tcPr>
                <w:p w14:paraId="7E415A18">
                  <w:pPr>
                    <w:pStyle w:val="30"/>
                    <w:rPr>
                      <w:color w:val="auto"/>
                      <w:szCs w:val="21"/>
                    </w:rPr>
                  </w:pPr>
                  <w:r>
                    <w:rPr>
                      <w:color w:val="auto"/>
                      <w:szCs w:val="21"/>
                    </w:rPr>
                    <w:t>85-90</w:t>
                  </w:r>
                </w:p>
              </w:tc>
              <w:tc>
                <w:tcPr>
                  <w:tcW w:w="851" w:type="pct"/>
                  <w:vMerge w:val="continue"/>
                  <w:noWrap w:val="0"/>
                  <w:vAlign w:val="center"/>
                </w:tcPr>
                <w:p w14:paraId="343563A6">
                  <w:pPr>
                    <w:pStyle w:val="30"/>
                    <w:rPr>
                      <w:color w:val="auto"/>
                      <w:szCs w:val="21"/>
                    </w:rPr>
                  </w:pPr>
                </w:p>
              </w:tc>
              <w:tc>
                <w:tcPr>
                  <w:tcW w:w="517" w:type="pct"/>
                  <w:noWrap w:val="0"/>
                  <w:vAlign w:val="center"/>
                </w:tcPr>
                <w:p w14:paraId="25E9FDB9">
                  <w:pPr>
                    <w:pStyle w:val="30"/>
                    <w:rPr>
                      <w:color w:val="auto"/>
                      <w:szCs w:val="21"/>
                    </w:rPr>
                  </w:pPr>
                  <w:r>
                    <w:rPr>
                      <w:color w:val="auto"/>
                      <w:szCs w:val="21"/>
                    </w:rPr>
                    <w:t>20</w:t>
                  </w:r>
                </w:p>
              </w:tc>
              <w:tc>
                <w:tcPr>
                  <w:tcW w:w="559" w:type="pct"/>
                  <w:noWrap w:val="0"/>
                  <w:vAlign w:val="center"/>
                </w:tcPr>
                <w:p w14:paraId="5366FF3D">
                  <w:pPr>
                    <w:pStyle w:val="30"/>
                    <w:rPr>
                      <w:color w:val="auto"/>
                      <w:szCs w:val="21"/>
                    </w:rPr>
                  </w:pPr>
                  <w:r>
                    <w:rPr>
                      <w:color w:val="auto"/>
                      <w:szCs w:val="21"/>
                    </w:rPr>
                    <w:t>65-70</w:t>
                  </w:r>
                </w:p>
              </w:tc>
            </w:tr>
            <w:tr w14:paraId="055197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1A1D24E7">
                  <w:pPr>
                    <w:pStyle w:val="30"/>
                    <w:rPr>
                      <w:color w:val="auto"/>
                      <w:szCs w:val="21"/>
                    </w:rPr>
                  </w:pPr>
                </w:p>
              </w:tc>
              <w:tc>
                <w:tcPr>
                  <w:tcW w:w="1190" w:type="pct"/>
                  <w:noWrap w:val="0"/>
                  <w:vAlign w:val="center"/>
                </w:tcPr>
                <w:p w14:paraId="494C04C1">
                  <w:pPr>
                    <w:pStyle w:val="30"/>
                    <w:rPr>
                      <w:color w:val="auto"/>
                      <w:szCs w:val="21"/>
                    </w:rPr>
                  </w:pPr>
                  <w:r>
                    <w:rPr>
                      <w:rFonts w:hint="eastAsia"/>
                      <w:color w:val="auto"/>
                    </w:rPr>
                    <w:t>水平钻</w:t>
                  </w:r>
                </w:p>
              </w:tc>
              <w:tc>
                <w:tcPr>
                  <w:tcW w:w="425" w:type="pct"/>
                  <w:shd w:val="clear" w:color="auto" w:fill="auto"/>
                  <w:noWrap w:val="0"/>
                  <w:vAlign w:val="center"/>
                </w:tcPr>
                <w:p w14:paraId="00449E79">
                  <w:pPr>
                    <w:pStyle w:val="30"/>
                    <w:rPr>
                      <w:rFonts w:hint="eastAsia" w:eastAsia="宋体"/>
                      <w:color w:val="auto"/>
                      <w:szCs w:val="21"/>
                      <w:highlight w:val="none"/>
                      <w:lang w:eastAsia="zh-CN"/>
                    </w:rPr>
                  </w:pPr>
                  <w:r>
                    <w:rPr>
                      <w:rFonts w:hint="eastAsia"/>
                      <w:color w:val="auto"/>
                      <w:highlight w:val="none"/>
                      <w:lang w:val="en-US" w:eastAsia="zh-CN"/>
                    </w:rPr>
                    <w:t>2</w:t>
                  </w:r>
                </w:p>
              </w:tc>
              <w:tc>
                <w:tcPr>
                  <w:tcW w:w="339" w:type="pct"/>
                  <w:noWrap w:val="0"/>
                  <w:vAlign w:val="center"/>
                </w:tcPr>
                <w:p w14:paraId="5F9DD37B">
                  <w:pPr>
                    <w:pStyle w:val="30"/>
                    <w:rPr>
                      <w:color w:val="auto"/>
                      <w:szCs w:val="21"/>
                    </w:rPr>
                  </w:pPr>
                  <w:r>
                    <w:rPr>
                      <w:color w:val="auto"/>
                      <w:szCs w:val="21"/>
                    </w:rPr>
                    <w:t>频发</w:t>
                  </w:r>
                </w:p>
              </w:tc>
              <w:tc>
                <w:tcPr>
                  <w:tcW w:w="507" w:type="pct"/>
                  <w:noWrap w:val="0"/>
                  <w:vAlign w:val="center"/>
                </w:tcPr>
                <w:p w14:paraId="3F6A6881">
                  <w:pPr>
                    <w:pStyle w:val="30"/>
                    <w:rPr>
                      <w:color w:val="auto"/>
                      <w:szCs w:val="21"/>
                    </w:rPr>
                  </w:pPr>
                  <w:r>
                    <w:rPr>
                      <w:color w:val="auto"/>
                      <w:szCs w:val="21"/>
                    </w:rPr>
                    <w:t>85-90</w:t>
                  </w:r>
                </w:p>
              </w:tc>
              <w:tc>
                <w:tcPr>
                  <w:tcW w:w="851" w:type="pct"/>
                  <w:vMerge w:val="continue"/>
                  <w:noWrap w:val="0"/>
                  <w:vAlign w:val="center"/>
                </w:tcPr>
                <w:p w14:paraId="46406468">
                  <w:pPr>
                    <w:pStyle w:val="30"/>
                    <w:rPr>
                      <w:color w:val="auto"/>
                      <w:szCs w:val="21"/>
                    </w:rPr>
                  </w:pPr>
                </w:p>
              </w:tc>
              <w:tc>
                <w:tcPr>
                  <w:tcW w:w="517" w:type="pct"/>
                  <w:noWrap w:val="0"/>
                  <w:vAlign w:val="center"/>
                </w:tcPr>
                <w:p w14:paraId="6FF77002">
                  <w:pPr>
                    <w:pStyle w:val="30"/>
                    <w:rPr>
                      <w:color w:val="auto"/>
                      <w:szCs w:val="21"/>
                    </w:rPr>
                  </w:pPr>
                  <w:r>
                    <w:rPr>
                      <w:color w:val="auto"/>
                      <w:szCs w:val="21"/>
                    </w:rPr>
                    <w:t>20</w:t>
                  </w:r>
                </w:p>
              </w:tc>
              <w:tc>
                <w:tcPr>
                  <w:tcW w:w="559" w:type="pct"/>
                  <w:noWrap w:val="0"/>
                  <w:vAlign w:val="center"/>
                </w:tcPr>
                <w:p w14:paraId="553D8FC3">
                  <w:pPr>
                    <w:pStyle w:val="30"/>
                    <w:rPr>
                      <w:color w:val="auto"/>
                      <w:szCs w:val="21"/>
                    </w:rPr>
                  </w:pPr>
                  <w:r>
                    <w:rPr>
                      <w:color w:val="auto"/>
                      <w:szCs w:val="21"/>
                    </w:rPr>
                    <w:t>65-70</w:t>
                  </w:r>
                </w:p>
              </w:tc>
            </w:tr>
            <w:tr w14:paraId="4CA634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46FAED6E">
                  <w:pPr>
                    <w:pStyle w:val="30"/>
                    <w:rPr>
                      <w:color w:val="auto"/>
                      <w:szCs w:val="21"/>
                    </w:rPr>
                  </w:pPr>
                </w:p>
              </w:tc>
              <w:tc>
                <w:tcPr>
                  <w:tcW w:w="1190" w:type="pct"/>
                  <w:noWrap w:val="0"/>
                  <w:vAlign w:val="center"/>
                </w:tcPr>
                <w:p w14:paraId="590C8FFA">
                  <w:pPr>
                    <w:pStyle w:val="30"/>
                    <w:rPr>
                      <w:color w:val="auto"/>
                      <w:szCs w:val="21"/>
                    </w:rPr>
                  </w:pPr>
                  <w:r>
                    <w:rPr>
                      <w:rFonts w:hint="eastAsia"/>
                      <w:color w:val="auto"/>
                    </w:rPr>
                    <w:t>双端钻</w:t>
                  </w:r>
                </w:p>
              </w:tc>
              <w:tc>
                <w:tcPr>
                  <w:tcW w:w="425" w:type="pct"/>
                  <w:shd w:val="clear" w:color="auto" w:fill="auto"/>
                  <w:noWrap w:val="0"/>
                  <w:vAlign w:val="center"/>
                </w:tcPr>
                <w:p w14:paraId="3011CDCD">
                  <w:pPr>
                    <w:pStyle w:val="30"/>
                    <w:rPr>
                      <w:rFonts w:hint="eastAsia" w:eastAsia="宋体"/>
                      <w:color w:val="auto"/>
                      <w:szCs w:val="21"/>
                      <w:highlight w:val="none"/>
                      <w:lang w:eastAsia="zh-CN"/>
                    </w:rPr>
                  </w:pPr>
                  <w:r>
                    <w:rPr>
                      <w:rFonts w:hint="eastAsia"/>
                      <w:color w:val="auto"/>
                      <w:highlight w:val="none"/>
                      <w:lang w:val="en-US" w:eastAsia="zh-CN"/>
                    </w:rPr>
                    <w:t>3</w:t>
                  </w:r>
                </w:p>
              </w:tc>
              <w:tc>
                <w:tcPr>
                  <w:tcW w:w="339" w:type="pct"/>
                  <w:noWrap w:val="0"/>
                  <w:vAlign w:val="center"/>
                </w:tcPr>
                <w:p w14:paraId="1D21C119">
                  <w:pPr>
                    <w:pStyle w:val="30"/>
                    <w:rPr>
                      <w:color w:val="auto"/>
                      <w:szCs w:val="21"/>
                    </w:rPr>
                  </w:pPr>
                  <w:r>
                    <w:rPr>
                      <w:color w:val="auto"/>
                      <w:szCs w:val="21"/>
                    </w:rPr>
                    <w:t>频发</w:t>
                  </w:r>
                </w:p>
              </w:tc>
              <w:tc>
                <w:tcPr>
                  <w:tcW w:w="507" w:type="pct"/>
                  <w:noWrap w:val="0"/>
                  <w:vAlign w:val="center"/>
                </w:tcPr>
                <w:p w14:paraId="5CEC85D0">
                  <w:pPr>
                    <w:pStyle w:val="30"/>
                    <w:rPr>
                      <w:color w:val="auto"/>
                      <w:szCs w:val="21"/>
                    </w:rPr>
                  </w:pPr>
                  <w:r>
                    <w:rPr>
                      <w:color w:val="auto"/>
                      <w:szCs w:val="21"/>
                    </w:rPr>
                    <w:t>85-90</w:t>
                  </w:r>
                </w:p>
              </w:tc>
              <w:tc>
                <w:tcPr>
                  <w:tcW w:w="851" w:type="pct"/>
                  <w:vMerge w:val="continue"/>
                  <w:noWrap w:val="0"/>
                  <w:vAlign w:val="center"/>
                </w:tcPr>
                <w:p w14:paraId="6F149D42">
                  <w:pPr>
                    <w:pStyle w:val="30"/>
                    <w:rPr>
                      <w:color w:val="auto"/>
                      <w:szCs w:val="21"/>
                    </w:rPr>
                  </w:pPr>
                </w:p>
              </w:tc>
              <w:tc>
                <w:tcPr>
                  <w:tcW w:w="517" w:type="pct"/>
                  <w:noWrap w:val="0"/>
                  <w:vAlign w:val="center"/>
                </w:tcPr>
                <w:p w14:paraId="12644E2B">
                  <w:pPr>
                    <w:pStyle w:val="30"/>
                    <w:rPr>
                      <w:color w:val="auto"/>
                      <w:szCs w:val="21"/>
                    </w:rPr>
                  </w:pPr>
                  <w:r>
                    <w:rPr>
                      <w:color w:val="auto"/>
                      <w:szCs w:val="21"/>
                    </w:rPr>
                    <w:t>20</w:t>
                  </w:r>
                </w:p>
              </w:tc>
              <w:tc>
                <w:tcPr>
                  <w:tcW w:w="559" w:type="pct"/>
                  <w:noWrap w:val="0"/>
                  <w:vAlign w:val="center"/>
                </w:tcPr>
                <w:p w14:paraId="474F71AC">
                  <w:pPr>
                    <w:pStyle w:val="30"/>
                    <w:rPr>
                      <w:color w:val="auto"/>
                      <w:szCs w:val="21"/>
                    </w:rPr>
                  </w:pPr>
                  <w:r>
                    <w:rPr>
                      <w:color w:val="auto"/>
                      <w:szCs w:val="21"/>
                    </w:rPr>
                    <w:t>65-70</w:t>
                  </w:r>
                </w:p>
              </w:tc>
            </w:tr>
            <w:tr w14:paraId="6D0D46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249270B9">
                  <w:pPr>
                    <w:pStyle w:val="30"/>
                    <w:rPr>
                      <w:color w:val="auto"/>
                      <w:szCs w:val="21"/>
                    </w:rPr>
                  </w:pPr>
                </w:p>
              </w:tc>
              <w:tc>
                <w:tcPr>
                  <w:tcW w:w="1190" w:type="pct"/>
                  <w:noWrap w:val="0"/>
                  <w:vAlign w:val="center"/>
                </w:tcPr>
                <w:p w14:paraId="0C46F666">
                  <w:pPr>
                    <w:pStyle w:val="30"/>
                    <w:rPr>
                      <w:color w:val="auto"/>
                      <w:szCs w:val="21"/>
                    </w:rPr>
                  </w:pPr>
                  <w:r>
                    <w:rPr>
                      <w:rFonts w:hint="eastAsia"/>
                      <w:color w:val="auto"/>
                    </w:rPr>
                    <w:t>集新镂铣机</w:t>
                  </w:r>
                </w:p>
              </w:tc>
              <w:tc>
                <w:tcPr>
                  <w:tcW w:w="425" w:type="pct"/>
                  <w:shd w:val="clear" w:color="auto" w:fill="auto"/>
                  <w:noWrap w:val="0"/>
                  <w:vAlign w:val="center"/>
                </w:tcPr>
                <w:p w14:paraId="32943660">
                  <w:pPr>
                    <w:pStyle w:val="30"/>
                    <w:rPr>
                      <w:rFonts w:hint="eastAsia" w:eastAsia="宋体"/>
                      <w:color w:val="auto"/>
                      <w:szCs w:val="21"/>
                      <w:highlight w:val="none"/>
                      <w:lang w:eastAsia="zh-CN"/>
                    </w:rPr>
                  </w:pPr>
                  <w:r>
                    <w:rPr>
                      <w:rFonts w:hint="eastAsia"/>
                      <w:color w:val="auto"/>
                      <w:highlight w:val="none"/>
                      <w:lang w:val="en-US" w:eastAsia="zh-CN"/>
                    </w:rPr>
                    <w:t>2</w:t>
                  </w:r>
                </w:p>
              </w:tc>
              <w:tc>
                <w:tcPr>
                  <w:tcW w:w="339" w:type="pct"/>
                  <w:noWrap w:val="0"/>
                  <w:vAlign w:val="center"/>
                </w:tcPr>
                <w:p w14:paraId="6D3232B6">
                  <w:pPr>
                    <w:pStyle w:val="30"/>
                    <w:rPr>
                      <w:color w:val="auto"/>
                      <w:szCs w:val="21"/>
                    </w:rPr>
                  </w:pPr>
                  <w:r>
                    <w:rPr>
                      <w:rFonts w:hint="eastAsia"/>
                      <w:color w:val="auto"/>
                      <w:szCs w:val="21"/>
                    </w:rPr>
                    <w:t>偶发</w:t>
                  </w:r>
                </w:p>
              </w:tc>
              <w:tc>
                <w:tcPr>
                  <w:tcW w:w="507" w:type="pct"/>
                  <w:noWrap w:val="0"/>
                  <w:vAlign w:val="center"/>
                </w:tcPr>
                <w:p w14:paraId="61514A76">
                  <w:pPr>
                    <w:pStyle w:val="30"/>
                    <w:rPr>
                      <w:color w:val="auto"/>
                      <w:szCs w:val="21"/>
                    </w:rPr>
                  </w:pPr>
                  <w:r>
                    <w:rPr>
                      <w:color w:val="auto"/>
                      <w:szCs w:val="21"/>
                    </w:rPr>
                    <w:t>85-90</w:t>
                  </w:r>
                </w:p>
              </w:tc>
              <w:tc>
                <w:tcPr>
                  <w:tcW w:w="851" w:type="pct"/>
                  <w:vMerge w:val="continue"/>
                  <w:noWrap w:val="0"/>
                  <w:vAlign w:val="center"/>
                </w:tcPr>
                <w:p w14:paraId="13AD0F17">
                  <w:pPr>
                    <w:pStyle w:val="30"/>
                    <w:rPr>
                      <w:color w:val="auto"/>
                      <w:szCs w:val="21"/>
                    </w:rPr>
                  </w:pPr>
                </w:p>
              </w:tc>
              <w:tc>
                <w:tcPr>
                  <w:tcW w:w="517" w:type="pct"/>
                  <w:noWrap w:val="0"/>
                  <w:vAlign w:val="center"/>
                </w:tcPr>
                <w:p w14:paraId="62E072F5">
                  <w:pPr>
                    <w:pStyle w:val="30"/>
                    <w:rPr>
                      <w:color w:val="auto"/>
                      <w:szCs w:val="21"/>
                    </w:rPr>
                  </w:pPr>
                  <w:r>
                    <w:rPr>
                      <w:color w:val="auto"/>
                      <w:szCs w:val="21"/>
                    </w:rPr>
                    <w:t>20</w:t>
                  </w:r>
                </w:p>
              </w:tc>
              <w:tc>
                <w:tcPr>
                  <w:tcW w:w="559" w:type="pct"/>
                  <w:noWrap w:val="0"/>
                  <w:vAlign w:val="center"/>
                </w:tcPr>
                <w:p w14:paraId="758796AA">
                  <w:pPr>
                    <w:pStyle w:val="30"/>
                    <w:rPr>
                      <w:color w:val="auto"/>
                      <w:szCs w:val="21"/>
                    </w:rPr>
                  </w:pPr>
                  <w:r>
                    <w:rPr>
                      <w:color w:val="auto"/>
                      <w:szCs w:val="21"/>
                    </w:rPr>
                    <w:t>65-70</w:t>
                  </w:r>
                </w:p>
              </w:tc>
            </w:tr>
            <w:tr w14:paraId="397093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4288ECD3">
                  <w:pPr>
                    <w:pStyle w:val="30"/>
                    <w:rPr>
                      <w:color w:val="auto"/>
                      <w:szCs w:val="21"/>
                    </w:rPr>
                  </w:pPr>
                </w:p>
              </w:tc>
              <w:tc>
                <w:tcPr>
                  <w:tcW w:w="1190" w:type="pct"/>
                  <w:noWrap w:val="0"/>
                  <w:vAlign w:val="center"/>
                </w:tcPr>
                <w:p w14:paraId="0A50568E">
                  <w:pPr>
                    <w:pStyle w:val="30"/>
                    <w:rPr>
                      <w:color w:val="auto"/>
                      <w:szCs w:val="21"/>
                    </w:rPr>
                  </w:pPr>
                  <w:r>
                    <w:rPr>
                      <w:rFonts w:hint="eastAsia"/>
                      <w:color w:val="auto"/>
                    </w:rPr>
                    <w:t>立式单轴镂铣机</w:t>
                  </w:r>
                </w:p>
              </w:tc>
              <w:tc>
                <w:tcPr>
                  <w:tcW w:w="425" w:type="pct"/>
                  <w:shd w:val="clear" w:color="auto" w:fill="auto"/>
                  <w:noWrap w:val="0"/>
                  <w:vAlign w:val="center"/>
                </w:tcPr>
                <w:p w14:paraId="754BFAA1">
                  <w:pPr>
                    <w:pStyle w:val="30"/>
                    <w:rPr>
                      <w:rFonts w:hint="eastAsia" w:eastAsia="宋体"/>
                      <w:color w:val="auto"/>
                      <w:szCs w:val="21"/>
                      <w:highlight w:val="none"/>
                      <w:lang w:eastAsia="zh-CN"/>
                    </w:rPr>
                  </w:pPr>
                  <w:r>
                    <w:rPr>
                      <w:rFonts w:hint="eastAsia"/>
                      <w:color w:val="auto"/>
                      <w:highlight w:val="none"/>
                      <w:lang w:val="en-US" w:eastAsia="zh-CN"/>
                    </w:rPr>
                    <w:t>2</w:t>
                  </w:r>
                </w:p>
              </w:tc>
              <w:tc>
                <w:tcPr>
                  <w:tcW w:w="339" w:type="pct"/>
                  <w:noWrap w:val="0"/>
                  <w:vAlign w:val="center"/>
                </w:tcPr>
                <w:p w14:paraId="24BF98B1">
                  <w:pPr>
                    <w:pStyle w:val="30"/>
                    <w:rPr>
                      <w:color w:val="auto"/>
                      <w:szCs w:val="21"/>
                    </w:rPr>
                  </w:pPr>
                  <w:r>
                    <w:rPr>
                      <w:rFonts w:hint="eastAsia"/>
                      <w:color w:val="auto"/>
                      <w:szCs w:val="21"/>
                    </w:rPr>
                    <w:t>偶发</w:t>
                  </w:r>
                </w:p>
              </w:tc>
              <w:tc>
                <w:tcPr>
                  <w:tcW w:w="507" w:type="pct"/>
                  <w:noWrap w:val="0"/>
                  <w:vAlign w:val="center"/>
                </w:tcPr>
                <w:p w14:paraId="26FF8B19">
                  <w:pPr>
                    <w:pStyle w:val="30"/>
                    <w:rPr>
                      <w:color w:val="auto"/>
                      <w:szCs w:val="21"/>
                    </w:rPr>
                  </w:pPr>
                  <w:r>
                    <w:rPr>
                      <w:color w:val="auto"/>
                      <w:szCs w:val="21"/>
                    </w:rPr>
                    <w:t>85-90</w:t>
                  </w:r>
                </w:p>
              </w:tc>
              <w:tc>
                <w:tcPr>
                  <w:tcW w:w="851" w:type="pct"/>
                  <w:vMerge w:val="continue"/>
                  <w:noWrap w:val="0"/>
                  <w:vAlign w:val="center"/>
                </w:tcPr>
                <w:p w14:paraId="5E856F78">
                  <w:pPr>
                    <w:pStyle w:val="30"/>
                    <w:rPr>
                      <w:color w:val="auto"/>
                      <w:szCs w:val="21"/>
                    </w:rPr>
                  </w:pPr>
                </w:p>
              </w:tc>
              <w:tc>
                <w:tcPr>
                  <w:tcW w:w="517" w:type="pct"/>
                  <w:noWrap w:val="0"/>
                  <w:vAlign w:val="center"/>
                </w:tcPr>
                <w:p w14:paraId="4FD985C9">
                  <w:pPr>
                    <w:pStyle w:val="30"/>
                    <w:rPr>
                      <w:color w:val="auto"/>
                      <w:szCs w:val="21"/>
                    </w:rPr>
                  </w:pPr>
                  <w:r>
                    <w:rPr>
                      <w:color w:val="auto"/>
                      <w:szCs w:val="21"/>
                    </w:rPr>
                    <w:t>20</w:t>
                  </w:r>
                </w:p>
              </w:tc>
              <w:tc>
                <w:tcPr>
                  <w:tcW w:w="559" w:type="pct"/>
                  <w:noWrap w:val="0"/>
                  <w:vAlign w:val="center"/>
                </w:tcPr>
                <w:p w14:paraId="2A93E075">
                  <w:pPr>
                    <w:pStyle w:val="30"/>
                    <w:rPr>
                      <w:color w:val="auto"/>
                      <w:szCs w:val="21"/>
                    </w:rPr>
                  </w:pPr>
                  <w:r>
                    <w:rPr>
                      <w:color w:val="auto"/>
                      <w:szCs w:val="21"/>
                    </w:rPr>
                    <w:t>65-70</w:t>
                  </w:r>
                </w:p>
              </w:tc>
            </w:tr>
            <w:tr w14:paraId="230A1E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72A9C9CB">
                  <w:pPr>
                    <w:pStyle w:val="30"/>
                    <w:rPr>
                      <w:color w:val="auto"/>
                      <w:szCs w:val="21"/>
                    </w:rPr>
                  </w:pPr>
                </w:p>
              </w:tc>
              <w:tc>
                <w:tcPr>
                  <w:tcW w:w="1190" w:type="pct"/>
                  <w:noWrap w:val="0"/>
                  <w:vAlign w:val="center"/>
                </w:tcPr>
                <w:p w14:paraId="7F593EA3">
                  <w:pPr>
                    <w:pStyle w:val="30"/>
                    <w:rPr>
                      <w:color w:val="auto"/>
                      <w:szCs w:val="21"/>
                    </w:rPr>
                  </w:pPr>
                  <w:r>
                    <w:rPr>
                      <w:rFonts w:hint="eastAsia"/>
                      <w:color w:val="auto"/>
                    </w:rPr>
                    <w:t>单立铣</w:t>
                  </w:r>
                </w:p>
              </w:tc>
              <w:tc>
                <w:tcPr>
                  <w:tcW w:w="425" w:type="pct"/>
                  <w:shd w:val="clear" w:color="auto" w:fill="auto"/>
                  <w:noWrap w:val="0"/>
                  <w:vAlign w:val="center"/>
                </w:tcPr>
                <w:p w14:paraId="3384DF8B">
                  <w:pPr>
                    <w:pStyle w:val="30"/>
                    <w:rPr>
                      <w:rFonts w:hint="eastAsia" w:eastAsia="宋体"/>
                      <w:color w:val="auto"/>
                      <w:szCs w:val="21"/>
                      <w:highlight w:val="none"/>
                      <w:lang w:eastAsia="zh-CN"/>
                    </w:rPr>
                  </w:pPr>
                  <w:r>
                    <w:rPr>
                      <w:rFonts w:hint="eastAsia"/>
                      <w:color w:val="auto"/>
                      <w:highlight w:val="none"/>
                      <w:lang w:val="en-US" w:eastAsia="zh-CN"/>
                    </w:rPr>
                    <w:t>2</w:t>
                  </w:r>
                </w:p>
              </w:tc>
              <w:tc>
                <w:tcPr>
                  <w:tcW w:w="339" w:type="pct"/>
                  <w:noWrap w:val="0"/>
                  <w:vAlign w:val="center"/>
                </w:tcPr>
                <w:p w14:paraId="6B1F3C02">
                  <w:pPr>
                    <w:pStyle w:val="30"/>
                    <w:rPr>
                      <w:color w:val="auto"/>
                      <w:szCs w:val="21"/>
                    </w:rPr>
                  </w:pPr>
                  <w:r>
                    <w:rPr>
                      <w:rFonts w:hint="eastAsia"/>
                      <w:color w:val="auto"/>
                      <w:szCs w:val="21"/>
                    </w:rPr>
                    <w:t>偶发</w:t>
                  </w:r>
                </w:p>
              </w:tc>
              <w:tc>
                <w:tcPr>
                  <w:tcW w:w="507" w:type="pct"/>
                  <w:noWrap w:val="0"/>
                  <w:vAlign w:val="center"/>
                </w:tcPr>
                <w:p w14:paraId="2C2AF259">
                  <w:pPr>
                    <w:pStyle w:val="30"/>
                    <w:rPr>
                      <w:color w:val="auto"/>
                      <w:szCs w:val="21"/>
                    </w:rPr>
                  </w:pPr>
                  <w:r>
                    <w:rPr>
                      <w:color w:val="auto"/>
                      <w:szCs w:val="21"/>
                    </w:rPr>
                    <w:t>85-90</w:t>
                  </w:r>
                </w:p>
              </w:tc>
              <w:tc>
                <w:tcPr>
                  <w:tcW w:w="851" w:type="pct"/>
                  <w:vMerge w:val="continue"/>
                  <w:noWrap w:val="0"/>
                  <w:vAlign w:val="center"/>
                </w:tcPr>
                <w:p w14:paraId="3C27E527">
                  <w:pPr>
                    <w:pStyle w:val="30"/>
                    <w:rPr>
                      <w:color w:val="auto"/>
                      <w:szCs w:val="21"/>
                    </w:rPr>
                  </w:pPr>
                </w:p>
              </w:tc>
              <w:tc>
                <w:tcPr>
                  <w:tcW w:w="517" w:type="pct"/>
                  <w:noWrap w:val="0"/>
                  <w:vAlign w:val="center"/>
                </w:tcPr>
                <w:p w14:paraId="0E70EF32">
                  <w:pPr>
                    <w:pStyle w:val="30"/>
                    <w:rPr>
                      <w:color w:val="auto"/>
                      <w:szCs w:val="21"/>
                    </w:rPr>
                  </w:pPr>
                  <w:r>
                    <w:rPr>
                      <w:color w:val="auto"/>
                      <w:szCs w:val="21"/>
                    </w:rPr>
                    <w:t>20</w:t>
                  </w:r>
                </w:p>
              </w:tc>
              <w:tc>
                <w:tcPr>
                  <w:tcW w:w="559" w:type="pct"/>
                  <w:noWrap w:val="0"/>
                  <w:vAlign w:val="center"/>
                </w:tcPr>
                <w:p w14:paraId="6760AB1E">
                  <w:pPr>
                    <w:pStyle w:val="30"/>
                    <w:rPr>
                      <w:color w:val="auto"/>
                      <w:szCs w:val="21"/>
                    </w:rPr>
                  </w:pPr>
                  <w:r>
                    <w:rPr>
                      <w:color w:val="auto"/>
                      <w:szCs w:val="21"/>
                    </w:rPr>
                    <w:t>65-70</w:t>
                  </w:r>
                </w:p>
              </w:tc>
            </w:tr>
            <w:tr w14:paraId="729598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340" w:hRule="atLeast"/>
                <w:jc w:val="center"/>
              </w:trPr>
              <w:tc>
                <w:tcPr>
                  <w:tcW w:w="607" w:type="pct"/>
                  <w:vMerge w:val="continue"/>
                  <w:noWrap w:val="0"/>
                  <w:vAlign w:val="center"/>
                </w:tcPr>
                <w:p w14:paraId="5A74A211">
                  <w:pPr>
                    <w:pStyle w:val="30"/>
                    <w:rPr>
                      <w:color w:val="auto"/>
                      <w:szCs w:val="21"/>
                    </w:rPr>
                  </w:pPr>
                </w:p>
              </w:tc>
              <w:tc>
                <w:tcPr>
                  <w:tcW w:w="1190" w:type="pct"/>
                  <w:noWrap w:val="0"/>
                  <w:vAlign w:val="center"/>
                </w:tcPr>
                <w:p w14:paraId="470A8357">
                  <w:pPr>
                    <w:pStyle w:val="30"/>
                    <w:rPr>
                      <w:color w:val="auto"/>
                      <w:szCs w:val="21"/>
                    </w:rPr>
                  </w:pPr>
                  <w:r>
                    <w:rPr>
                      <w:rFonts w:hint="eastAsia"/>
                      <w:color w:val="auto"/>
                    </w:rPr>
                    <w:t>立式窜动砂</w:t>
                  </w:r>
                </w:p>
              </w:tc>
              <w:tc>
                <w:tcPr>
                  <w:tcW w:w="425" w:type="pct"/>
                  <w:shd w:val="clear" w:color="auto" w:fill="auto"/>
                  <w:noWrap w:val="0"/>
                  <w:vAlign w:val="center"/>
                </w:tcPr>
                <w:p w14:paraId="24DFB4AC">
                  <w:pPr>
                    <w:pStyle w:val="30"/>
                    <w:rPr>
                      <w:rFonts w:hint="eastAsia" w:eastAsia="宋体"/>
                      <w:color w:val="auto"/>
                      <w:szCs w:val="21"/>
                      <w:highlight w:val="none"/>
                      <w:lang w:eastAsia="zh-CN"/>
                    </w:rPr>
                  </w:pPr>
                  <w:r>
                    <w:rPr>
                      <w:rFonts w:hint="eastAsia"/>
                      <w:color w:val="auto"/>
                      <w:highlight w:val="none"/>
                      <w:lang w:val="en-US" w:eastAsia="zh-CN"/>
                    </w:rPr>
                    <w:t>2</w:t>
                  </w:r>
                </w:p>
              </w:tc>
              <w:tc>
                <w:tcPr>
                  <w:tcW w:w="339" w:type="pct"/>
                  <w:noWrap w:val="0"/>
                  <w:vAlign w:val="center"/>
                </w:tcPr>
                <w:p w14:paraId="227589A5">
                  <w:pPr>
                    <w:pStyle w:val="30"/>
                    <w:rPr>
                      <w:color w:val="auto"/>
                      <w:szCs w:val="21"/>
                    </w:rPr>
                  </w:pPr>
                  <w:r>
                    <w:rPr>
                      <w:color w:val="auto"/>
                      <w:szCs w:val="21"/>
                    </w:rPr>
                    <w:t>频发</w:t>
                  </w:r>
                </w:p>
              </w:tc>
              <w:tc>
                <w:tcPr>
                  <w:tcW w:w="507" w:type="pct"/>
                  <w:noWrap w:val="0"/>
                  <w:vAlign w:val="center"/>
                </w:tcPr>
                <w:p w14:paraId="07F39624">
                  <w:pPr>
                    <w:pStyle w:val="30"/>
                    <w:rPr>
                      <w:color w:val="auto"/>
                      <w:szCs w:val="21"/>
                    </w:rPr>
                  </w:pPr>
                  <w:r>
                    <w:rPr>
                      <w:color w:val="auto"/>
                      <w:szCs w:val="21"/>
                    </w:rPr>
                    <w:t>85-90</w:t>
                  </w:r>
                </w:p>
              </w:tc>
              <w:tc>
                <w:tcPr>
                  <w:tcW w:w="851" w:type="pct"/>
                  <w:vMerge w:val="continue"/>
                  <w:noWrap w:val="0"/>
                  <w:vAlign w:val="center"/>
                </w:tcPr>
                <w:p w14:paraId="67B50B0C">
                  <w:pPr>
                    <w:pStyle w:val="30"/>
                    <w:rPr>
                      <w:color w:val="auto"/>
                      <w:szCs w:val="21"/>
                    </w:rPr>
                  </w:pPr>
                </w:p>
              </w:tc>
              <w:tc>
                <w:tcPr>
                  <w:tcW w:w="517" w:type="pct"/>
                  <w:noWrap w:val="0"/>
                  <w:vAlign w:val="center"/>
                </w:tcPr>
                <w:p w14:paraId="104E5609">
                  <w:pPr>
                    <w:pStyle w:val="30"/>
                    <w:rPr>
                      <w:color w:val="auto"/>
                      <w:szCs w:val="21"/>
                    </w:rPr>
                  </w:pPr>
                  <w:r>
                    <w:rPr>
                      <w:rFonts w:hint="eastAsia"/>
                      <w:color w:val="auto"/>
                      <w:szCs w:val="21"/>
                    </w:rPr>
                    <w:t>2</w:t>
                  </w:r>
                  <w:r>
                    <w:rPr>
                      <w:color w:val="auto"/>
                      <w:szCs w:val="21"/>
                    </w:rPr>
                    <w:t>0</w:t>
                  </w:r>
                </w:p>
              </w:tc>
              <w:tc>
                <w:tcPr>
                  <w:tcW w:w="559" w:type="pct"/>
                  <w:noWrap w:val="0"/>
                  <w:vAlign w:val="center"/>
                </w:tcPr>
                <w:p w14:paraId="4129606B">
                  <w:pPr>
                    <w:pStyle w:val="30"/>
                    <w:rPr>
                      <w:color w:val="auto"/>
                      <w:szCs w:val="21"/>
                    </w:rPr>
                  </w:pPr>
                  <w:r>
                    <w:rPr>
                      <w:color w:val="auto"/>
                      <w:szCs w:val="21"/>
                    </w:rPr>
                    <w:t>65-70</w:t>
                  </w:r>
                </w:p>
              </w:tc>
            </w:tr>
          </w:tbl>
          <w:p w14:paraId="6795CA36">
            <w:pPr>
              <w:pStyle w:val="62"/>
              <w:numPr>
                <w:ilvl w:val="2"/>
                <w:numId w:val="7"/>
              </w:numPr>
              <w:ind w:left="210"/>
              <w:rPr>
                <w:rFonts w:ascii="Times New Roman" w:hAnsi="Times New Roman" w:cs="Times New Roman"/>
                <w:color w:val="auto"/>
                <w:sz w:val="24"/>
                <w:szCs w:val="24"/>
              </w:rPr>
            </w:pPr>
            <w:r>
              <w:rPr>
                <w:rFonts w:ascii="Times New Roman" w:hAnsi="Times New Roman" w:cs="Times New Roman"/>
                <w:color w:val="auto"/>
                <w:sz w:val="24"/>
                <w:szCs w:val="24"/>
              </w:rPr>
              <w:t>厂界达标分析</w:t>
            </w:r>
          </w:p>
          <w:p w14:paraId="306A8A02">
            <w:pPr>
              <w:pStyle w:val="116"/>
              <w:rPr>
                <w:color w:val="auto"/>
                <w:kern w:val="21"/>
                <w:sz w:val="24"/>
              </w:rPr>
            </w:pPr>
            <w:r>
              <w:rPr>
                <w:color w:val="auto"/>
                <w:kern w:val="21"/>
                <w:sz w:val="24"/>
              </w:rPr>
              <w:t>项目噪声预测</w:t>
            </w:r>
            <w:r>
              <w:rPr>
                <w:rFonts w:hint="eastAsia"/>
                <w:color w:val="auto"/>
                <w:lang w:val="en-US" w:eastAsia="zh-CN"/>
              </w:rPr>
              <w:t>模式</w:t>
            </w:r>
            <w:r>
              <w:rPr>
                <w:color w:val="auto"/>
                <w:kern w:val="21"/>
                <w:sz w:val="24"/>
              </w:rPr>
              <w:t>采用《环境影响评价技术导则</w:t>
            </w:r>
            <w:r>
              <w:rPr>
                <w:rFonts w:hint="eastAsia"/>
                <w:color w:val="auto"/>
                <w:kern w:val="21"/>
                <w:sz w:val="24"/>
              </w:rPr>
              <w:t xml:space="preserve"> </w:t>
            </w:r>
            <w:r>
              <w:rPr>
                <w:color w:val="auto"/>
                <w:kern w:val="21"/>
                <w:sz w:val="24"/>
              </w:rPr>
              <w:t>声环境》</w:t>
            </w:r>
            <w:r>
              <w:rPr>
                <w:rFonts w:hint="eastAsia"/>
                <w:color w:val="auto"/>
                <w:kern w:val="21"/>
                <w:sz w:val="24"/>
              </w:rPr>
              <w:t>（</w:t>
            </w:r>
            <w:r>
              <w:rPr>
                <w:color w:val="auto"/>
                <w:kern w:val="21"/>
                <w:sz w:val="24"/>
              </w:rPr>
              <w:t>HJ2.4-20</w:t>
            </w:r>
            <w:r>
              <w:rPr>
                <w:rFonts w:hint="eastAsia"/>
                <w:color w:val="auto"/>
                <w:kern w:val="21"/>
                <w:sz w:val="24"/>
              </w:rPr>
              <w:t>21）</w:t>
            </w:r>
            <w:r>
              <w:rPr>
                <w:color w:val="auto"/>
                <w:kern w:val="21"/>
                <w:sz w:val="24"/>
              </w:rPr>
              <w:t>中附录A户外声传播的衰减</w:t>
            </w:r>
            <w:r>
              <w:rPr>
                <w:rFonts w:hint="eastAsia"/>
                <w:color w:val="auto"/>
                <w:kern w:val="21"/>
                <w:sz w:val="24"/>
              </w:rPr>
              <w:t>及</w:t>
            </w:r>
            <w:r>
              <w:rPr>
                <w:color w:val="auto"/>
                <w:kern w:val="21"/>
                <w:sz w:val="24"/>
              </w:rPr>
              <w:t>附录B典型行业噪声预测模型</w:t>
            </w:r>
            <w:r>
              <w:rPr>
                <w:rFonts w:hint="eastAsia"/>
                <w:color w:val="auto"/>
                <w:kern w:val="21"/>
                <w:sz w:val="24"/>
              </w:rPr>
              <w:t>进行分析。</w:t>
            </w:r>
          </w:p>
          <w:p w14:paraId="3EE126A7">
            <w:pPr>
              <w:pStyle w:val="116"/>
              <w:rPr>
                <w:rFonts w:hint="default"/>
                <w:color w:val="auto"/>
                <w:kern w:val="21"/>
                <w:sz w:val="24"/>
                <w:lang w:val="en-US"/>
              </w:rPr>
            </w:pPr>
            <w:r>
              <w:rPr>
                <w:rFonts w:hint="eastAsia"/>
                <w:color w:val="auto"/>
                <w:kern w:val="21"/>
                <w:sz w:val="24"/>
                <w:lang w:val="en-US" w:eastAsia="zh-CN"/>
              </w:rPr>
              <w:t>（1）</w:t>
            </w:r>
            <w:r>
              <w:rPr>
                <w:rFonts w:hint="default"/>
                <w:color w:val="auto"/>
                <w:kern w:val="21"/>
                <w:sz w:val="24"/>
                <w:lang w:val="en-US"/>
              </w:rPr>
              <w:t>室外声源预测模式为：</w:t>
            </w:r>
          </w:p>
          <w:p w14:paraId="5180C17D">
            <w:pPr>
              <w:pStyle w:val="116"/>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color w:val="auto"/>
                <w:sz w:val="24"/>
                <w:szCs w:val="24"/>
                <w:shd w:val="clear" w:color="auto" w:fill="auto"/>
                <w:lang w:val="en-US"/>
              </w:rPr>
              <w:t>L</w:t>
            </w:r>
            <w:r>
              <w:rPr>
                <w:rFonts w:hint="default" w:ascii="Times New Roman" w:hAnsi="Times New Roman" w:eastAsia="宋体" w:cs="Times New Roman"/>
                <w:color w:val="auto"/>
                <w:sz w:val="24"/>
                <w:szCs w:val="24"/>
                <w:shd w:val="clear" w:color="auto" w:fill="auto"/>
                <w:vertAlign w:val="subscript"/>
                <w:lang w:val="en-US"/>
              </w:rPr>
              <w:t>A（r）</w:t>
            </w:r>
            <w:r>
              <w:rPr>
                <w:rFonts w:hint="default" w:ascii="Times New Roman" w:hAnsi="Times New Roman" w:eastAsia="宋体" w:cs="Times New Roman"/>
                <w:color w:val="auto"/>
                <w:sz w:val="24"/>
                <w:szCs w:val="24"/>
                <w:shd w:val="clear" w:color="auto" w:fill="auto"/>
                <w:lang w:val="en-US"/>
              </w:rPr>
              <w:t>=L</w:t>
            </w:r>
            <w:r>
              <w:rPr>
                <w:rFonts w:hint="default" w:ascii="Times New Roman" w:hAnsi="Times New Roman" w:eastAsia="宋体" w:cs="Times New Roman"/>
                <w:color w:val="auto"/>
                <w:sz w:val="24"/>
                <w:szCs w:val="24"/>
                <w:shd w:val="clear" w:color="auto" w:fill="auto"/>
                <w:vertAlign w:val="subscript"/>
                <w:lang w:val="en-US"/>
              </w:rPr>
              <w:t>A（r0）</w:t>
            </w:r>
            <w:r>
              <w:rPr>
                <w:rFonts w:hint="default" w:ascii="Times New Roman" w:hAnsi="Times New Roman" w:eastAsia="宋体" w:cs="Times New Roman"/>
                <w:color w:val="auto"/>
                <w:sz w:val="24"/>
                <w:szCs w:val="24"/>
                <w:shd w:val="clear" w:color="auto" w:fill="auto"/>
                <w:lang w:val="en-US"/>
              </w:rPr>
              <w:t>－20lg（r/r</w:t>
            </w:r>
            <w:r>
              <w:rPr>
                <w:rFonts w:hint="default" w:ascii="Times New Roman" w:hAnsi="Times New Roman" w:eastAsia="宋体" w:cs="Times New Roman"/>
                <w:color w:val="auto"/>
                <w:sz w:val="24"/>
                <w:szCs w:val="24"/>
                <w:shd w:val="clear" w:color="auto" w:fill="auto"/>
                <w:vertAlign w:val="subscript"/>
                <w:lang w:val="en-US"/>
              </w:rPr>
              <w:t>0</w:t>
            </w:r>
            <w:r>
              <w:rPr>
                <w:rFonts w:hint="default" w:ascii="Times New Roman" w:hAnsi="Times New Roman" w:eastAsia="宋体" w:cs="Times New Roman"/>
                <w:color w:val="auto"/>
                <w:sz w:val="24"/>
                <w:szCs w:val="24"/>
                <w:shd w:val="clear" w:color="auto" w:fill="auto"/>
                <w:lang w:val="en-US"/>
              </w:rPr>
              <w:t>）－ΔL</w:t>
            </w:r>
            <w:r>
              <w:rPr>
                <w:rFonts w:hint="default" w:ascii="Times New Roman" w:hAnsi="Times New Roman" w:eastAsia="宋体" w:cs="Times New Roman"/>
                <w:color w:val="auto"/>
                <w:sz w:val="24"/>
                <w:szCs w:val="24"/>
                <w:shd w:val="clear" w:color="auto" w:fill="auto"/>
                <w:vertAlign w:val="subscript"/>
                <w:lang w:val="en-US"/>
              </w:rPr>
              <w:t>A</w:t>
            </w:r>
          </w:p>
          <w:p w14:paraId="5D14AEE8">
            <w:pPr>
              <w:pStyle w:val="116"/>
              <w:ind w:firstLine="1200" w:firstLineChars="500"/>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color w:val="auto"/>
                <w:sz w:val="24"/>
                <w:szCs w:val="24"/>
                <w:shd w:val="clear" w:color="auto" w:fill="auto"/>
                <w:lang w:val="en-US"/>
              </w:rPr>
              <w:t>式中：L</w:t>
            </w:r>
            <w:r>
              <w:rPr>
                <w:rFonts w:hint="default" w:ascii="Times New Roman" w:hAnsi="Times New Roman" w:eastAsia="宋体" w:cs="Times New Roman"/>
                <w:color w:val="auto"/>
                <w:sz w:val="24"/>
                <w:szCs w:val="24"/>
                <w:shd w:val="clear" w:color="auto" w:fill="auto"/>
                <w:vertAlign w:val="subscript"/>
                <w:lang w:val="en-US"/>
              </w:rPr>
              <w:t>A（r）</w:t>
            </w:r>
            <w:r>
              <w:rPr>
                <w:rFonts w:hint="default" w:ascii="Times New Roman" w:hAnsi="Times New Roman" w:eastAsia="宋体" w:cs="Times New Roman"/>
                <w:color w:val="auto"/>
                <w:sz w:val="24"/>
                <w:szCs w:val="24"/>
                <w:shd w:val="clear" w:color="auto" w:fill="auto"/>
                <w:lang w:val="en-US"/>
              </w:rPr>
              <w:t>－距声源r处的A声级，dB（A）；</w:t>
            </w:r>
          </w:p>
          <w:p w14:paraId="51A9BC5E">
            <w:pPr>
              <w:pStyle w:val="116"/>
              <w:ind w:firstLine="1200" w:firstLineChars="500"/>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color w:val="auto"/>
                <w:sz w:val="24"/>
                <w:szCs w:val="24"/>
                <w:shd w:val="clear" w:color="auto" w:fill="auto"/>
                <w:lang w:val="en-US"/>
              </w:rPr>
              <w:t>L</w:t>
            </w:r>
            <w:r>
              <w:rPr>
                <w:rFonts w:hint="default" w:ascii="Times New Roman" w:hAnsi="Times New Roman" w:eastAsia="宋体" w:cs="Times New Roman"/>
                <w:color w:val="auto"/>
                <w:sz w:val="24"/>
                <w:szCs w:val="24"/>
                <w:shd w:val="clear" w:color="auto" w:fill="auto"/>
                <w:vertAlign w:val="subscript"/>
                <w:lang w:val="en-US"/>
              </w:rPr>
              <w:t>A（r0）</w:t>
            </w:r>
            <w:r>
              <w:rPr>
                <w:rFonts w:hint="default" w:ascii="Times New Roman" w:hAnsi="Times New Roman" w:eastAsia="宋体" w:cs="Times New Roman"/>
                <w:color w:val="auto"/>
                <w:sz w:val="24"/>
                <w:szCs w:val="24"/>
                <w:shd w:val="clear" w:color="auto" w:fill="auto"/>
                <w:lang w:val="en-US"/>
              </w:rPr>
              <w:t>－参考位置r</w:t>
            </w:r>
            <w:r>
              <w:rPr>
                <w:rFonts w:hint="default" w:ascii="Times New Roman" w:hAnsi="Times New Roman" w:eastAsia="宋体" w:cs="Times New Roman"/>
                <w:color w:val="auto"/>
                <w:sz w:val="24"/>
                <w:szCs w:val="24"/>
                <w:shd w:val="clear" w:color="auto" w:fill="auto"/>
                <w:vertAlign w:val="subscript"/>
                <w:lang w:val="en-US"/>
              </w:rPr>
              <w:t>0</w:t>
            </w:r>
            <w:r>
              <w:rPr>
                <w:rFonts w:hint="default" w:ascii="Times New Roman" w:hAnsi="Times New Roman" w:eastAsia="宋体" w:cs="Times New Roman"/>
                <w:color w:val="auto"/>
                <w:sz w:val="24"/>
                <w:szCs w:val="24"/>
                <w:shd w:val="clear" w:color="auto" w:fill="auto"/>
                <w:lang w:val="en-US"/>
              </w:rPr>
              <w:t>处的A声级，dB（A）；</w:t>
            </w:r>
          </w:p>
          <w:p w14:paraId="0E987669">
            <w:pPr>
              <w:pStyle w:val="116"/>
              <w:ind w:firstLine="1200" w:firstLineChars="500"/>
              <w:rPr>
                <w:rFonts w:hint="eastAsia" w:ascii="Times New Roman" w:hAnsi="Times New Roman" w:eastAsia="宋体" w:cs="Times New Roman"/>
                <w:color w:val="auto"/>
                <w:sz w:val="24"/>
                <w:szCs w:val="24"/>
                <w:shd w:val="clear" w:color="auto" w:fill="auto"/>
                <w:lang w:val="en-US" w:eastAsia="zh-CN"/>
              </w:rPr>
            </w:pPr>
            <w:r>
              <w:rPr>
                <w:rFonts w:hint="default" w:ascii="Times New Roman" w:hAnsi="Times New Roman" w:eastAsia="宋体" w:cs="Times New Roman"/>
                <w:color w:val="auto"/>
                <w:sz w:val="24"/>
                <w:szCs w:val="24"/>
                <w:shd w:val="clear" w:color="auto" w:fill="auto"/>
                <w:lang w:val="en-US"/>
              </w:rPr>
              <w:t>L</w:t>
            </w:r>
            <w:r>
              <w:rPr>
                <w:rFonts w:hint="default" w:ascii="Times New Roman" w:hAnsi="Times New Roman" w:eastAsia="宋体" w:cs="Times New Roman"/>
                <w:color w:val="auto"/>
                <w:sz w:val="24"/>
                <w:szCs w:val="24"/>
                <w:shd w:val="clear" w:color="auto" w:fill="auto"/>
                <w:vertAlign w:val="subscript"/>
                <w:lang w:val="en-US"/>
              </w:rPr>
              <w:t>AW</w:t>
            </w:r>
            <w:r>
              <w:rPr>
                <w:rFonts w:hint="default" w:ascii="Times New Roman" w:hAnsi="Times New Roman" w:eastAsia="宋体" w:cs="Times New Roman"/>
                <w:color w:val="auto"/>
                <w:sz w:val="24"/>
                <w:szCs w:val="24"/>
                <w:shd w:val="clear" w:color="auto" w:fill="auto"/>
                <w:lang w:val="en-US"/>
              </w:rPr>
              <w:t>－室外声源或等效室外声源的A声功率级，dB（A）</w:t>
            </w:r>
            <w:r>
              <w:rPr>
                <w:rFonts w:hint="eastAsia" w:eastAsia="宋体" w:cs="Times New Roman"/>
                <w:color w:val="auto"/>
                <w:sz w:val="24"/>
                <w:szCs w:val="24"/>
                <w:shd w:val="clear" w:color="auto" w:fill="auto"/>
                <w:lang w:val="en-US" w:eastAsia="zh-CN"/>
              </w:rPr>
              <w:t>；</w:t>
            </w:r>
          </w:p>
          <w:p w14:paraId="1E5DB0C6">
            <w:pPr>
              <w:pStyle w:val="116"/>
              <w:ind w:firstLine="1200" w:firstLineChars="500"/>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color w:val="auto"/>
                <w:sz w:val="24"/>
                <w:szCs w:val="24"/>
                <w:shd w:val="clear" w:color="auto" w:fill="auto"/>
                <w:lang w:val="en-US"/>
              </w:rPr>
              <w:t>r－声源与预测点的距离，m；</w:t>
            </w:r>
          </w:p>
          <w:p w14:paraId="37F0D71F">
            <w:pPr>
              <w:pStyle w:val="116"/>
              <w:ind w:firstLine="1200" w:firstLineChars="500"/>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color w:val="auto"/>
                <w:sz w:val="24"/>
                <w:szCs w:val="24"/>
                <w:shd w:val="clear" w:color="auto" w:fill="auto"/>
                <w:lang w:val="en-US"/>
              </w:rPr>
              <w:t>r</w:t>
            </w:r>
            <w:r>
              <w:rPr>
                <w:rFonts w:hint="default" w:ascii="Times New Roman" w:hAnsi="Times New Roman" w:eastAsia="宋体" w:cs="Times New Roman"/>
                <w:color w:val="auto"/>
                <w:sz w:val="24"/>
                <w:szCs w:val="24"/>
                <w:shd w:val="clear" w:color="auto" w:fill="auto"/>
                <w:vertAlign w:val="subscript"/>
                <w:lang w:val="en-US"/>
              </w:rPr>
              <w:t>0</w:t>
            </w:r>
            <w:r>
              <w:rPr>
                <w:rFonts w:hint="default" w:ascii="Times New Roman" w:hAnsi="Times New Roman" w:eastAsia="宋体" w:cs="Times New Roman"/>
                <w:color w:val="auto"/>
                <w:sz w:val="24"/>
                <w:szCs w:val="24"/>
                <w:shd w:val="clear" w:color="auto" w:fill="auto"/>
                <w:lang w:val="en-US"/>
              </w:rPr>
              <w:t>－参考位置距声源的距离，m；</w:t>
            </w:r>
          </w:p>
          <w:p w14:paraId="7C098B6F">
            <w:pPr>
              <w:pStyle w:val="116"/>
              <w:ind w:firstLine="1200" w:firstLineChars="500"/>
              <w:rPr>
                <w:rFonts w:hint="default" w:ascii="Times New Roman" w:hAnsi="Times New Roman" w:eastAsia="宋体" w:cs="Times New Roman"/>
                <w:color w:val="auto"/>
                <w:sz w:val="24"/>
                <w:szCs w:val="24"/>
                <w:shd w:val="clear" w:color="auto" w:fill="auto"/>
                <w:lang w:val="en-US"/>
              </w:rPr>
            </w:pPr>
            <w:r>
              <w:rPr>
                <w:rFonts w:hint="default" w:ascii="Times New Roman" w:hAnsi="Times New Roman" w:eastAsia="宋体" w:cs="Times New Roman"/>
                <w:color w:val="auto"/>
                <w:sz w:val="24"/>
                <w:szCs w:val="24"/>
                <w:shd w:val="clear" w:color="auto" w:fill="auto"/>
                <w:lang w:val="en-US"/>
              </w:rPr>
              <w:t>△L</w:t>
            </w:r>
            <w:r>
              <w:rPr>
                <w:rFonts w:hint="default" w:ascii="Times New Roman" w:hAnsi="Times New Roman" w:eastAsia="宋体" w:cs="Times New Roman"/>
                <w:color w:val="auto"/>
                <w:sz w:val="24"/>
                <w:szCs w:val="24"/>
                <w:shd w:val="clear" w:color="auto" w:fill="auto"/>
                <w:vertAlign w:val="subscript"/>
                <w:lang w:val="en-US"/>
              </w:rPr>
              <w:t>A</w:t>
            </w:r>
            <w:r>
              <w:rPr>
                <w:rFonts w:hint="default" w:ascii="Times New Roman" w:hAnsi="Times New Roman" w:eastAsia="宋体" w:cs="Times New Roman"/>
                <w:color w:val="auto"/>
                <w:sz w:val="24"/>
                <w:szCs w:val="24"/>
                <w:shd w:val="clear" w:color="auto" w:fill="auto"/>
                <w:lang w:val="en-US"/>
              </w:rPr>
              <w:t>－因各种因素引起的衰减量，dB（A）；</w:t>
            </w:r>
          </w:p>
          <w:p w14:paraId="06993135">
            <w:pPr>
              <w:pStyle w:val="116"/>
              <w:rPr>
                <w:rFonts w:hint="eastAsia"/>
                <w:bCs/>
                <w:color w:val="auto"/>
                <w:kern w:val="21"/>
                <w:sz w:val="24"/>
                <w:highlight w:val="none"/>
              </w:rPr>
            </w:pPr>
            <w:r>
              <w:rPr>
                <w:rFonts w:hint="default" w:ascii="Times New Roman" w:hAnsi="Times New Roman" w:eastAsia="宋体" w:cs="Times New Roman"/>
                <w:color w:val="auto"/>
                <w:sz w:val="24"/>
                <w:szCs w:val="24"/>
                <w:highlight w:val="none"/>
                <w:shd w:val="clear" w:color="auto" w:fill="auto"/>
                <w:lang w:val="en-US"/>
              </w:rPr>
              <w:t>衰减量包括声屏障、遮挡物、空气吸收、地面效应等引起的衰减量。本次预测计算中只考虑各声源至预测点的距离衰减、隔墙（或窗户）的传输损失。各声源由于厂区内外其他遮挡物引起的衰减、空气吸收引起的衰减，由于云、雾、温度梯度、风及地面效应等引起的声能量衰减等，其引起的衰减量不大，本次计算中忽略不计。</w:t>
            </w:r>
          </w:p>
          <w:p w14:paraId="63C8C223">
            <w:pPr>
              <w:pStyle w:val="116"/>
              <w:rPr>
                <w:rFonts w:hint="eastAsia"/>
                <w:bCs/>
                <w:color w:val="auto"/>
                <w:kern w:val="21"/>
                <w:sz w:val="24"/>
              </w:rPr>
            </w:pPr>
            <w:r>
              <w:rPr>
                <w:rFonts w:hint="eastAsia"/>
                <w:bCs/>
                <w:color w:val="auto"/>
                <w:kern w:val="21"/>
                <w:sz w:val="24"/>
              </w:rPr>
              <w:t>（</w:t>
            </w:r>
            <w:r>
              <w:rPr>
                <w:rFonts w:hint="eastAsia"/>
                <w:bCs/>
                <w:color w:val="auto"/>
                <w:kern w:val="21"/>
                <w:sz w:val="24"/>
                <w:lang w:val="en-US" w:eastAsia="zh-CN"/>
              </w:rPr>
              <w:t>2</w:t>
            </w:r>
            <w:r>
              <w:rPr>
                <w:rFonts w:hint="eastAsia"/>
                <w:bCs/>
                <w:color w:val="auto"/>
                <w:kern w:val="21"/>
                <w:sz w:val="24"/>
              </w:rPr>
              <w:t>）</w:t>
            </w:r>
            <w:r>
              <w:rPr>
                <w:bCs/>
                <w:color w:val="auto"/>
                <w:kern w:val="21"/>
                <w:sz w:val="24"/>
              </w:rPr>
              <w:t>室内声源</w:t>
            </w:r>
            <w:r>
              <w:rPr>
                <w:rFonts w:hint="eastAsia"/>
                <w:bCs/>
                <w:color w:val="auto"/>
                <w:kern w:val="21"/>
                <w:sz w:val="24"/>
              </w:rPr>
              <w:t>声功率级计算方法</w:t>
            </w:r>
          </w:p>
          <w:p w14:paraId="5476F0AB">
            <w:pPr>
              <w:pStyle w:val="116"/>
              <w:rPr>
                <w:rFonts w:hint="eastAsia"/>
                <w:color w:val="auto"/>
                <w:kern w:val="21"/>
                <w:sz w:val="24"/>
              </w:rPr>
            </w:pPr>
            <w:r>
              <w:rPr>
                <w:rFonts w:hint="eastAsia"/>
                <w:color w:val="auto"/>
                <w:kern w:val="21"/>
                <w:sz w:val="24"/>
              </w:rPr>
              <w:t>①</w:t>
            </w:r>
            <w:r>
              <w:rPr>
                <w:color w:val="auto"/>
                <w:kern w:val="21"/>
                <w:sz w:val="24"/>
              </w:rPr>
              <w:t>如</w:t>
            </w:r>
            <w:r>
              <w:rPr>
                <w:rFonts w:hint="eastAsia"/>
                <w:color w:val="auto"/>
                <w:kern w:val="21"/>
                <w:sz w:val="24"/>
              </w:rPr>
              <w:t>下</w:t>
            </w:r>
            <w:r>
              <w:rPr>
                <w:color w:val="auto"/>
                <w:kern w:val="21"/>
                <w:sz w:val="24"/>
              </w:rPr>
              <w:t>图所示，</w:t>
            </w:r>
            <w:r>
              <w:rPr>
                <w:rFonts w:hint="eastAsia"/>
                <w:color w:val="auto"/>
                <w:kern w:val="21"/>
                <w:sz w:val="24"/>
              </w:rPr>
              <w:t>声源位于</w:t>
            </w:r>
            <w:r>
              <w:rPr>
                <w:rFonts w:hint="eastAsia"/>
                <w:bCs/>
                <w:color w:val="auto"/>
                <w:kern w:val="21"/>
                <w:sz w:val="24"/>
              </w:rPr>
              <w:t>室内</w:t>
            </w:r>
            <w:r>
              <w:rPr>
                <w:rFonts w:hint="eastAsia"/>
                <w:color w:val="auto"/>
                <w:kern w:val="21"/>
                <w:sz w:val="24"/>
              </w:rPr>
              <w:t>，室内声源可采用等效室外声源声功率级法进行计算。设靠近开口处（或窗户）室内、室外某倍频带的声压级或A声级分别为Lp1和Lp2。若声源所在室内声场为近似扩散声场，则室外的倍频带声压级可按下式近似求出：</w:t>
            </w:r>
          </w:p>
          <w:p w14:paraId="2ABAD738">
            <w:pPr>
              <w:spacing w:line="360" w:lineRule="auto"/>
              <w:ind w:firstLine="480"/>
              <w:jc w:val="center"/>
              <w:rPr>
                <w:color w:val="auto"/>
                <w:kern w:val="21"/>
                <w:sz w:val="24"/>
              </w:rPr>
            </w:pPr>
            <w:r>
              <w:rPr>
                <w:color w:val="auto"/>
                <w:kern w:val="21"/>
                <w:sz w:val="24"/>
              </w:rPr>
              <w:drawing>
                <wp:inline distT="0" distB="0" distL="114300" distR="114300">
                  <wp:extent cx="1543050" cy="361950"/>
                  <wp:effectExtent l="0" t="0" r="0" b="0"/>
                  <wp:docPr id="7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8"/>
                          <pic:cNvPicPr>
                            <a:picLocks noChangeAspect="1"/>
                          </pic:cNvPicPr>
                        </pic:nvPicPr>
                        <pic:blipFill>
                          <a:blip r:embed="rId28"/>
                          <a:stretch>
                            <a:fillRect/>
                          </a:stretch>
                        </pic:blipFill>
                        <pic:spPr>
                          <a:xfrm>
                            <a:off x="0" y="0"/>
                            <a:ext cx="1543050" cy="361950"/>
                          </a:xfrm>
                          <a:prstGeom prst="rect">
                            <a:avLst/>
                          </a:prstGeom>
                          <a:noFill/>
                          <a:ln>
                            <a:noFill/>
                          </a:ln>
                        </pic:spPr>
                      </pic:pic>
                    </a:graphicData>
                  </a:graphic>
                </wp:inline>
              </w:drawing>
            </w:r>
          </w:p>
          <w:p w14:paraId="30E89328">
            <w:pPr>
              <w:spacing w:line="360" w:lineRule="auto"/>
              <w:ind w:firstLine="480"/>
              <w:rPr>
                <w:rFonts w:hint="eastAsia"/>
                <w:color w:val="auto"/>
                <w:kern w:val="21"/>
                <w:sz w:val="24"/>
              </w:rPr>
            </w:pPr>
            <w:r>
              <w:rPr>
                <w:rFonts w:hint="eastAsia"/>
                <w:color w:val="auto"/>
                <w:kern w:val="21"/>
                <w:sz w:val="24"/>
              </w:rPr>
              <w:t>式中：</w:t>
            </w:r>
          </w:p>
          <w:p w14:paraId="45A92B34">
            <w:pPr>
              <w:pStyle w:val="116"/>
              <w:rPr>
                <w:rFonts w:hint="eastAsia"/>
                <w:color w:val="auto"/>
                <w:kern w:val="21"/>
                <w:sz w:val="24"/>
              </w:rPr>
            </w:pPr>
            <w:r>
              <w:rPr>
                <w:rFonts w:hint="eastAsia"/>
                <w:color w:val="auto"/>
                <w:kern w:val="21"/>
                <w:sz w:val="24"/>
              </w:rPr>
              <w:t>L</w:t>
            </w:r>
            <w:r>
              <w:rPr>
                <w:rFonts w:hint="eastAsia"/>
                <w:color w:val="auto"/>
                <w:kern w:val="21"/>
                <w:sz w:val="24"/>
                <w:vertAlign w:val="subscript"/>
              </w:rPr>
              <w:t>p1</w:t>
            </w:r>
            <w:r>
              <w:rPr>
                <w:rFonts w:hint="eastAsia"/>
                <w:color w:val="auto"/>
                <w:kern w:val="21"/>
                <w:sz w:val="24"/>
              </w:rPr>
              <w:t>—靠近开口处（或</w:t>
            </w:r>
            <w:r>
              <w:rPr>
                <w:rFonts w:hint="eastAsia"/>
                <w:color w:val="auto"/>
                <w:lang w:val="en-US" w:eastAsia="zh-CN"/>
              </w:rPr>
              <w:t>窗户</w:t>
            </w:r>
            <w:r>
              <w:rPr>
                <w:rFonts w:hint="eastAsia"/>
                <w:color w:val="auto"/>
                <w:kern w:val="21"/>
                <w:sz w:val="24"/>
              </w:rPr>
              <w:t>）室内某倍频带的声压级或A声级，dB；</w:t>
            </w:r>
          </w:p>
          <w:p w14:paraId="461D9B80">
            <w:pPr>
              <w:pStyle w:val="116"/>
              <w:rPr>
                <w:rFonts w:hint="eastAsia"/>
                <w:color w:val="auto"/>
                <w:kern w:val="21"/>
                <w:sz w:val="24"/>
              </w:rPr>
            </w:pPr>
            <w:r>
              <w:rPr>
                <w:rFonts w:hint="eastAsia"/>
                <w:color w:val="auto"/>
                <w:kern w:val="21"/>
                <w:sz w:val="24"/>
              </w:rPr>
              <w:t>L</w:t>
            </w:r>
            <w:r>
              <w:rPr>
                <w:rFonts w:hint="eastAsia"/>
                <w:color w:val="auto"/>
                <w:kern w:val="21"/>
                <w:sz w:val="24"/>
                <w:vertAlign w:val="subscript"/>
              </w:rPr>
              <w:t>p2</w:t>
            </w:r>
            <w:r>
              <w:rPr>
                <w:rFonts w:hint="eastAsia"/>
                <w:color w:val="auto"/>
                <w:kern w:val="21"/>
                <w:sz w:val="24"/>
              </w:rPr>
              <w:t>—靠近开口处（或窗户）室外某倍频带的声压级或A声级，dB；</w:t>
            </w:r>
          </w:p>
          <w:p w14:paraId="0FEED3CB">
            <w:pPr>
              <w:pStyle w:val="116"/>
              <w:rPr>
                <w:rFonts w:hint="eastAsia"/>
                <w:color w:val="auto"/>
                <w:kern w:val="21"/>
                <w:sz w:val="24"/>
              </w:rPr>
            </w:pPr>
            <w:r>
              <w:rPr>
                <w:rFonts w:hint="eastAsia"/>
                <w:color w:val="auto"/>
                <w:kern w:val="21"/>
                <w:sz w:val="24"/>
              </w:rPr>
              <w:t>TI—隔墙（或窗户）倍频带或A声级的隔声量，dB。</w:t>
            </w:r>
          </w:p>
          <w:p w14:paraId="051891FC">
            <w:pPr>
              <w:spacing w:line="360" w:lineRule="auto"/>
              <w:ind w:firstLine="480"/>
              <w:jc w:val="center"/>
              <w:rPr>
                <w:rFonts w:hint="eastAsia"/>
                <w:color w:val="auto"/>
                <w:kern w:val="21"/>
                <w:sz w:val="24"/>
              </w:rPr>
            </w:pPr>
            <w:r>
              <w:rPr>
                <w:color w:val="auto"/>
                <w:kern w:val="21"/>
                <w:sz w:val="24"/>
              </w:rPr>
              <w:drawing>
                <wp:inline distT="0" distB="0" distL="114300" distR="114300">
                  <wp:extent cx="2016125" cy="1079500"/>
                  <wp:effectExtent l="0" t="0" r="3175" b="6350"/>
                  <wp:docPr id="7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9"/>
                          <pic:cNvPicPr>
                            <a:picLocks noChangeAspect="1"/>
                          </pic:cNvPicPr>
                        </pic:nvPicPr>
                        <pic:blipFill>
                          <a:blip r:embed="rId29"/>
                          <a:stretch>
                            <a:fillRect/>
                          </a:stretch>
                        </pic:blipFill>
                        <pic:spPr>
                          <a:xfrm>
                            <a:off x="0" y="0"/>
                            <a:ext cx="2016125" cy="1079500"/>
                          </a:xfrm>
                          <a:prstGeom prst="rect">
                            <a:avLst/>
                          </a:prstGeom>
                          <a:noFill/>
                          <a:ln>
                            <a:noFill/>
                          </a:ln>
                        </pic:spPr>
                      </pic:pic>
                    </a:graphicData>
                  </a:graphic>
                </wp:inline>
              </w:drawing>
            </w:r>
          </w:p>
          <w:p w14:paraId="34E193B9">
            <w:pPr>
              <w:spacing w:line="360" w:lineRule="auto"/>
              <w:ind w:firstLine="480"/>
              <w:jc w:val="center"/>
              <w:rPr>
                <w:rFonts w:eastAsia="黑体"/>
                <w:color w:val="auto"/>
                <w:kern w:val="21"/>
                <w:sz w:val="24"/>
              </w:rPr>
            </w:pPr>
            <w:r>
              <w:rPr>
                <w:rFonts w:eastAsia="黑体"/>
                <w:color w:val="auto"/>
                <w:kern w:val="21"/>
                <w:sz w:val="24"/>
              </w:rPr>
              <w:t>室内声源等效室外声源图例</w:t>
            </w:r>
          </w:p>
          <w:p w14:paraId="4D44DAC5">
            <w:pPr>
              <w:pStyle w:val="116"/>
              <w:rPr>
                <w:rFonts w:hint="eastAsia"/>
                <w:color w:val="auto"/>
                <w:kern w:val="21"/>
                <w:sz w:val="24"/>
              </w:rPr>
            </w:pPr>
            <w:r>
              <w:rPr>
                <w:rFonts w:hint="eastAsia"/>
                <w:color w:val="auto"/>
                <w:kern w:val="21"/>
                <w:sz w:val="24"/>
              </w:rPr>
              <w:t>②按下式计算某一室内声源靠近围护结构处产生的倍频带声压级或A声级：</w:t>
            </w:r>
          </w:p>
          <w:p w14:paraId="7015ED2F">
            <w:pPr>
              <w:spacing w:line="360" w:lineRule="auto"/>
              <w:ind w:firstLine="480"/>
              <w:jc w:val="center"/>
              <w:rPr>
                <w:color w:val="auto"/>
                <w:kern w:val="21"/>
                <w:sz w:val="24"/>
              </w:rPr>
            </w:pPr>
            <w:r>
              <w:rPr>
                <w:color w:val="auto"/>
                <w:kern w:val="21"/>
                <w:sz w:val="24"/>
              </w:rPr>
              <w:drawing>
                <wp:inline distT="0" distB="0" distL="114300" distR="114300">
                  <wp:extent cx="1962150" cy="571500"/>
                  <wp:effectExtent l="0" t="0" r="0" b="0"/>
                  <wp:docPr id="8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0"/>
                          <pic:cNvPicPr>
                            <a:picLocks noChangeAspect="1"/>
                          </pic:cNvPicPr>
                        </pic:nvPicPr>
                        <pic:blipFill>
                          <a:blip r:embed="rId30"/>
                          <a:stretch>
                            <a:fillRect/>
                          </a:stretch>
                        </pic:blipFill>
                        <pic:spPr>
                          <a:xfrm>
                            <a:off x="0" y="0"/>
                            <a:ext cx="1962150" cy="571500"/>
                          </a:xfrm>
                          <a:prstGeom prst="rect">
                            <a:avLst/>
                          </a:prstGeom>
                          <a:noFill/>
                          <a:ln>
                            <a:noFill/>
                          </a:ln>
                        </pic:spPr>
                      </pic:pic>
                    </a:graphicData>
                  </a:graphic>
                </wp:inline>
              </w:drawing>
            </w:r>
          </w:p>
          <w:p w14:paraId="7812C813">
            <w:pPr>
              <w:pStyle w:val="116"/>
              <w:rPr>
                <w:rFonts w:hint="eastAsia" w:hAnsi="宋体" w:cs="宋体"/>
                <w:color w:val="auto"/>
                <w:kern w:val="21"/>
                <w:sz w:val="24"/>
              </w:rPr>
            </w:pPr>
            <w:r>
              <w:rPr>
                <w:rFonts w:hint="eastAsia" w:hAnsi="宋体" w:cs="宋体"/>
                <w:color w:val="auto"/>
                <w:kern w:val="21"/>
                <w:sz w:val="24"/>
              </w:rPr>
              <w:t>式中：</w:t>
            </w:r>
          </w:p>
          <w:p w14:paraId="238747A3">
            <w:pPr>
              <w:pStyle w:val="116"/>
              <w:rPr>
                <w:rFonts w:hint="eastAsia" w:hAnsi="宋体" w:cs="宋体"/>
                <w:color w:val="auto"/>
                <w:kern w:val="21"/>
                <w:sz w:val="24"/>
              </w:rPr>
            </w:pPr>
            <w:r>
              <w:rPr>
                <w:rFonts w:hint="eastAsia" w:hAnsi="宋体" w:cs="宋体"/>
                <w:color w:val="auto"/>
                <w:kern w:val="21"/>
                <w:sz w:val="24"/>
              </w:rPr>
              <w:t>Lp</w:t>
            </w:r>
            <w:r>
              <w:rPr>
                <w:rFonts w:hint="eastAsia" w:hAnsi="宋体" w:cs="宋体"/>
                <w:color w:val="auto"/>
                <w:kern w:val="21"/>
                <w:sz w:val="24"/>
                <w:vertAlign w:val="subscript"/>
              </w:rPr>
              <w:t>1</w:t>
            </w:r>
            <w:r>
              <w:rPr>
                <w:rFonts w:hint="eastAsia" w:hAnsi="宋体" w:cs="宋体"/>
                <w:color w:val="auto"/>
                <w:kern w:val="21"/>
                <w:sz w:val="24"/>
              </w:rPr>
              <w:t>—靠近开口处（或窗户）室内某倍频带的声压级或A声级，dB；</w:t>
            </w:r>
          </w:p>
          <w:p w14:paraId="0572F65D">
            <w:pPr>
              <w:pStyle w:val="116"/>
              <w:rPr>
                <w:rFonts w:hint="eastAsia" w:hAnsi="宋体" w:cs="宋体"/>
                <w:color w:val="auto"/>
                <w:kern w:val="21"/>
                <w:sz w:val="24"/>
              </w:rPr>
            </w:pPr>
            <w:r>
              <w:rPr>
                <w:rFonts w:hint="eastAsia" w:hAnsi="宋体" w:cs="宋体"/>
                <w:color w:val="auto"/>
                <w:kern w:val="21"/>
                <w:sz w:val="24"/>
              </w:rPr>
              <w:t>Lw—点声源声功率级（A计权或倍频带），dB；</w:t>
            </w:r>
          </w:p>
          <w:p w14:paraId="512FE4A2">
            <w:pPr>
              <w:pStyle w:val="116"/>
              <w:rPr>
                <w:rFonts w:hint="eastAsia" w:hAnsi="宋体" w:cs="宋体"/>
                <w:color w:val="auto"/>
                <w:kern w:val="21"/>
                <w:sz w:val="24"/>
              </w:rPr>
            </w:pPr>
            <w:r>
              <w:rPr>
                <w:rFonts w:hint="eastAsia" w:hAnsi="宋体" w:cs="宋体"/>
                <w:color w:val="auto"/>
                <w:kern w:val="21"/>
                <w:sz w:val="24"/>
              </w:rPr>
              <w:t>Q—指向性因数；通常对无指向性声源，当声源放在房间中心时，Q=1；当放在一面墙的中心时，Q=2；当放在两面墙夹角处时，Q=4；当放在三面墙夹角处时，Q=8；</w:t>
            </w:r>
          </w:p>
          <w:p w14:paraId="6148279E">
            <w:pPr>
              <w:pStyle w:val="116"/>
              <w:rPr>
                <w:rFonts w:hint="eastAsia" w:hAnsi="宋体" w:cs="宋体"/>
                <w:color w:val="auto"/>
                <w:kern w:val="21"/>
                <w:sz w:val="24"/>
              </w:rPr>
            </w:pPr>
            <w:r>
              <w:rPr>
                <w:rFonts w:hint="eastAsia" w:hAnsi="宋体" w:cs="宋体"/>
                <w:color w:val="auto"/>
                <w:kern w:val="21"/>
                <w:sz w:val="24"/>
              </w:rPr>
              <w:t>R—房间常数；R=Sa/（1-a），s为房间内表面面积，m</w:t>
            </w:r>
            <w:r>
              <w:rPr>
                <w:rFonts w:hint="eastAsia" w:hAnsi="宋体" w:cs="宋体"/>
                <w:color w:val="auto"/>
                <w:kern w:val="21"/>
                <w:sz w:val="24"/>
                <w:vertAlign w:val="superscript"/>
              </w:rPr>
              <w:t>2</w:t>
            </w:r>
            <w:r>
              <w:rPr>
                <w:rFonts w:hint="eastAsia" w:hAnsi="宋体" w:cs="宋体"/>
                <w:color w:val="auto"/>
                <w:kern w:val="21"/>
                <w:sz w:val="24"/>
              </w:rPr>
              <w:t>；a为平均吸声系数；</w:t>
            </w:r>
          </w:p>
          <w:p w14:paraId="5010AF2B">
            <w:pPr>
              <w:pStyle w:val="116"/>
              <w:rPr>
                <w:rFonts w:hint="eastAsia"/>
                <w:color w:val="auto"/>
                <w:kern w:val="21"/>
                <w:sz w:val="24"/>
              </w:rPr>
            </w:pPr>
            <w:r>
              <w:rPr>
                <w:rFonts w:hint="eastAsia"/>
                <w:color w:val="auto"/>
                <w:kern w:val="21"/>
                <w:sz w:val="24"/>
              </w:rPr>
              <w:t>r</w:t>
            </w:r>
            <w:r>
              <w:rPr>
                <w:rFonts w:hint="eastAsia" w:hAnsi="宋体" w:cs="宋体"/>
                <w:color w:val="auto"/>
                <w:kern w:val="21"/>
                <w:sz w:val="24"/>
              </w:rPr>
              <w:t>—</w:t>
            </w:r>
            <w:r>
              <w:rPr>
                <w:rFonts w:hint="eastAsia"/>
                <w:color w:val="auto"/>
                <w:kern w:val="21"/>
                <w:sz w:val="24"/>
              </w:rPr>
              <w:t>声源到靠近围护结构某点处的距离，m。</w:t>
            </w:r>
          </w:p>
          <w:p w14:paraId="39450D67">
            <w:pPr>
              <w:pStyle w:val="116"/>
              <w:rPr>
                <w:color w:val="auto"/>
                <w:kern w:val="21"/>
                <w:sz w:val="24"/>
              </w:rPr>
            </w:pPr>
            <w:r>
              <w:rPr>
                <w:rFonts w:hint="eastAsia"/>
                <w:color w:val="auto"/>
                <w:kern w:val="21"/>
                <w:sz w:val="24"/>
              </w:rPr>
              <w:t>③按下式</w:t>
            </w:r>
            <w:r>
              <w:rPr>
                <w:color w:val="auto"/>
                <w:kern w:val="21"/>
                <w:sz w:val="24"/>
              </w:rPr>
              <w:t>计算出所有室内声源在靠近围护结构处产生的</w:t>
            </w:r>
            <w:r>
              <w:rPr>
                <w:rFonts w:hint="eastAsia"/>
                <w:color w:val="auto"/>
                <w:kern w:val="21"/>
                <w:sz w:val="24"/>
              </w:rPr>
              <w:t>i</w:t>
            </w:r>
            <w:r>
              <w:rPr>
                <w:color w:val="auto"/>
                <w:kern w:val="21"/>
                <w:sz w:val="24"/>
              </w:rPr>
              <w:t>倍频带</w:t>
            </w:r>
            <w:r>
              <w:rPr>
                <w:rFonts w:hint="eastAsia"/>
                <w:color w:val="auto"/>
                <w:kern w:val="21"/>
                <w:sz w:val="24"/>
              </w:rPr>
              <w:t>叠加</w:t>
            </w:r>
            <w:r>
              <w:rPr>
                <w:color w:val="auto"/>
                <w:kern w:val="21"/>
                <w:sz w:val="24"/>
              </w:rPr>
              <w:t>声压级：</w:t>
            </w:r>
          </w:p>
          <w:p w14:paraId="7A97089C">
            <w:pPr>
              <w:spacing w:line="360" w:lineRule="auto"/>
              <w:ind w:firstLine="480"/>
              <w:jc w:val="center"/>
              <w:rPr>
                <w:rFonts w:hint="eastAsia"/>
                <w:color w:val="auto"/>
                <w:kern w:val="21"/>
                <w:sz w:val="24"/>
              </w:rPr>
            </w:pPr>
            <w:r>
              <w:rPr>
                <w:color w:val="auto"/>
                <w:kern w:val="21"/>
                <w:sz w:val="24"/>
              </w:rPr>
              <w:drawing>
                <wp:inline distT="0" distB="0" distL="114300" distR="114300">
                  <wp:extent cx="2047875" cy="628650"/>
                  <wp:effectExtent l="0" t="0" r="9525" b="0"/>
                  <wp:docPr id="8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1"/>
                          <pic:cNvPicPr>
                            <a:picLocks noChangeAspect="1"/>
                          </pic:cNvPicPr>
                        </pic:nvPicPr>
                        <pic:blipFill>
                          <a:blip r:embed="rId31"/>
                          <a:stretch>
                            <a:fillRect/>
                          </a:stretch>
                        </pic:blipFill>
                        <pic:spPr>
                          <a:xfrm>
                            <a:off x="0" y="0"/>
                            <a:ext cx="2047875" cy="628650"/>
                          </a:xfrm>
                          <a:prstGeom prst="rect">
                            <a:avLst/>
                          </a:prstGeom>
                          <a:noFill/>
                          <a:ln>
                            <a:noFill/>
                          </a:ln>
                        </pic:spPr>
                      </pic:pic>
                    </a:graphicData>
                  </a:graphic>
                </wp:inline>
              </w:drawing>
            </w:r>
          </w:p>
          <w:p w14:paraId="5CE47ACF">
            <w:pPr>
              <w:pStyle w:val="116"/>
              <w:rPr>
                <w:rFonts w:hint="eastAsia"/>
                <w:color w:val="auto"/>
                <w:kern w:val="21"/>
                <w:sz w:val="24"/>
              </w:rPr>
            </w:pPr>
            <w:r>
              <w:rPr>
                <w:rFonts w:hint="eastAsia"/>
                <w:color w:val="auto"/>
                <w:kern w:val="21"/>
                <w:sz w:val="24"/>
              </w:rPr>
              <w:t>式中：</w:t>
            </w:r>
          </w:p>
          <w:p w14:paraId="186F2185">
            <w:pPr>
              <w:pStyle w:val="116"/>
              <w:rPr>
                <w:rFonts w:hint="eastAsia"/>
                <w:color w:val="auto"/>
                <w:kern w:val="21"/>
                <w:sz w:val="24"/>
              </w:rPr>
            </w:pPr>
            <w:r>
              <w:rPr>
                <w:rFonts w:hint="eastAsia"/>
                <w:color w:val="auto"/>
                <w:kern w:val="21"/>
                <w:sz w:val="24"/>
              </w:rPr>
              <w:t>L</w:t>
            </w:r>
            <w:r>
              <w:rPr>
                <w:rFonts w:hint="eastAsia"/>
                <w:color w:val="auto"/>
                <w:kern w:val="21"/>
                <w:sz w:val="24"/>
                <w:vertAlign w:val="subscript"/>
              </w:rPr>
              <w:t>p1i</w:t>
            </w:r>
            <w:r>
              <w:rPr>
                <w:rFonts w:hint="eastAsia"/>
                <w:color w:val="auto"/>
                <w:kern w:val="21"/>
                <w:sz w:val="24"/>
              </w:rPr>
              <w:t>（T）</w:t>
            </w:r>
            <w:r>
              <w:rPr>
                <w:rFonts w:hint="eastAsia" w:hAnsi="宋体" w:cs="宋体"/>
                <w:color w:val="auto"/>
                <w:kern w:val="21"/>
                <w:sz w:val="24"/>
              </w:rPr>
              <w:t>—</w:t>
            </w:r>
            <w:r>
              <w:rPr>
                <w:rFonts w:hint="eastAsia"/>
                <w:color w:val="auto"/>
                <w:kern w:val="21"/>
                <w:sz w:val="24"/>
              </w:rPr>
              <w:t>靠近围护结构处室内N个声源i倍频带的叠加声压级，dB；</w:t>
            </w:r>
          </w:p>
          <w:p w14:paraId="7FFDEF73">
            <w:pPr>
              <w:pStyle w:val="116"/>
              <w:rPr>
                <w:rFonts w:hint="eastAsia"/>
                <w:color w:val="auto"/>
                <w:kern w:val="21"/>
                <w:sz w:val="24"/>
              </w:rPr>
            </w:pPr>
            <w:r>
              <w:rPr>
                <w:rFonts w:hint="eastAsia"/>
                <w:color w:val="auto"/>
                <w:kern w:val="21"/>
                <w:sz w:val="24"/>
              </w:rPr>
              <w:t>L</w:t>
            </w:r>
            <w:r>
              <w:rPr>
                <w:rFonts w:hint="eastAsia"/>
                <w:color w:val="auto"/>
                <w:kern w:val="21"/>
                <w:sz w:val="24"/>
                <w:vertAlign w:val="subscript"/>
              </w:rPr>
              <w:t>p1ij</w:t>
            </w:r>
            <w:r>
              <w:rPr>
                <w:rFonts w:hint="eastAsia" w:hAnsi="宋体" w:cs="宋体"/>
                <w:color w:val="auto"/>
                <w:kern w:val="21"/>
                <w:sz w:val="24"/>
              </w:rPr>
              <w:t>—</w:t>
            </w:r>
            <w:r>
              <w:rPr>
                <w:rFonts w:hint="eastAsia"/>
                <w:color w:val="auto"/>
                <w:kern w:val="21"/>
                <w:sz w:val="24"/>
              </w:rPr>
              <w:t>室内j声源i倍频带的声压级，dB；</w:t>
            </w:r>
          </w:p>
          <w:p w14:paraId="20105D58">
            <w:pPr>
              <w:pStyle w:val="116"/>
              <w:rPr>
                <w:rFonts w:hint="eastAsia"/>
                <w:color w:val="auto"/>
                <w:kern w:val="21"/>
                <w:sz w:val="24"/>
              </w:rPr>
            </w:pPr>
            <w:r>
              <w:rPr>
                <w:rFonts w:hint="eastAsia"/>
                <w:color w:val="auto"/>
                <w:kern w:val="21"/>
                <w:sz w:val="24"/>
              </w:rPr>
              <w:t>N</w:t>
            </w:r>
            <w:r>
              <w:rPr>
                <w:rFonts w:hint="eastAsia" w:hAnsi="宋体" w:cs="宋体"/>
                <w:color w:val="auto"/>
                <w:kern w:val="21"/>
                <w:sz w:val="24"/>
              </w:rPr>
              <w:t>—</w:t>
            </w:r>
            <w:r>
              <w:rPr>
                <w:rFonts w:hint="eastAsia"/>
                <w:color w:val="auto"/>
                <w:kern w:val="21"/>
                <w:sz w:val="24"/>
              </w:rPr>
              <w:t>室内声源总数。</w:t>
            </w:r>
          </w:p>
          <w:p w14:paraId="288CE1A1">
            <w:pPr>
              <w:pStyle w:val="116"/>
              <w:rPr>
                <w:rFonts w:hint="eastAsia"/>
                <w:color w:val="auto"/>
                <w:kern w:val="21"/>
                <w:sz w:val="24"/>
              </w:rPr>
            </w:pPr>
            <w:r>
              <w:rPr>
                <w:rFonts w:hint="eastAsia"/>
                <w:color w:val="auto"/>
                <w:kern w:val="21"/>
                <w:sz w:val="24"/>
              </w:rPr>
              <w:t>④</w:t>
            </w:r>
            <w:r>
              <w:rPr>
                <w:color w:val="auto"/>
                <w:kern w:val="21"/>
                <w:sz w:val="24"/>
              </w:rPr>
              <w:t>在室内近似为扩散声场时，按</w:t>
            </w:r>
            <w:r>
              <w:rPr>
                <w:rFonts w:hint="eastAsia"/>
                <w:color w:val="auto"/>
                <w:kern w:val="21"/>
                <w:sz w:val="24"/>
              </w:rPr>
              <w:t>下</w:t>
            </w:r>
            <w:r>
              <w:rPr>
                <w:color w:val="auto"/>
                <w:kern w:val="21"/>
                <w:sz w:val="24"/>
              </w:rPr>
              <w:t>式</w:t>
            </w:r>
            <w:r>
              <w:rPr>
                <w:rFonts w:hint="eastAsia"/>
                <w:color w:val="auto"/>
                <w:kern w:val="21"/>
                <w:sz w:val="24"/>
              </w:rPr>
              <w:t>计算出室外靠近围护结构处的声压级：</w:t>
            </w:r>
          </w:p>
          <w:p w14:paraId="4293A359">
            <w:pPr>
              <w:spacing w:line="360" w:lineRule="auto"/>
              <w:ind w:firstLine="480"/>
              <w:jc w:val="center"/>
              <w:rPr>
                <w:rFonts w:hint="eastAsia"/>
                <w:color w:val="auto"/>
                <w:kern w:val="21"/>
                <w:sz w:val="24"/>
              </w:rPr>
            </w:pPr>
            <w:r>
              <w:rPr>
                <w:color w:val="auto"/>
                <w:kern w:val="21"/>
                <w:sz w:val="24"/>
              </w:rPr>
              <w:drawing>
                <wp:inline distT="0" distB="0" distL="114300" distR="114300">
                  <wp:extent cx="2085975" cy="333375"/>
                  <wp:effectExtent l="0" t="0" r="9525" b="9525"/>
                  <wp:docPr id="8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2"/>
                          <pic:cNvPicPr>
                            <a:picLocks noChangeAspect="1"/>
                          </pic:cNvPicPr>
                        </pic:nvPicPr>
                        <pic:blipFill>
                          <a:blip r:embed="rId32"/>
                          <a:stretch>
                            <a:fillRect/>
                          </a:stretch>
                        </pic:blipFill>
                        <pic:spPr>
                          <a:xfrm>
                            <a:off x="0" y="0"/>
                            <a:ext cx="2085975" cy="333375"/>
                          </a:xfrm>
                          <a:prstGeom prst="rect">
                            <a:avLst/>
                          </a:prstGeom>
                          <a:noFill/>
                          <a:ln>
                            <a:noFill/>
                          </a:ln>
                        </pic:spPr>
                      </pic:pic>
                    </a:graphicData>
                  </a:graphic>
                </wp:inline>
              </w:drawing>
            </w:r>
          </w:p>
          <w:p w14:paraId="30DA9783">
            <w:pPr>
              <w:pStyle w:val="116"/>
              <w:rPr>
                <w:rFonts w:hint="eastAsia"/>
                <w:color w:val="auto"/>
                <w:kern w:val="21"/>
                <w:sz w:val="24"/>
              </w:rPr>
            </w:pPr>
            <w:r>
              <w:rPr>
                <w:rFonts w:hint="eastAsia"/>
                <w:color w:val="auto"/>
                <w:kern w:val="21"/>
                <w:sz w:val="24"/>
              </w:rPr>
              <w:t>式中：</w:t>
            </w:r>
          </w:p>
          <w:p w14:paraId="5455CC05">
            <w:pPr>
              <w:pStyle w:val="116"/>
              <w:rPr>
                <w:rFonts w:hint="eastAsia"/>
                <w:color w:val="auto"/>
                <w:kern w:val="21"/>
                <w:sz w:val="24"/>
              </w:rPr>
            </w:pPr>
            <w:r>
              <w:rPr>
                <w:rFonts w:hint="eastAsia"/>
                <w:color w:val="auto"/>
                <w:kern w:val="21"/>
                <w:sz w:val="24"/>
              </w:rPr>
              <w:t>L</w:t>
            </w:r>
            <w:r>
              <w:rPr>
                <w:rFonts w:hint="eastAsia"/>
                <w:color w:val="auto"/>
                <w:kern w:val="21"/>
                <w:sz w:val="24"/>
                <w:vertAlign w:val="subscript"/>
              </w:rPr>
              <w:t>p2i</w:t>
            </w:r>
            <w:r>
              <w:rPr>
                <w:rFonts w:hint="eastAsia"/>
                <w:color w:val="auto"/>
                <w:kern w:val="21"/>
                <w:sz w:val="24"/>
              </w:rPr>
              <w:t>（T）</w:t>
            </w:r>
            <w:r>
              <w:rPr>
                <w:rFonts w:hint="eastAsia" w:hAnsi="宋体" w:cs="宋体"/>
                <w:color w:val="auto"/>
                <w:kern w:val="21"/>
                <w:sz w:val="24"/>
              </w:rPr>
              <w:t>—</w:t>
            </w:r>
            <w:r>
              <w:rPr>
                <w:rFonts w:hint="eastAsia"/>
                <w:color w:val="auto"/>
                <w:kern w:val="21"/>
                <w:sz w:val="24"/>
              </w:rPr>
              <w:t>靠近围护结构处室外N个声源i倍频带的叠加声压级，dB；</w:t>
            </w:r>
          </w:p>
          <w:p w14:paraId="53E59128">
            <w:pPr>
              <w:pStyle w:val="116"/>
              <w:rPr>
                <w:rFonts w:hint="eastAsia"/>
                <w:color w:val="auto"/>
                <w:kern w:val="21"/>
                <w:sz w:val="24"/>
              </w:rPr>
            </w:pPr>
            <w:r>
              <w:rPr>
                <w:rFonts w:hint="eastAsia"/>
                <w:color w:val="auto"/>
                <w:kern w:val="21"/>
                <w:sz w:val="24"/>
              </w:rPr>
              <w:t>L</w:t>
            </w:r>
            <w:r>
              <w:rPr>
                <w:rFonts w:hint="eastAsia"/>
                <w:color w:val="auto"/>
                <w:kern w:val="21"/>
                <w:sz w:val="24"/>
                <w:vertAlign w:val="subscript"/>
              </w:rPr>
              <w:t>p1i</w:t>
            </w:r>
            <w:r>
              <w:rPr>
                <w:rFonts w:hint="eastAsia"/>
                <w:color w:val="auto"/>
                <w:kern w:val="21"/>
                <w:sz w:val="24"/>
              </w:rPr>
              <w:t>（T）</w:t>
            </w:r>
            <w:r>
              <w:rPr>
                <w:rFonts w:hint="eastAsia" w:hAnsi="宋体" w:cs="宋体"/>
                <w:color w:val="auto"/>
                <w:kern w:val="21"/>
                <w:sz w:val="24"/>
              </w:rPr>
              <w:t>—</w:t>
            </w:r>
            <w:r>
              <w:rPr>
                <w:rFonts w:hint="eastAsia"/>
                <w:color w:val="auto"/>
                <w:kern w:val="21"/>
                <w:sz w:val="24"/>
              </w:rPr>
              <w:t>靠近围护结构处室内N个声源i倍频带的叠加声压级，dB；</w:t>
            </w:r>
          </w:p>
          <w:p w14:paraId="3580B441">
            <w:pPr>
              <w:pStyle w:val="116"/>
              <w:rPr>
                <w:rFonts w:hint="eastAsia"/>
                <w:color w:val="auto"/>
                <w:kern w:val="21"/>
                <w:sz w:val="24"/>
              </w:rPr>
            </w:pPr>
            <w:r>
              <w:rPr>
                <w:rFonts w:hint="eastAsia"/>
                <w:color w:val="auto"/>
                <w:kern w:val="21"/>
                <w:sz w:val="24"/>
              </w:rPr>
              <w:t>TL</w:t>
            </w:r>
            <w:r>
              <w:rPr>
                <w:rFonts w:hint="eastAsia"/>
                <w:color w:val="auto"/>
                <w:kern w:val="21"/>
                <w:sz w:val="24"/>
                <w:vertAlign w:val="subscript"/>
              </w:rPr>
              <w:t>i</w:t>
            </w:r>
            <w:r>
              <w:rPr>
                <w:rFonts w:hint="eastAsia" w:hAnsi="宋体" w:cs="宋体"/>
                <w:color w:val="auto"/>
                <w:kern w:val="21"/>
                <w:sz w:val="24"/>
              </w:rPr>
              <w:t>—</w:t>
            </w:r>
            <w:r>
              <w:rPr>
                <w:rFonts w:hint="eastAsia"/>
                <w:color w:val="auto"/>
                <w:kern w:val="21"/>
                <w:sz w:val="24"/>
              </w:rPr>
              <w:t>围护结构i倍频带的隔声量，dB。</w:t>
            </w:r>
          </w:p>
          <w:p w14:paraId="7DD17DC6">
            <w:pPr>
              <w:pStyle w:val="116"/>
              <w:rPr>
                <w:color w:val="auto"/>
                <w:kern w:val="21"/>
                <w:sz w:val="24"/>
              </w:rPr>
            </w:pPr>
            <w:r>
              <w:rPr>
                <w:rFonts w:hint="eastAsia"/>
                <w:color w:val="auto"/>
                <w:kern w:val="21"/>
                <w:sz w:val="24"/>
              </w:rPr>
              <w:t>（</w:t>
            </w:r>
            <w:r>
              <w:rPr>
                <w:rFonts w:hint="eastAsia"/>
                <w:color w:val="auto"/>
                <w:kern w:val="21"/>
                <w:sz w:val="24"/>
                <w:lang w:val="en-US" w:eastAsia="zh-CN"/>
              </w:rPr>
              <w:t>3</w:t>
            </w:r>
            <w:r>
              <w:rPr>
                <w:rFonts w:hint="eastAsia"/>
                <w:color w:val="auto"/>
                <w:kern w:val="21"/>
                <w:sz w:val="24"/>
              </w:rPr>
              <w:t>）</w:t>
            </w:r>
            <w:r>
              <w:rPr>
                <w:rFonts w:ascii="宋体" w:hAnsi="宋体"/>
                <w:color w:val="auto"/>
                <w:kern w:val="21"/>
                <w:sz w:val="24"/>
              </w:rPr>
              <w:t>预测点的</w:t>
            </w:r>
            <w:r>
              <w:rPr>
                <w:rFonts w:eastAsia="Times New Roman"/>
                <w:color w:val="auto"/>
                <w:kern w:val="21"/>
                <w:sz w:val="24"/>
              </w:rPr>
              <w:t>A</w:t>
            </w:r>
            <w:r>
              <w:rPr>
                <w:rFonts w:hint="eastAsia"/>
                <w:color w:val="auto"/>
                <w:kern w:val="21"/>
                <w:sz w:val="24"/>
              </w:rPr>
              <w:t>声级</w:t>
            </w:r>
            <w:r>
              <w:rPr>
                <w:rFonts w:eastAsia="Times New Roman"/>
                <w:i/>
                <w:color w:val="auto"/>
                <w:kern w:val="21"/>
                <w:sz w:val="24"/>
              </w:rPr>
              <w:t>L</w:t>
            </w:r>
            <w:r>
              <w:rPr>
                <w:rFonts w:eastAsia="Times New Roman"/>
                <w:color w:val="auto"/>
                <w:kern w:val="21"/>
                <w:sz w:val="24"/>
                <w:vertAlign w:val="subscript"/>
              </w:rPr>
              <w:t>A</w:t>
            </w:r>
            <w:r>
              <w:rPr>
                <w:rFonts w:hint="eastAsia"/>
                <w:color w:val="auto"/>
                <w:kern w:val="21"/>
                <w:sz w:val="24"/>
              </w:rPr>
              <w:t>（</w:t>
            </w:r>
            <w:r>
              <w:rPr>
                <w:rFonts w:eastAsia="Times New Roman"/>
                <w:i/>
                <w:color w:val="auto"/>
                <w:kern w:val="21"/>
                <w:sz w:val="24"/>
              </w:rPr>
              <w:t>r</w:t>
            </w:r>
            <w:r>
              <w:rPr>
                <w:rFonts w:hint="eastAsia"/>
                <w:color w:val="auto"/>
                <w:kern w:val="21"/>
                <w:sz w:val="24"/>
              </w:rPr>
              <w:t>）</w:t>
            </w:r>
            <w:r>
              <w:rPr>
                <w:rFonts w:ascii="宋体" w:hAnsi="宋体"/>
                <w:color w:val="auto"/>
                <w:kern w:val="21"/>
                <w:sz w:val="24"/>
              </w:rPr>
              <w:t>可按</w:t>
            </w:r>
            <w:r>
              <w:rPr>
                <w:rFonts w:hint="eastAsia" w:ascii="宋体" w:hAnsi="宋体"/>
                <w:color w:val="auto"/>
                <w:kern w:val="21"/>
                <w:sz w:val="24"/>
              </w:rPr>
              <w:t>下式</w:t>
            </w:r>
            <w:r>
              <w:rPr>
                <w:rFonts w:ascii="宋体" w:hAnsi="宋体"/>
                <w:color w:val="auto"/>
                <w:kern w:val="21"/>
                <w:sz w:val="24"/>
              </w:rPr>
              <w:t>计算，即将</w:t>
            </w:r>
            <w:r>
              <w:rPr>
                <w:rFonts w:eastAsia="Times New Roman"/>
                <w:color w:val="auto"/>
                <w:kern w:val="21"/>
                <w:sz w:val="24"/>
              </w:rPr>
              <w:t>8</w:t>
            </w:r>
            <w:r>
              <w:rPr>
                <w:rFonts w:ascii="宋体" w:hAnsi="宋体"/>
                <w:color w:val="auto"/>
                <w:kern w:val="21"/>
                <w:sz w:val="24"/>
              </w:rPr>
              <w:t>个倍频带声压级合成，计算出预测点的</w:t>
            </w:r>
            <w:r>
              <w:rPr>
                <w:rFonts w:eastAsia="Times New Roman"/>
                <w:color w:val="auto"/>
                <w:kern w:val="21"/>
                <w:sz w:val="24"/>
              </w:rPr>
              <w:t>A</w:t>
            </w:r>
            <w:r>
              <w:rPr>
                <w:rFonts w:ascii="宋体" w:hAnsi="宋体"/>
                <w:color w:val="auto"/>
                <w:kern w:val="21"/>
                <w:sz w:val="24"/>
              </w:rPr>
              <w:t>声级</w:t>
            </w:r>
            <w:r>
              <w:rPr>
                <w:rFonts w:eastAsia="Times New Roman"/>
                <w:color w:val="auto"/>
                <w:kern w:val="21"/>
                <w:sz w:val="24"/>
              </w:rPr>
              <w:t>[</w:t>
            </w:r>
            <w:r>
              <w:rPr>
                <w:rFonts w:eastAsia="Times New Roman"/>
                <w:i/>
                <w:color w:val="auto"/>
                <w:kern w:val="21"/>
                <w:sz w:val="24"/>
              </w:rPr>
              <w:t>L</w:t>
            </w:r>
            <w:r>
              <w:rPr>
                <w:rFonts w:eastAsia="Times New Roman"/>
                <w:color w:val="auto"/>
                <w:kern w:val="21"/>
                <w:sz w:val="24"/>
                <w:vertAlign w:val="subscript"/>
              </w:rPr>
              <w:t>A</w:t>
            </w:r>
            <w:r>
              <w:rPr>
                <w:rFonts w:hint="eastAsia"/>
                <w:color w:val="auto"/>
                <w:kern w:val="21"/>
                <w:sz w:val="24"/>
              </w:rPr>
              <w:t>（</w:t>
            </w:r>
            <w:r>
              <w:rPr>
                <w:rFonts w:eastAsia="Times New Roman"/>
                <w:i/>
                <w:color w:val="auto"/>
                <w:kern w:val="21"/>
                <w:sz w:val="24"/>
              </w:rPr>
              <w:t>r</w:t>
            </w:r>
            <w:r>
              <w:rPr>
                <w:rFonts w:hint="eastAsia"/>
                <w:color w:val="auto"/>
                <w:kern w:val="21"/>
                <w:sz w:val="24"/>
              </w:rPr>
              <w:t>）</w:t>
            </w:r>
            <w:r>
              <w:rPr>
                <w:rFonts w:eastAsia="Times New Roman"/>
                <w:color w:val="auto"/>
                <w:kern w:val="21"/>
                <w:sz w:val="24"/>
              </w:rPr>
              <w:t>]</w:t>
            </w:r>
            <w:r>
              <w:rPr>
                <w:rFonts w:ascii="宋体" w:hAnsi="宋体"/>
                <w:color w:val="auto"/>
                <w:kern w:val="21"/>
                <w:sz w:val="24"/>
              </w:rPr>
              <w:t>。</w:t>
            </w:r>
          </w:p>
          <w:p w14:paraId="04039748">
            <w:pPr>
              <w:spacing w:line="360" w:lineRule="auto"/>
              <w:ind w:firstLine="1778" w:firstLineChars="738"/>
              <w:rPr>
                <w:b/>
                <w:color w:val="auto"/>
                <w:kern w:val="21"/>
                <w:sz w:val="24"/>
              </w:rPr>
            </w:pPr>
            <w:r>
              <w:rPr>
                <w:b/>
                <w:color w:val="auto"/>
                <w:kern w:val="21"/>
                <w:sz w:val="24"/>
              </w:rPr>
              <w:drawing>
                <wp:inline distT="0" distB="0" distL="114300" distR="114300">
                  <wp:extent cx="1935480" cy="419100"/>
                  <wp:effectExtent l="0" t="0" r="7620" b="0"/>
                  <wp:docPr id="8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3"/>
                          <pic:cNvPicPr>
                            <a:picLocks noChangeAspect="1"/>
                          </pic:cNvPicPr>
                        </pic:nvPicPr>
                        <pic:blipFill>
                          <a:blip r:embed="rId33"/>
                          <a:stretch>
                            <a:fillRect/>
                          </a:stretch>
                        </pic:blipFill>
                        <pic:spPr>
                          <a:xfrm>
                            <a:off x="0" y="0"/>
                            <a:ext cx="1935480" cy="419100"/>
                          </a:xfrm>
                          <a:prstGeom prst="rect">
                            <a:avLst/>
                          </a:prstGeom>
                          <a:noFill/>
                          <a:ln>
                            <a:noFill/>
                          </a:ln>
                        </pic:spPr>
                      </pic:pic>
                    </a:graphicData>
                  </a:graphic>
                </wp:inline>
              </w:drawing>
            </w:r>
          </w:p>
          <w:p w14:paraId="7139D463">
            <w:pPr>
              <w:spacing w:line="360" w:lineRule="auto"/>
              <w:ind w:firstLine="480"/>
              <w:rPr>
                <w:rFonts w:hint="eastAsia"/>
                <w:color w:val="auto"/>
                <w:kern w:val="21"/>
                <w:sz w:val="24"/>
              </w:rPr>
            </w:pPr>
            <w:r>
              <w:rPr>
                <w:rFonts w:hint="eastAsia"/>
                <w:color w:val="auto"/>
                <w:kern w:val="21"/>
                <w:sz w:val="24"/>
              </w:rPr>
              <w:t>式中：</w:t>
            </w:r>
          </w:p>
          <w:p w14:paraId="34890A3C">
            <w:pPr>
              <w:pStyle w:val="116"/>
              <w:rPr>
                <w:rFonts w:hint="eastAsia"/>
                <w:color w:val="auto"/>
                <w:kern w:val="21"/>
                <w:sz w:val="24"/>
              </w:rPr>
            </w:pPr>
            <w:r>
              <w:rPr>
                <w:color w:val="auto"/>
                <w:kern w:val="21"/>
                <w:sz w:val="24"/>
              </w:rPr>
              <w:t>LA</w:t>
            </w:r>
            <w:r>
              <w:rPr>
                <w:rFonts w:hint="eastAsia"/>
                <w:color w:val="auto"/>
                <w:kern w:val="21"/>
                <w:sz w:val="24"/>
              </w:rPr>
              <w:t>（</w:t>
            </w:r>
            <w:r>
              <w:rPr>
                <w:color w:val="auto"/>
                <w:kern w:val="21"/>
                <w:sz w:val="24"/>
              </w:rPr>
              <w:t>r</w:t>
            </w:r>
            <w:r>
              <w:rPr>
                <w:rFonts w:hint="eastAsia"/>
                <w:color w:val="auto"/>
                <w:kern w:val="21"/>
                <w:sz w:val="24"/>
              </w:rPr>
              <w:t>）—</w:t>
            </w:r>
            <w:r>
              <w:rPr>
                <w:color w:val="auto"/>
                <w:kern w:val="21"/>
                <w:sz w:val="24"/>
              </w:rPr>
              <w:t>距声源r处的A声级，dB</w:t>
            </w:r>
            <w:r>
              <w:rPr>
                <w:rFonts w:hint="eastAsia"/>
                <w:color w:val="auto"/>
                <w:kern w:val="21"/>
                <w:sz w:val="24"/>
              </w:rPr>
              <w:t>（</w:t>
            </w:r>
            <w:r>
              <w:rPr>
                <w:color w:val="auto"/>
                <w:kern w:val="21"/>
                <w:sz w:val="24"/>
              </w:rPr>
              <w:t>A</w:t>
            </w:r>
            <w:r>
              <w:rPr>
                <w:rFonts w:hint="eastAsia"/>
                <w:color w:val="auto"/>
                <w:kern w:val="21"/>
                <w:sz w:val="24"/>
              </w:rPr>
              <w:t>）</w:t>
            </w:r>
            <w:r>
              <w:rPr>
                <w:color w:val="auto"/>
                <w:kern w:val="21"/>
                <w:sz w:val="24"/>
              </w:rPr>
              <w:t>；</w:t>
            </w:r>
          </w:p>
          <w:p w14:paraId="40BA18D7">
            <w:pPr>
              <w:pStyle w:val="116"/>
              <w:rPr>
                <w:rFonts w:hint="eastAsia"/>
                <w:color w:val="auto"/>
                <w:kern w:val="21"/>
                <w:sz w:val="24"/>
              </w:rPr>
            </w:pPr>
            <w:r>
              <w:rPr>
                <w:rFonts w:hint="eastAsia"/>
                <w:color w:val="auto"/>
                <w:kern w:val="21"/>
                <w:sz w:val="24"/>
              </w:rPr>
              <w:t>Lpi（r）—预测点（r）处，第i倍频带声压级，dB；</w:t>
            </w:r>
          </w:p>
          <w:p w14:paraId="0162D3AE">
            <w:pPr>
              <w:pStyle w:val="116"/>
              <w:rPr>
                <w:rFonts w:hint="eastAsia"/>
                <w:color w:val="auto"/>
                <w:kern w:val="21"/>
                <w:sz w:val="24"/>
              </w:rPr>
            </w:pPr>
            <w:r>
              <w:rPr>
                <w:rFonts w:hint="eastAsia"/>
                <w:color w:val="auto"/>
                <w:kern w:val="21"/>
                <w:sz w:val="24"/>
              </w:rPr>
              <w:t>△Li—i倍频带A计算网络修正值，dB（根据导则附录B计算）。</w:t>
            </w:r>
          </w:p>
          <w:p w14:paraId="342279D9">
            <w:pPr>
              <w:pStyle w:val="116"/>
              <w:rPr>
                <w:rFonts w:hint="eastAsia"/>
                <w:color w:val="auto"/>
                <w:kern w:val="21"/>
                <w:sz w:val="24"/>
              </w:rPr>
            </w:pPr>
            <w:r>
              <w:rPr>
                <w:rFonts w:hint="eastAsia"/>
                <w:color w:val="auto"/>
                <w:kern w:val="21"/>
                <w:sz w:val="24"/>
              </w:rPr>
              <w:t>衰减项计算按导则附录A中A.3相关模式计算。</w:t>
            </w:r>
          </w:p>
          <w:p w14:paraId="3AD25A9C">
            <w:pPr>
              <w:pStyle w:val="116"/>
              <w:rPr>
                <w:rFonts w:hint="eastAsia"/>
                <w:color w:val="auto"/>
                <w:kern w:val="21"/>
                <w:sz w:val="24"/>
              </w:rPr>
            </w:pPr>
            <w:r>
              <w:rPr>
                <w:rFonts w:hint="eastAsia"/>
                <w:color w:val="auto"/>
                <w:kern w:val="21"/>
                <w:sz w:val="24"/>
              </w:rPr>
              <w:t>（</w:t>
            </w:r>
            <w:r>
              <w:rPr>
                <w:rFonts w:hint="eastAsia"/>
                <w:color w:val="auto"/>
                <w:kern w:val="21"/>
                <w:sz w:val="24"/>
                <w:lang w:val="en-US" w:eastAsia="zh-CN"/>
              </w:rPr>
              <w:t>4</w:t>
            </w:r>
            <w:r>
              <w:rPr>
                <w:rFonts w:hint="eastAsia"/>
                <w:color w:val="auto"/>
                <w:kern w:val="21"/>
                <w:sz w:val="24"/>
              </w:rPr>
              <w:t>）噪声贡献值计算</w:t>
            </w:r>
          </w:p>
          <w:p w14:paraId="1AA5ECE8">
            <w:pPr>
              <w:pStyle w:val="116"/>
              <w:rPr>
                <w:color w:val="auto"/>
                <w:kern w:val="21"/>
                <w:sz w:val="24"/>
              </w:rPr>
            </w:pPr>
            <w:r>
              <w:rPr>
                <w:rFonts w:hint="eastAsia"/>
                <w:color w:val="auto"/>
                <w:kern w:val="21"/>
                <w:sz w:val="24"/>
              </w:rPr>
              <w:t>设第</w:t>
            </w:r>
            <w:r>
              <w:rPr>
                <w:color w:val="auto"/>
                <w:kern w:val="21"/>
                <w:sz w:val="24"/>
              </w:rPr>
              <w:t>i</w:t>
            </w:r>
            <w:r>
              <w:rPr>
                <w:rFonts w:hint="eastAsia"/>
                <w:color w:val="auto"/>
                <w:kern w:val="21"/>
                <w:sz w:val="24"/>
              </w:rPr>
              <w:t>个室外声源在预测点产生的</w:t>
            </w:r>
            <w:r>
              <w:rPr>
                <w:color w:val="auto"/>
                <w:kern w:val="21"/>
                <w:sz w:val="24"/>
              </w:rPr>
              <w:t>A</w:t>
            </w:r>
            <w:r>
              <w:rPr>
                <w:rFonts w:hint="eastAsia"/>
                <w:color w:val="auto"/>
                <w:kern w:val="21"/>
                <w:sz w:val="24"/>
              </w:rPr>
              <w:t>声级为</w:t>
            </w:r>
            <w:r>
              <w:rPr>
                <w:color w:val="auto"/>
                <w:kern w:val="21"/>
                <w:sz w:val="24"/>
              </w:rPr>
              <w:t>L</w:t>
            </w:r>
            <w:r>
              <w:rPr>
                <w:color w:val="auto"/>
                <w:kern w:val="21"/>
                <w:sz w:val="24"/>
                <w:vertAlign w:val="subscript"/>
              </w:rPr>
              <w:t>Ai</w:t>
            </w:r>
            <w:r>
              <w:rPr>
                <w:rFonts w:hint="eastAsia"/>
                <w:color w:val="auto"/>
                <w:kern w:val="21"/>
                <w:sz w:val="24"/>
              </w:rPr>
              <w:t>，在</w:t>
            </w:r>
            <w:r>
              <w:rPr>
                <w:color w:val="auto"/>
                <w:kern w:val="21"/>
                <w:sz w:val="24"/>
              </w:rPr>
              <w:t>T</w:t>
            </w:r>
            <w:r>
              <w:rPr>
                <w:rFonts w:hint="eastAsia"/>
                <w:color w:val="auto"/>
                <w:kern w:val="21"/>
                <w:sz w:val="24"/>
              </w:rPr>
              <w:t>时间内该声源工作时间为</w:t>
            </w:r>
            <w:r>
              <w:rPr>
                <w:color w:val="auto"/>
                <w:kern w:val="21"/>
                <w:sz w:val="24"/>
              </w:rPr>
              <w:t>t</w:t>
            </w:r>
            <w:r>
              <w:rPr>
                <w:color w:val="auto"/>
                <w:kern w:val="21"/>
                <w:sz w:val="24"/>
                <w:vertAlign w:val="subscript"/>
              </w:rPr>
              <w:t>i</w:t>
            </w:r>
            <w:r>
              <w:rPr>
                <w:rFonts w:hint="eastAsia"/>
                <w:color w:val="auto"/>
                <w:kern w:val="21"/>
                <w:sz w:val="24"/>
              </w:rPr>
              <w:t>；第</w:t>
            </w:r>
            <w:r>
              <w:rPr>
                <w:color w:val="auto"/>
                <w:kern w:val="21"/>
                <w:sz w:val="24"/>
              </w:rPr>
              <w:t>j</w:t>
            </w:r>
            <w:r>
              <w:rPr>
                <w:rFonts w:hint="eastAsia"/>
                <w:color w:val="auto"/>
                <w:kern w:val="21"/>
                <w:sz w:val="24"/>
              </w:rPr>
              <w:t>个等效室外声源在预测点产生的</w:t>
            </w:r>
            <w:r>
              <w:rPr>
                <w:color w:val="auto"/>
                <w:kern w:val="21"/>
                <w:sz w:val="24"/>
              </w:rPr>
              <w:t>A</w:t>
            </w:r>
            <w:r>
              <w:rPr>
                <w:rFonts w:hint="eastAsia"/>
                <w:color w:val="auto"/>
                <w:kern w:val="21"/>
                <w:sz w:val="24"/>
              </w:rPr>
              <w:t>声级为</w:t>
            </w:r>
            <w:r>
              <w:rPr>
                <w:color w:val="auto"/>
                <w:kern w:val="21"/>
                <w:sz w:val="24"/>
              </w:rPr>
              <w:t>L</w:t>
            </w:r>
            <w:r>
              <w:rPr>
                <w:color w:val="auto"/>
                <w:kern w:val="21"/>
                <w:sz w:val="24"/>
                <w:vertAlign w:val="subscript"/>
              </w:rPr>
              <w:t>Aj</w:t>
            </w:r>
            <w:r>
              <w:rPr>
                <w:rFonts w:hint="eastAsia"/>
                <w:color w:val="auto"/>
                <w:kern w:val="21"/>
                <w:sz w:val="24"/>
              </w:rPr>
              <w:t>，在</w:t>
            </w:r>
            <w:r>
              <w:rPr>
                <w:color w:val="auto"/>
                <w:kern w:val="21"/>
                <w:sz w:val="24"/>
              </w:rPr>
              <w:t>T</w:t>
            </w:r>
            <w:r>
              <w:rPr>
                <w:rFonts w:hint="eastAsia"/>
                <w:color w:val="auto"/>
                <w:kern w:val="21"/>
                <w:sz w:val="24"/>
              </w:rPr>
              <w:t>时间内该声源工作时间为</w:t>
            </w:r>
            <w:r>
              <w:rPr>
                <w:color w:val="auto"/>
                <w:kern w:val="21"/>
                <w:sz w:val="24"/>
              </w:rPr>
              <w:t>t</w:t>
            </w:r>
            <w:r>
              <w:rPr>
                <w:color w:val="auto"/>
                <w:kern w:val="21"/>
                <w:sz w:val="24"/>
                <w:vertAlign w:val="subscript"/>
              </w:rPr>
              <w:t xml:space="preserve"> j</w:t>
            </w:r>
            <w:r>
              <w:rPr>
                <w:rFonts w:hint="eastAsia"/>
                <w:color w:val="auto"/>
                <w:kern w:val="21"/>
                <w:sz w:val="24"/>
              </w:rPr>
              <w:t>，则拟建工程声源对预测点产生的贡献值（</w:t>
            </w:r>
            <w:r>
              <w:rPr>
                <w:color w:val="auto"/>
                <w:kern w:val="21"/>
                <w:sz w:val="24"/>
              </w:rPr>
              <w:t>Leqg</w:t>
            </w:r>
            <w:r>
              <w:rPr>
                <w:rFonts w:hint="eastAsia"/>
                <w:color w:val="auto"/>
                <w:kern w:val="21"/>
                <w:sz w:val="24"/>
              </w:rPr>
              <w:t>）为：</w:t>
            </w:r>
          </w:p>
          <w:p w14:paraId="1D689740">
            <w:pPr>
              <w:spacing w:line="360" w:lineRule="auto"/>
              <w:ind w:firstLine="555"/>
              <w:jc w:val="center"/>
              <w:rPr>
                <w:color w:val="auto"/>
                <w:kern w:val="21"/>
                <w:szCs w:val="28"/>
              </w:rPr>
            </w:pPr>
            <w:r>
              <w:rPr>
                <w:color w:val="auto"/>
                <w:kern w:val="21"/>
              </w:rPr>
              <w:drawing>
                <wp:inline distT="0" distB="0" distL="114300" distR="114300">
                  <wp:extent cx="2367280" cy="485775"/>
                  <wp:effectExtent l="0" t="0" r="13970" b="9525"/>
                  <wp:docPr id="8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4"/>
                          <pic:cNvPicPr>
                            <a:picLocks noChangeAspect="1"/>
                          </pic:cNvPicPr>
                        </pic:nvPicPr>
                        <pic:blipFill>
                          <a:blip r:embed="rId34"/>
                          <a:stretch>
                            <a:fillRect/>
                          </a:stretch>
                        </pic:blipFill>
                        <pic:spPr>
                          <a:xfrm>
                            <a:off x="0" y="0"/>
                            <a:ext cx="2367280" cy="485775"/>
                          </a:xfrm>
                          <a:prstGeom prst="rect">
                            <a:avLst/>
                          </a:prstGeom>
                          <a:noFill/>
                          <a:ln>
                            <a:noFill/>
                          </a:ln>
                        </pic:spPr>
                      </pic:pic>
                    </a:graphicData>
                  </a:graphic>
                </wp:inline>
              </w:drawing>
            </w:r>
          </w:p>
          <w:p w14:paraId="6ECDC1F6">
            <w:pPr>
              <w:pStyle w:val="116"/>
              <w:rPr>
                <w:color w:val="auto"/>
                <w:kern w:val="21"/>
                <w:sz w:val="24"/>
              </w:rPr>
            </w:pPr>
            <w:r>
              <w:rPr>
                <w:rFonts w:hint="eastAsia"/>
                <w:color w:val="auto"/>
                <w:kern w:val="21"/>
                <w:sz w:val="24"/>
              </w:rPr>
              <w:t>式中：</w:t>
            </w:r>
            <w:r>
              <w:rPr>
                <w:color w:val="auto"/>
                <w:kern w:val="21"/>
                <w:sz w:val="24"/>
              </w:rPr>
              <w:t>Leqg——</w:t>
            </w:r>
            <w:r>
              <w:rPr>
                <w:rFonts w:hint="eastAsia"/>
                <w:color w:val="auto"/>
                <w:kern w:val="21"/>
                <w:sz w:val="24"/>
              </w:rPr>
              <w:t>建设项目声源在预测点产生的噪声贡献值，</w:t>
            </w:r>
            <w:r>
              <w:rPr>
                <w:color w:val="auto"/>
                <w:kern w:val="21"/>
                <w:sz w:val="24"/>
              </w:rPr>
              <w:t>dB</w:t>
            </w:r>
            <w:r>
              <w:rPr>
                <w:rFonts w:hint="eastAsia"/>
                <w:color w:val="auto"/>
                <w:kern w:val="21"/>
                <w:sz w:val="24"/>
              </w:rPr>
              <w:t>（</w:t>
            </w:r>
            <w:r>
              <w:rPr>
                <w:color w:val="auto"/>
                <w:kern w:val="21"/>
                <w:sz w:val="24"/>
              </w:rPr>
              <w:t>A</w:t>
            </w:r>
            <w:r>
              <w:rPr>
                <w:rFonts w:hint="eastAsia"/>
                <w:color w:val="auto"/>
                <w:kern w:val="21"/>
                <w:sz w:val="24"/>
              </w:rPr>
              <w:t>）；</w:t>
            </w:r>
          </w:p>
          <w:p w14:paraId="26FD6B9C">
            <w:pPr>
              <w:pStyle w:val="116"/>
              <w:ind w:firstLine="1440" w:firstLineChars="600"/>
              <w:rPr>
                <w:color w:val="auto"/>
                <w:kern w:val="21"/>
                <w:sz w:val="24"/>
              </w:rPr>
            </w:pPr>
            <w:r>
              <w:rPr>
                <w:color w:val="auto"/>
                <w:kern w:val="21"/>
                <w:sz w:val="24"/>
              </w:rPr>
              <w:t>T——</w:t>
            </w:r>
            <w:r>
              <w:rPr>
                <w:rFonts w:hint="eastAsia"/>
                <w:color w:val="auto"/>
                <w:kern w:val="21"/>
                <w:sz w:val="24"/>
              </w:rPr>
              <w:t>用于计算等效声级的时间，</w:t>
            </w:r>
            <w:r>
              <w:rPr>
                <w:color w:val="auto"/>
                <w:kern w:val="21"/>
                <w:sz w:val="24"/>
              </w:rPr>
              <w:t>s</w:t>
            </w:r>
            <w:r>
              <w:rPr>
                <w:rFonts w:hint="eastAsia"/>
                <w:color w:val="auto"/>
                <w:kern w:val="21"/>
                <w:sz w:val="24"/>
              </w:rPr>
              <w:t>；</w:t>
            </w:r>
          </w:p>
          <w:p w14:paraId="3C21996D">
            <w:pPr>
              <w:pStyle w:val="116"/>
              <w:ind w:firstLine="1440" w:firstLineChars="600"/>
              <w:rPr>
                <w:color w:val="auto"/>
                <w:kern w:val="21"/>
                <w:sz w:val="24"/>
              </w:rPr>
            </w:pPr>
            <w:r>
              <w:rPr>
                <w:color w:val="auto"/>
                <w:kern w:val="21"/>
                <w:sz w:val="24"/>
              </w:rPr>
              <w:t>N——</w:t>
            </w:r>
            <w:r>
              <w:rPr>
                <w:rFonts w:hint="eastAsia"/>
                <w:color w:val="auto"/>
                <w:kern w:val="21"/>
                <w:sz w:val="24"/>
              </w:rPr>
              <w:t>室外声源个数；</w:t>
            </w:r>
          </w:p>
          <w:p w14:paraId="461E5EA7">
            <w:pPr>
              <w:pStyle w:val="116"/>
              <w:ind w:firstLine="1440" w:firstLineChars="600"/>
              <w:rPr>
                <w:color w:val="auto"/>
                <w:kern w:val="21"/>
                <w:sz w:val="24"/>
              </w:rPr>
            </w:pPr>
            <w:r>
              <w:rPr>
                <w:color w:val="auto"/>
                <w:kern w:val="21"/>
                <w:sz w:val="24"/>
              </w:rPr>
              <w:t>t</w:t>
            </w:r>
            <w:r>
              <w:rPr>
                <w:color w:val="auto"/>
                <w:kern w:val="21"/>
                <w:sz w:val="24"/>
                <w:vertAlign w:val="subscript"/>
              </w:rPr>
              <w:t>i</w:t>
            </w:r>
            <w:r>
              <w:rPr>
                <w:color w:val="auto"/>
                <w:kern w:val="21"/>
                <w:sz w:val="24"/>
              </w:rPr>
              <w:t>——</w:t>
            </w:r>
            <w:r>
              <w:rPr>
                <w:rFonts w:hint="eastAsia"/>
                <w:color w:val="auto"/>
                <w:kern w:val="21"/>
                <w:sz w:val="24"/>
              </w:rPr>
              <w:t>在</w:t>
            </w:r>
            <w:r>
              <w:rPr>
                <w:color w:val="auto"/>
                <w:kern w:val="21"/>
                <w:sz w:val="24"/>
              </w:rPr>
              <w:t>T</w:t>
            </w:r>
            <w:r>
              <w:rPr>
                <w:rFonts w:hint="eastAsia"/>
                <w:color w:val="auto"/>
                <w:kern w:val="21"/>
                <w:sz w:val="24"/>
              </w:rPr>
              <w:t>时间内</w:t>
            </w:r>
            <w:r>
              <w:rPr>
                <w:color w:val="auto"/>
                <w:kern w:val="21"/>
                <w:sz w:val="24"/>
              </w:rPr>
              <w:t>i</w:t>
            </w:r>
            <w:r>
              <w:rPr>
                <w:rFonts w:hint="eastAsia"/>
                <w:color w:val="auto"/>
                <w:kern w:val="21"/>
                <w:sz w:val="24"/>
              </w:rPr>
              <w:t>声源工作时间，</w:t>
            </w:r>
            <w:r>
              <w:rPr>
                <w:color w:val="auto"/>
                <w:kern w:val="21"/>
                <w:sz w:val="24"/>
              </w:rPr>
              <w:t>s</w:t>
            </w:r>
            <w:r>
              <w:rPr>
                <w:rFonts w:hint="eastAsia"/>
                <w:color w:val="auto"/>
                <w:kern w:val="21"/>
                <w:sz w:val="24"/>
              </w:rPr>
              <w:t>；</w:t>
            </w:r>
          </w:p>
          <w:p w14:paraId="0CB53685">
            <w:pPr>
              <w:pStyle w:val="116"/>
              <w:ind w:firstLine="1440" w:firstLineChars="600"/>
              <w:rPr>
                <w:color w:val="auto"/>
                <w:kern w:val="21"/>
                <w:sz w:val="24"/>
              </w:rPr>
            </w:pPr>
            <w:r>
              <w:rPr>
                <w:color w:val="auto"/>
                <w:kern w:val="21"/>
                <w:sz w:val="24"/>
              </w:rPr>
              <w:t>M——</w:t>
            </w:r>
            <w:r>
              <w:rPr>
                <w:rFonts w:hint="eastAsia"/>
                <w:color w:val="auto"/>
                <w:kern w:val="21"/>
                <w:sz w:val="24"/>
              </w:rPr>
              <w:t>等效室外声源个数；</w:t>
            </w:r>
          </w:p>
          <w:p w14:paraId="7BAF2284">
            <w:pPr>
              <w:pStyle w:val="116"/>
              <w:ind w:firstLine="1440" w:firstLineChars="600"/>
              <w:rPr>
                <w:color w:val="auto"/>
                <w:kern w:val="21"/>
                <w:sz w:val="24"/>
              </w:rPr>
            </w:pPr>
            <w:r>
              <w:rPr>
                <w:color w:val="auto"/>
                <w:kern w:val="21"/>
                <w:sz w:val="24"/>
              </w:rPr>
              <w:t>t</w:t>
            </w:r>
            <w:r>
              <w:rPr>
                <w:color w:val="auto"/>
                <w:kern w:val="21"/>
                <w:sz w:val="24"/>
                <w:vertAlign w:val="subscript"/>
              </w:rPr>
              <w:t xml:space="preserve">j </w:t>
            </w:r>
            <w:r>
              <w:rPr>
                <w:color w:val="auto"/>
                <w:kern w:val="21"/>
                <w:sz w:val="24"/>
              </w:rPr>
              <w:t>——</w:t>
            </w:r>
            <w:r>
              <w:rPr>
                <w:rFonts w:hint="eastAsia"/>
                <w:color w:val="auto"/>
                <w:kern w:val="21"/>
                <w:sz w:val="24"/>
              </w:rPr>
              <w:t>在</w:t>
            </w:r>
            <w:r>
              <w:rPr>
                <w:color w:val="auto"/>
                <w:kern w:val="21"/>
                <w:sz w:val="24"/>
              </w:rPr>
              <w:t>T</w:t>
            </w:r>
            <w:r>
              <w:rPr>
                <w:rFonts w:hint="eastAsia"/>
                <w:color w:val="auto"/>
                <w:kern w:val="21"/>
                <w:sz w:val="24"/>
              </w:rPr>
              <w:t>时间内</w:t>
            </w:r>
            <w:r>
              <w:rPr>
                <w:color w:val="auto"/>
                <w:kern w:val="21"/>
                <w:sz w:val="24"/>
              </w:rPr>
              <w:t>j</w:t>
            </w:r>
            <w:r>
              <w:rPr>
                <w:rFonts w:hint="eastAsia"/>
                <w:color w:val="auto"/>
                <w:kern w:val="21"/>
                <w:sz w:val="24"/>
              </w:rPr>
              <w:t>声源工作时间，</w:t>
            </w:r>
            <w:r>
              <w:rPr>
                <w:color w:val="auto"/>
                <w:kern w:val="21"/>
                <w:sz w:val="24"/>
              </w:rPr>
              <w:t>s</w:t>
            </w:r>
            <w:r>
              <w:rPr>
                <w:rFonts w:hint="eastAsia"/>
                <w:color w:val="auto"/>
                <w:kern w:val="21"/>
                <w:sz w:val="24"/>
              </w:rPr>
              <w:t>。</w:t>
            </w:r>
          </w:p>
          <w:p w14:paraId="1B5208D7">
            <w:pPr>
              <w:pStyle w:val="116"/>
              <w:rPr>
                <w:rFonts w:hint="eastAsia"/>
                <w:color w:val="auto"/>
                <w:kern w:val="21"/>
                <w:sz w:val="24"/>
              </w:rPr>
            </w:pPr>
            <w:r>
              <w:rPr>
                <w:rFonts w:hint="eastAsia"/>
                <w:color w:val="auto"/>
                <w:kern w:val="21"/>
                <w:sz w:val="24"/>
              </w:rPr>
              <w:t>（</w:t>
            </w:r>
            <w:r>
              <w:rPr>
                <w:rFonts w:hint="eastAsia"/>
                <w:color w:val="auto"/>
                <w:kern w:val="21"/>
                <w:sz w:val="24"/>
                <w:lang w:val="en-US" w:eastAsia="zh-CN"/>
              </w:rPr>
              <w:t>5</w:t>
            </w:r>
            <w:r>
              <w:rPr>
                <w:rFonts w:hint="eastAsia"/>
                <w:color w:val="auto"/>
                <w:kern w:val="21"/>
                <w:sz w:val="24"/>
              </w:rPr>
              <w:t>）噪声预测值计算</w:t>
            </w:r>
          </w:p>
          <w:p w14:paraId="008F84CC">
            <w:pPr>
              <w:pStyle w:val="116"/>
              <w:rPr>
                <w:color w:val="auto"/>
                <w:kern w:val="21"/>
                <w:sz w:val="24"/>
              </w:rPr>
            </w:pPr>
            <w:r>
              <w:rPr>
                <w:color w:val="auto"/>
                <w:kern w:val="21"/>
                <w:sz w:val="24"/>
              </w:rPr>
              <w:t>预测点的贡献值和背景值按能量叠加方法计算得到的声级</w:t>
            </w:r>
            <w:r>
              <w:rPr>
                <w:rFonts w:hint="eastAsia"/>
                <w:color w:val="auto"/>
                <w:kern w:val="21"/>
                <w:sz w:val="24"/>
              </w:rPr>
              <w:t>，</w:t>
            </w:r>
            <w:r>
              <w:rPr>
                <w:color w:val="auto"/>
                <w:kern w:val="21"/>
                <w:sz w:val="24"/>
              </w:rPr>
              <w:t>计算公式：</w:t>
            </w:r>
          </w:p>
          <w:p w14:paraId="62A7252B">
            <w:pPr>
              <w:spacing w:line="360" w:lineRule="auto"/>
              <w:ind w:firstLine="1680" w:firstLineChars="700"/>
              <w:rPr>
                <w:rFonts w:hint="eastAsia"/>
                <w:color w:val="auto"/>
                <w:kern w:val="21"/>
                <w:sz w:val="24"/>
              </w:rPr>
            </w:pPr>
            <w:r>
              <w:rPr>
                <w:color w:val="auto"/>
                <w:kern w:val="21"/>
                <w:sz w:val="24"/>
              </w:rPr>
              <w:drawing>
                <wp:inline distT="0" distB="0" distL="114300" distR="114300">
                  <wp:extent cx="1907540" cy="304165"/>
                  <wp:effectExtent l="0" t="0" r="16510" b="635"/>
                  <wp:docPr id="8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5"/>
                          <pic:cNvPicPr>
                            <a:picLocks noChangeAspect="1"/>
                          </pic:cNvPicPr>
                        </pic:nvPicPr>
                        <pic:blipFill>
                          <a:blip r:embed="rId35"/>
                          <a:stretch>
                            <a:fillRect/>
                          </a:stretch>
                        </pic:blipFill>
                        <pic:spPr>
                          <a:xfrm>
                            <a:off x="0" y="0"/>
                            <a:ext cx="1907540" cy="304165"/>
                          </a:xfrm>
                          <a:prstGeom prst="rect">
                            <a:avLst/>
                          </a:prstGeom>
                          <a:noFill/>
                          <a:ln>
                            <a:noFill/>
                          </a:ln>
                        </pic:spPr>
                      </pic:pic>
                    </a:graphicData>
                  </a:graphic>
                </wp:inline>
              </w:drawing>
            </w:r>
          </w:p>
          <w:p w14:paraId="555D85A0">
            <w:pPr>
              <w:pStyle w:val="116"/>
              <w:rPr>
                <w:color w:val="auto"/>
                <w:kern w:val="21"/>
                <w:sz w:val="24"/>
              </w:rPr>
            </w:pPr>
            <w:r>
              <w:rPr>
                <w:color w:val="auto"/>
                <w:kern w:val="21"/>
                <w:sz w:val="24"/>
              </w:rPr>
              <w:t>式中：</w:t>
            </w:r>
          </w:p>
          <w:p w14:paraId="734C0CE6">
            <w:pPr>
              <w:spacing w:line="360" w:lineRule="auto"/>
              <w:ind w:firstLine="1680" w:firstLineChars="700"/>
              <w:rPr>
                <w:color w:val="auto"/>
                <w:kern w:val="21"/>
                <w:sz w:val="24"/>
              </w:rPr>
            </w:pPr>
            <w:r>
              <w:rPr>
                <w:rFonts w:hint="eastAsia"/>
                <w:color w:val="auto"/>
                <w:kern w:val="21"/>
                <w:sz w:val="24"/>
              </w:rPr>
              <w:t>Leq</w:t>
            </w:r>
            <w:r>
              <w:rPr>
                <w:color w:val="auto"/>
                <w:kern w:val="21"/>
                <w:sz w:val="24"/>
              </w:rPr>
              <w:t>—预测点的噪声预测值，dB；</w:t>
            </w:r>
          </w:p>
          <w:p w14:paraId="747C32BE">
            <w:pPr>
              <w:spacing w:line="360" w:lineRule="auto"/>
              <w:ind w:firstLine="1680" w:firstLineChars="700"/>
              <w:rPr>
                <w:rFonts w:hint="eastAsia"/>
                <w:color w:val="auto"/>
                <w:kern w:val="21"/>
                <w:sz w:val="24"/>
              </w:rPr>
            </w:pPr>
            <w:r>
              <w:rPr>
                <w:color w:val="auto"/>
                <w:kern w:val="21"/>
                <w:sz w:val="24"/>
              </w:rPr>
              <w:t>Leqg—建设</w:t>
            </w:r>
            <w:r>
              <w:rPr>
                <w:rFonts w:ascii="Times New Roman" w:hAnsi="Times New Roman" w:eastAsia="宋体" w:cs="Times New Roman"/>
                <w:color w:val="auto"/>
                <w:kern w:val="21"/>
                <w:sz w:val="24"/>
              </w:rPr>
              <w:t>项目</w:t>
            </w:r>
            <w:r>
              <w:rPr>
                <w:color w:val="auto"/>
                <w:kern w:val="21"/>
                <w:sz w:val="24"/>
              </w:rPr>
              <w:t>声源在预测点产生的噪声贡献值，dB</w:t>
            </w:r>
            <w:r>
              <w:rPr>
                <w:rFonts w:hint="eastAsia"/>
                <w:color w:val="auto"/>
                <w:kern w:val="21"/>
                <w:sz w:val="24"/>
              </w:rPr>
              <w:t>；</w:t>
            </w:r>
          </w:p>
          <w:p w14:paraId="3BE2E394">
            <w:pPr>
              <w:spacing w:line="360" w:lineRule="auto"/>
              <w:ind w:firstLine="1680" w:firstLineChars="700"/>
              <w:rPr>
                <w:color w:val="auto"/>
                <w:kern w:val="21"/>
                <w:sz w:val="24"/>
              </w:rPr>
            </w:pPr>
            <w:r>
              <w:rPr>
                <w:color w:val="auto"/>
                <w:kern w:val="21"/>
                <w:sz w:val="24"/>
              </w:rPr>
              <w:t>Leq</w:t>
            </w:r>
            <w:r>
              <w:rPr>
                <w:rFonts w:hint="eastAsia"/>
                <w:color w:val="auto"/>
                <w:kern w:val="21"/>
                <w:sz w:val="24"/>
              </w:rPr>
              <w:t>b</w:t>
            </w:r>
            <w:r>
              <w:rPr>
                <w:color w:val="auto"/>
                <w:kern w:val="21"/>
                <w:sz w:val="24"/>
              </w:rPr>
              <w:t>—预测点的背景噪声值，dB。</w:t>
            </w:r>
          </w:p>
          <w:p w14:paraId="1A854477">
            <w:pPr>
              <w:pStyle w:val="116"/>
              <w:rPr>
                <w:color w:val="auto"/>
                <w:kern w:val="21"/>
                <w:sz w:val="24"/>
              </w:rPr>
            </w:pPr>
            <w:r>
              <w:rPr>
                <w:rFonts w:hint="eastAsia"/>
                <w:color w:val="auto"/>
                <w:kern w:val="21"/>
                <w:sz w:val="24"/>
              </w:rPr>
              <w:t>（</w:t>
            </w:r>
            <w:r>
              <w:rPr>
                <w:rFonts w:hint="eastAsia"/>
                <w:color w:val="auto"/>
                <w:kern w:val="21"/>
                <w:sz w:val="24"/>
                <w:lang w:val="en-US" w:eastAsia="zh-CN"/>
              </w:rPr>
              <w:t>6</w:t>
            </w:r>
            <w:r>
              <w:rPr>
                <w:rFonts w:hint="eastAsia"/>
                <w:color w:val="auto"/>
                <w:kern w:val="21"/>
                <w:sz w:val="24"/>
              </w:rPr>
              <w:t>）隔声量的确定</w:t>
            </w:r>
          </w:p>
          <w:p w14:paraId="6A972CE9">
            <w:pPr>
              <w:pStyle w:val="116"/>
              <w:rPr>
                <w:rFonts w:hint="eastAsia"/>
                <w:color w:val="auto"/>
                <w:kern w:val="21"/>
                <w:sz w:val="24"/>
              </w:rPr>
            </w:pPr>
            <w:r>
              <w:rPr>
                <w:rFonts w:hint="eastAsia"/>
                <w:color w:val="auto"/>
                <w:kern w:val="21"/>
                <w:sz w:val="24"/>
              </w:rPr>
              <w:t>项目主要噪声设备大多设置于各建构筑物内，设备噪声经墙体隔声，设备基础减振后，可削减10</w:t>
            </w:r>
            <w:r>
              <w:rPr>
                <w:rFonts w:hint="eastAsia"/>
                <w:color w:val="auto"/>
                <w:kern w:val="21"/>
                <w:sz w:val="24"/>
                <w:lang w:eastAsia="zh-CN"/>
              </w:rPr>
              <w:t>～</w:t>
            </w:r>
            <w:r>
              <w:rPr>
                <w:rFonts w:hint="eastAsia"/>
                <w:color w:val="auto"/>
                <w:kern w:val="21"/>
                <w:sz w:val="24"/>
              </w:rPr>
              <w:t>20dB（A）以上，本项目取15dB（A）。</w:t>
            </w:r>
          </w:p>
          <w:p w14:paraId="0076C7E9">
            <w:pPr>
              <w:pStyle w:val="116"/>
              <w:rPr>
                <w:color w:val="auto"/>
                <w:sz w:val="24"/>
                <w:szCs w:val="24"/>
              </w:rPr>
            </w:pPr>
            <w:r>
              <w:rPr>
                <w:color w:val="auto"/>
                <w:sz w:val="24"/>
                <w:szCs w:val="24"/>
              </w:rPr>
              <w:t>（</w:t>
            </w:r>
            <w:r>
              <w:rPr>
                <w:rFonts w:hint="eastAsia"/>
                <w:color w:val="auto"/>
                <w:sz w:val="24"/>
                <w:szCs w:val="24"/>
                <w:lang w:val="en-US" w:eastAsia="zh-CN"/>
              </w:rPr>
              <w:t>7</w:t>
            </w:r>
            <w:r>
              <w:rPr>
                <w:color w:val="auto"/>
                <w:sz w:val="24"/>
                <w:szCs w:val="24"/>
              </w:rPr>
              <w:t>）预测计算与结果分析</w:t>
            </w:r>
          </w:p>
          <w:p w14:paraId="29DAA8E9">
            <w:pPr>
              <w:pStyle w:val="116"/>
              <w:keepNext w:val="0"/>
              <w:keepLines w:val="0"/>
              <w:pageBreakBefore w:val="0"/>
              <w:widowControl w:val="0"/>
              <w:kinsoku/>
              <w:wordWrap/>
              <w:overflowPunct/>
              <w:topLinePunct w:val="0"/>
              <w:autoSpaceDE/>
              <w:autoSpaceDN/>
              <w:bidi w:val="0"/>
              <w:adjustRightInd w:val="0"/>
              <w:snapToGrid w:val="0"/>
              <w:spacing w:line="360" w:lineRule="auto"/>
              <w:textAlignment w:val="auto"/>
              <w:rPr>
                <w:color w:val="auto"/>
                <w:sz w:val="24"/>
                <w:szCs w:val="24"/>
              </w:rPr>
            </w:pPr>
            <w:r>
              <w:rPr>
                <w:color w:val="auto"/>
                <w:sz w:val="24"/>
                <w:szCs w:val="24"/>
              </w:rPr>
              <w:t>本项目主要噪声源衰减后在各厂界预测值见</w:t>
            </w:r>
            <w:r>
              <w:rPr>
                <w:color w:val="auto"/>
                <w:sz w:val="24"/>
                <w:szCs w:val="24"/>
              </w:rPr>
              <w:fldChar w:fldCharType="begin"/>
            </w:r>
            <w:r>
              <w:rPr>
                <w:color w:val="auto"/>
                <w:sz w:val="24"/>
                <w:szCs w:val="24"/>
              </w:rPr>
              <w:instrText xml:space="preserve"> REF _Ref501296589 \r \h  \* MERGEFORMAT </w:instrText>
            </w:r>
            <w:r>
              <w:rPr>
                <w:color w:val="auto"/>
                <w:sz w:val="24"/>
                <w:szCs w:val="24"/>
              </w:rPr>
              <w:fldChar w:fldCharType="separate"/>
            </w:r>
            <w:r>
              <w:rPr>
                <w:rFonts w:hint="eastAsia"/>
                <w:color w:val="auto"/>
                <w:sz w:val="24"/>
                <w:szCs w:val="24"/>
              </w:rPr>
              <w:t>表4.3-2</w:t>
            </w:r>
            <w:r>
              <w:rPr>
                <w:color w:val="auto"/>
                <w:sz w:val="24"/>
                <w:szCs w:val="24"/>
              </w:rPr>
              <w:fldChar w:fldCharType="end"/>
            </w:r>
            <w:r>
              <w:rPr>
                <w:color w:val="auto"/>
                <w:sz w:val="24"/>
                <w:szCs w:val="24"/>
              </w:rPr>
              <w:t>。</w:t>
            </w:r>
          </w:p>
          <w:p w14:paraId="4411DBF4">
            <w:pPr>
              <w:pStyle w:val="11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b/>
                <w:bCs/>
                <w:color w:val="auto"/>
                <w:sz w:val="24"/>
                <w:szCs w:val="24"/>
              </w:rPr>
            </w:pPr>
            <w:bookmarkStart w:id="40" w:name="_Ref501296589"/>
            <w:r>
              <w:rPr>
                <w:rFonts w:hint="eastAsia" w:ascii="Times New Roman" w:hAnsi="Times New Roman" w:cs="Times New Roman"/>
                <w:b/>
                <w:bCs/>
                <w:color w:val="auto"/>
                <w:sz w:val="24"/>
                <w:szCs w:val="24"/>
                <w:lang w:val="en-US" w:eastAsia="zh-CN"/>
              </w:rPr>
              <w:t xml:space="preserve">表4.3-2  </w:t>
            </w:r>
            <w:r>
              <w:rPr>
                <w:rFonts w:ascii="Times New Roman" w:hAnsi="Times New Roman" w:cs="Times New Roman"/>
                <w:b/>
                <w:bCs/>
                <w:color w:val="auto"/>
                <w:sz w:val="24"/>
                <w:szCs w:val="24"/>
              </w:rPr>
              <w:t>噪声预测结果一览表</w:t>
            </w:r>
            <w:bookmarkEnd w:id="40"/>
            <w:r>
              <w:rPr>
                <w:rFonts w:ascii="Times New Roman" w:hAnsi="Times New Roman" w:cs="Times New Roman"/>
                <w:b/>
                <w:bCs/>
                <w:color w:val="auto"/>
                <w:sz w:val="24"/>
                <w:szCs w:val="24"/>
              </w:rPr>
              <w:t xml:space="preserve">  单位：dB（A）</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569"/>
              <w:gridCol w:w="1016"/>
              <w:gridCol w:w="1024"/>
              <w:gridCol w:w="1016"/>
              <w:gridCol w:w="1021"/>
              <w:gridCol w:w="1016"/>
              <w:gridCol w:w="1011"/>
            </w:tblGrid>
            <w:tr w14:paraId="77DB12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74" w:type="pct"/>
                  <w:vMerge w:val="restart"/>
                  <w:noWrap w:val="0"/>
                  <w:vAlign w:val="center"/>
                </w:tcPr>
                <w:p w14:paraId="7C92AB5D">
                  <w:pPr>
                    <w:jc w:val="center"/>
                    <w:rPr>
                      <w:color w:val="auto"/>
                      <w:szCs w:val="21"/>
                    </w:rPr>
                  </w:pPr>
                  <w:r>
                    <w:rPr>
                      <w:color w:val="auto"/>
                      <w:szCs w:val="21"/>
                    </w:rPr>
                    <w:t>序号</w:t>
                  </w:r>
                </w:p>
              </w:tc>
              <w:tc>
                <w:tcPr>
                  <w:tcW w:w="925" w:type="pct"/>
                  <w:vMerge w:val="restart"/>
                  <w:noWrap w:val="0"/>
                  <w:vAlign w:val="center"/>
                </w:tcPr>
                <w:p w14:paraId="1A1D59BF">
                  <w:pPr>
                    <w:jc w:val="center"/>
                    <w:rPr>
                      <w:color w:val="auto"/>
                      <w:szCs w:val="21"/>
                    </w:rPr>
                  </w:pPr>
                  <w:r>
                    <w:rPr>
                      <w:color w:val="auto"/>
                      <w:szCs w:val="21"/>
                    </w:rPr>
                    <w:t>预测点</w:t>
                  </w:r>
                </w:p>
              </w:tc>
              <w:tc>
                <w:tcPr>
                  <w:tcW w:w="1203" w:type="pct"/>
                  <w:gridSpan w:val="2"/>
                  <w:noWrap w:val="0"/>
                  <w:vAlign w:val="center"/>
                </w:tcPr>
                <w:p w14:paraId="039968A0">
                  <w:pPr>
                    <w:jc w:val="center"/>
                    <w:rPr>
                      <w:rFonts w:hint="eastAsia"/>
                      <w:color w:val="auto"/>
                      <w:szCs w:val="21"/>
                    </w:rPr>
                  </w:pPr>
                  <w:r>
                    <w:rPr>
                      <w:rFonts w:hint="eastAsia"/>
                      <w:color w:val="auto"/>
                      <w:szCs w:val="21"/>
                    </w:rPr>
                    <w:t>贡献值</w:t>
                  </w:r>
                </w:p>
              </w:tc>
              <w:tc>
                <w:tcPr>
                  <w:tcW w:w="1201" w:type="pct"/>
                  <w:gridSpan w:val="2"/>
                  <w:noWrap w:val="0"/>
                  <w:vAlign w:val="center"/>
                </w:tcPr>
                <w:p w14:paraId="62AA2F2F">
                  <w:pPr>
                    <w:jc w:val="center"/>
                    <w:rPr>
                      <w:color w:val="auto"/>
                      <w:szCs w:val="21"/>
                    </w:rPr>
                  </w:pPr>
                  <w:r>
                    <w:rPr>
                      <w:color w:val="auto"/>
                      <w:szCs w:val="21"/>
                    </w:rPr>
                    <w:t>标准值</w:t>
                  </w:r>
                </w:p>
              </w:tc>
              <w:tc>
                <w:tcPr>
                  <w:tcW w:w="1195" w:type="pct"/>
                  <w:gridSpan w:val="2"/>
                  <w:noWrap w:val="0"/>
                  <w:vAlign w:val="center"/>
                </w:tcPr>
                <w:p w14:paraId="69C3F31F">
                  <w:pPr>
                    <w:jc w:val="center"/>
                    <w:rPr>
                      <w:color w:val="auto"/>
                      <w:szCs w:val="21"/>
                    </w:rPr>
                  </w:pPr>
                  <w:r>
                    <w:rPr>
                      <w:color w:val="auto"/>
                      <w:szCs w:val="21"/>
                    </w:rPr>
                    <w:t>达标情况</w:t>
                  </w:r>
                </w:p>
              </w:tc>
            </w:tr>
            <w:tr w14:paraId="6802EA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74" w:type="pct"/>
                  <w:vMerge w:val="continue"/>
                  <w:noWrap w:val="0"/>
                  <w:vAlign w:val="center"/>
                </w:tcPr>
                <w:p w14:paraId="2FFE1162">
                  <w:pPr>
                    <w:jc w:val="center"/>
                    <w:rPr>
                      <w:color w:val="auto"/>
                      <w:szCs w:val="21"/>
                    </w:rPr>
                  </w:pPr>
                </w:p>
              </w:tc>
              <w:tc>
                <w:tcPr>
                  <w:tcW w:w="925" w:type="pct"/>
                  <w:vMerge w:val="continue"/>
                  <w:noWrap w:val="0"/>
                  <w:vAlign w:val="center"/>
                </w:tcPr>
                <w:p w14:paraId="20CB3A22">
                  <w:pPr>
                    <w:jc w:val="center"/>
                    <w:rPr>
                      <w:color w:val="auto"/>
                      <w:szCs w:val="21"/>
                    </w:rPr>
                  </w:pPr>
                </w:p>
              </w:tc>
              <w:tc>
                <w:tcPr>
                  <w:tcW w:w="599" w:type="pct"/>
                  <w:noWrap w:val="0"/>
                  <w:vAlign w:val="center"/>
                </w:tcPr>
                <w:p w14:paraId="484311C3">
                  <w:pPr>
                    <w:jc w:val="center"/>
                    <w:rPr>
                      <w:color w:val="auto"/>
                      <w:szCs w:val="21"/>
                    </w:rPr>
                  </w:pPr>
                  <w:r>
                    <w:rPr>
                      <w:color w:val="auto"/>
                      <w:szCs w:val="21"/>
                    </w:rPr>
                    <w:t>昼间</w:t>
                  </w:r>
                </w:p>
              </w:tc>
              <w:tc>
                <w:tcPr>
                  <w:tcW w:w="603" w:type="pct"/>
                  <w:noWrap w:val="0"/>
                  <w:vAlign w:val="center"/>
                </w:tcPr>
                <w:p w14:paraId="20681C02">
                  <w:pPr>
                    <w:jc w:val="center"/>
                    <w:rPr>
                      <w:color w:val="auto"/>
                      <w:szCs w:val="21"/>
                    </w:rPr>
                  </w:pPr>
                  <w:r>
                    <w:rPr>
                      <w:rFonts w:hint="eastAsia"/>
                      <w:color w:val="auto"/>
                      <w:szCs w:val="21"/>
                    </w:rPr>
                    <w:t>夜间</w:t>
                  </w:r>
                </w:p>
              </w:tc>
              <w:tc>
                <w:tcPr>
                  <w:tcW w:w="599" w:type="pct"/>
                  <w:noWrap w:val="0"/>
                  <w:vAlign w:val="center"/>
                </w:tcPr>
                <w:p w14:paraId="0C7F5065">
                  <w:pPr>
                    <w:jc w:val="center"/>
                    <w:rPr>
                      <w:color w:val="auto"/>
                      <w:szCs w:val="21"/>
                    </w:rPr>
                  </w:pPr>
                  <w:r>
                    <w:rPr>
                      <w:color w:val="auto"/>
                      <w:szCs w:val="21"/>
                    </w:rPr>
                    <w:t>昼间</w:t>
                  </w:r>
                </w:p>
              </w:tc>
              <w:tc>
                <w:tcPr>
                  <w:tcW w:w="602" w:type="pct"/>
                  <w:noWrap w:val="0"/>
                  <w:vAlign w:val="center"/>
                </w:tcPr>
                <w:p w14:paraId="5B485978">
                  <w:pPr>
                    <w:jc w:val="center"/>
                    <w:rPr>
                      <w:color w:val="auto"/>
                      <w:szCs w:val="21"/>
                    </w:rPr>
                  </w:pPr>
                  <w:r>
                    <w:rPr>
                      <w:rFonts w:hint="eastAsia"/>
                      <w:color w:val="auto"/>
                      <w:szCs w:val="21"/>
                    </w:rPr>
                    <w:t>夜间</w:t>
                  </w:r>
                </w:p>
              </w:tc>
              <w:tc>
                <w:tcPr>
                  <w:tcW w:w="599" w:type="pct"/>
                  <w:noWrap w:val="0"/>
                  <w:vAlign w:val="center"/>
                </w:tcPr>
                <w:p w14:paraId="616105F0">
                  <w:pPr>
                    <w:jc w:val="center"/>
                    <w:rPr>
                      <w:color w:val="auto"/>
                      <w:szCs w:val="21"/>
                    </w:rPr>
                  </w:pPr>
                  <w:r>
                    <w:rPr>
                      <w:color w:val="auto"/>
                      <w:szCs w:val="21"/>
                    </w:rPr>
                    <w:t>昼间</w:t>
                  </w:r>
                </w:p>
              </w:tc>
              <w:tc>
                <w:tcPr>
                  <w:tcW w:w="596" w:type="pct"/>
                  <w:noWrap w:val="0"/>
                  <w:vAlign w:val="center"/>
                </w:tcPr>
                <w:p w14:paraId="54850E1D">
                  <w:pPr>
                    <w:jc w:val="center"/>
                    <w:rPr>
                      <w:color w:val="auto"/>
                      <w:szCs w:val="21"/>
                    </w:rPr>
                  </w:pPr>
                  <w:r>
                    <w:rPr>
                      <w:rFonts w:hint="eastAsia"/>
                      <w:color w:val="auto"/>
                      <w:szCs w:val="21"/>
                    </w:rPr>
                    <w:t>夜间</w:t>
                  </w:r>
                </w:p>
              </w:tc>
            </w:tr>
            <w:tr w14:paraId="2240C8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74" w:type="pct"/>
                  <w:noWrap w:val="0"/>
                  <w:vAlign w:val="center"/>
                </w:tcPr>
                <w:p w14:paraId="4F4F7A48">
                  <w:pPr>
                    <w:jc w:val="center"/>
                    <w:rPr>
                      <w:color w:val="auto"/>
                      <w:szCs w:val="21"/>
                    </w:rPr>
                  </w:pPr>
                  <w:r>
                    <w:rPr>
                      <w:color w:val="auto"/>
                      <w:szCs w:val="21"/>
                    </w:rPr>
                    <w:t>1</w:t>
                  </w:r>
                </w:p>
              </w:tc>
              <w:tc>
                <w:tcPr>
                  <w:tcW w:w="925" w:type="pct"/>
                  <w:noWrap w:val="0"/>
                  <w:vAlign w:val="center"/>
                </w:tcPr>
                <w:p w14:paraId="323B3159">
                  <w:pPr>
                    <w:jc w:val="center"/>
                    <w:rPr>
                      <w:color w:val="auto"/>
                      <w:szCs w:val="21"/>
                    </w:rPr>
                  </w:pPr>
                  <w:r>
                    <w:rPr>
                      <w:rFonts w:hint="eastAsia"/>
                      <w:color w:val="auto"/>
                    </w:rPr>
                    <w:t>西侧厂界</w:t>
                  </w:r>
                </w:p>
              </w:tc>
              <w:tc>
                <w:tcPr>
                  <w:tcW w:w="599" w:type="pct"/>
                  <w:noWrap w:val="0"/>
                  <w:vAlign w:val="center"/>
                </w:tcPr>
                <w:p w14:paraId="39C3CDCD">
                  <w:pPr>
                    <w:pStyle w:val="74"/>
                    <w:rPr>
                      <w:color w:val="auto"/>
                    </w:rPr>
                  </w:pPr>
                  <w:r>
                    <w:rPr>
                      <w:rFonts w:hint="eastAsia"/>
                      <w:color w:val="auto"/>
                      <w:lang w:val="en-US" w:eastAsia="zh-CN"/>
                    </w:rPr>
                    <w:t>48</w:t>
                  </w:r>
                  <w:r>
                    <w:rPr>
                      <w:rFonts w:hint="eastAsia"/>
                      <w:color w:val="auto"/>
                    </w:rPr>
                    <w:t>.2</w:t>
                  </w:r>
                </w:p>
              </w:tc>
              <w:tc>
                <w:tcPr>
                  <w:tcW w:w="603" w:type="pct"/>
                  <w:noWrap w:val="0"/>
                  <w:vAlign w:val="center"/>
                </w:tcPr>
                <w:p w14:paraId="2B907AC9">
                  <w:pPr>
                    <w:pStyle w:val="30"/>
                    <w:rPr>
                      <w:color w:val="auto"/>
                    </w:rPr>
                  </w:pPr>
                  <w:r>
                    <w:rPr>
                      <w:rFonts w:hint="eastAsia"/>
                      <w:color w:val="auto"/>
                    </w:rPr>
                    <w:t>/</w:t>
                  </w:r>
                </w:p>
              </w:tc>
              <w:tc>
                <w:tcPr>
                  <w:tcW w:w="599" w:type="pct"/>
                  <w:noWrap w:val="0"/>
                  <w:vAlign w:val="center"/>
                </w:tcPr>
                <w:p w14:paraId="31174250">
                  <w:pPr>
                    <w:jc w:val="center"/>
                    <w:rPr>
                      <w:color w:val="auto"/>
                      <w:szCs w:val="21"/>
                    </w:rPr>
                  </w:pPr>
                  <w:r>
                    <w:rPr>
                      <w:color w:val="auto"/>
                      <w:szCs w:val="21"/>
                    </w:rPr>
                    <w:t>65</w:t>
                  </w:r>
                </w:p>
              </w:tc>
              <w:tc>
                <w:tcPr>
                  <w:tcW w:w="602" w:type="pct"/>
                  <w:noWrap w:val="0"/>
                  <w:vAlign w:val="center"/>
                </w:tcPr>
                <w:p w14:paraId="2CAC4259">
                  <w:pPr>
                    <w:jc w:val="center"/>
                    <w:rPr>
                      <w:color w:val="auto"/>
                      <w:szCs w:val="21"/>
                    </w:rPr>
                  </w:pPr>
                  <w:r>
                    <w:rPr>
                      <w:rFonts w:hint="eastAsia"/>
                      <w:color w:val="auto"/>
                    </w:rPr>
                    <w:t>/</w:t>
                  </w:r>
                </w:p>
              </w:tc>
              <w:tc>
                <w:tcPr>
                  <w:tcW w:w="599" w:type="pct"/>
                  <w:noWrap w:val="0"/>
                  <w:vAlign w:val="center"/>
                </w:tcPr>
                <w:p w14:paraId="3CB54AB9">
                  <w:pPr>
                    <w:jc w:val="center"/>
                    <w:rPr>
                      <w:color w:val="auto"/>
                      <w:szCs w:val="21"/>
                    </w:rPr>
                  </w:pPr>
                  <w:r>
                    <w:rPr>
                      <w:color w:val="auto"/>
                      <w:szCs w:val="21"/>
                    </w:rPr>
                    <w:t>达标</w:t>
                  </w:r>
                </w:p>
              </w:tc>
              <w:tc>
                <w:tcPr>
                  <w:tcW w:w="596" w:type="pct"/>
                  <w:noWrap w:val="0"/>
                  <w:vAlign w:val="center"/>
                </w:tcPr>
                <w:p w14:paraId="2366FAD7">
                  <w:pPr>
                    <w:jc w:val="center"/>
                    <w:rPr>
                      <w:color w:val="auto"/>
                      <w:szCs w:val="21"/>
                    </w:rPr>
                  </w:pPr>
                  <w:r>
                    <w:rPr>
                      <w:rFonts w:hint="eastAsia"/>
                      <w:color w:val="auto"/>
                    </w:rPr>
                    <w:t>/</w:t>
                  </w:r>
                </w:p>
              </w:tc>
            </w:tr>
            <w:tr w14:paraId="552251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74" w:type="pct"/>
                  <w:noWrap w:val="0"/>
                  <w:vAlign w:val="center"/>
                </w:tcPr>
                <w:p w14:paraId="1F8EA242">
                  <w:pPr>
                    <w:jc w:val="center"/>
                    <w:rPr>
                      <w:color w:val="auto"/>
                      <w:szCs w:val="21"/>
                    </w:rPr>
                  </w:pPr>
                  <w:r>
                    <w:rPr>
                      <w:color w:val="auto"/>
                      <w:szCs w:val="21"/>
                    </w:rPr>
                    <w:t>2</w:t>
                  </w:r>
                </w:p>
              </w:tc>
              <w:tc>
                <w:tcPr>
                  <w:tcW w:w="925" w:type="pct"/>
                  <w:noWrap w:val="0"/>
                  <w:vAlign w:val="center"/>
                </w:tcPr>
                <w:p w14:paraId="4D7E6358">
                  <w:pPr>
                    <w:jc w:val="center"/>
                    <w:rPr>
                      <w:color w:val="auto"/>
                      <w:szCs w:val="21"/>
                    </w:rPr>
                  </w:pPr>
                  <w:r>
                    <w:rPr>
                      <w:rFonts w:hint="eastAsia"/>
                      <w:color w:val="auto"/>
                    </w:rPr>
                    <w:t>南侧厂界</w:t>
                  </w:r>
                </w:p>
              </w:tc>
              <w:tc>
                <w:tcPr>
                  <w:tcW w:w="599" w:type="pct"/>
                  <w:noWrap w:val="0"/>
                  <w:vAlign w:val="center"/>
                </w:tcPr>
                <w:p w14:paraId="3660F296">
                  <w:pPr>
                    <w:pStyle w:val="74"/>
                    <w:rPr>
                      <w:color w:val="auto"/>
                    </w:rPr>
                  </w:pPr>
                  <w:r>
                    <w:rPr>
                      <w:rFonts w:hint="eastAsia"/>
                      <w:color w:val="auto"/>
                    </w:rPr>
                    <w:t>48.7</w:t>
                  </w:r>
                </w:p>
              </w:tc>
              <w:tc>
                <w:tcPr>
                  <w:tcW w:w="603" w:type="pct"/>
                  <w:noWrap w:val="0"/>
                  <w:vAlign w:val="center"/>
                </w:tcPr>
                <w:p w14:paraId="255F0C63">
                  <w:pPr>
                    <w:pStyle w:val="30"/>
                    <w:rPr>
                      <w:color w:val="auto"/>
                    </w:rPr>
                  </w:pPr>
                  <w:r>
                    <w:rPr>
                      <w:rFonts w:hint="eastAsia"/>
                      <w:color w:val="auto"/>
                    </w:rPr>
                    <w:t>/</w:t>
                  </w:r>
                </w:p>
              </w:tc>
              <w:tc>
                <w:tcPr>
                  <w:tcW w:w="599" w:type="pct"/>
                  <w:noWrap w:val="0"/>
                  <w:vAlign w:val="center"/>
                </w:tcPr>
                <w:p w14:paraId="27459E73">
                  <w:pPr>
                    <w:jc w:val="center"/>
                    <w:rPr>
                      <w:color w:val="auto"/>
                      <w:szCs w:val="21"/>
                    </w:rPr>
                  </w:pPr>
                  <w:r>
                    <w:rPr>
                      <w:color w:val="auto"/>
                      <w:szCs w:val="21"/>
                    </w:rPr>
                    <w:t>65</w:t>
                  </w:r>
                </w:p>
              </w:tc>
              <w:tc>
                <w:tcPr>
                  <w:tcW w:w="602" w:type="pct"/>
                  <w:noWrap w:val="0"/>
                  <w:vAlign w:val="center"/>
                </w:tcPr>
                <w:p w14:paraId="0DEC0774">
                  <w:pPr>
                    <w:jc w:val="center"/>
                    <w:rPr>
                      <w:color w:val="auto"/>
                      <w:szCs w:val="21"/>
                    </w:rPr>
                  </w:pPr>
                  <w:r>
                    <w:rPr>
                      <w:rFonts w:hint="eastAsia"/>
                      <w:color w:val="auto"/>
                    </w:rPr>
                    <w:t>/</w:t>
                  </w:r>
                </w:p>
              </w:tc>
              <w:tc>
                <w:tcPr>
                  <w:tcW w:w="599" w:type="pct"/>
                  <w:noWrap w:val="0"/>
                  <w:vAlign w:val="center"/>
                </w:tcPr>
                <w:p w14:paraId="5D851226">
                  <w:pPr>
                    <w:jc w:val="center"/>
                    <w:rPr>
                      <w:color w:val="auto"/>
                      <w:szCs w:val="21"/>
                    </w:rPr>
                  </w:pPr>
                  <w:r>
                    <w:rPr>
                      <w:color w:val="auto"/>
                      <w:szCs w:val="21"/>
                    </w:rPr>
                    <w:t>达标</w:t>
                  </w:r>
                </w:p>
              </w:tc>
              <w:tc>
                <w:tcPr>
                  <w:tcW w:w="596" w:type="pct"/>
                  <w:noWrap w:val="0"/>
                  <w:vAlign w:val="center"/>
                </w:tcPr>
                <w:p w14:paraId="11CFA139">
                  <w:pPr>
                    <w:jc w:val="center"/>
                    <w:rPr>
                      <w:color w:val="auto"/>
                      <w:szCs w:val="21"/>
                    </w:rPr>
                  </w:pPr>
                  <w:r>
                    <w:rPr>
                      <w:rFonts w:hint="eastAsia"/>
                      <w:color w:val="auto"/>
                    </w:rPr>
                    <w:t>/</w:t>
                  </w:r>
                </w:p>
              </w:tc>
            </w:tr>
            <w:tr w14:paraId="7DC022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74" w:type="pct"/>
                  <w:noWrap w:val="0"/>
                  <w:vAlign w:val="center"/>
                </w:tcPr>
                <w:p w14:paraId="0C9CFAF5">
                  <w:pPr>
                    <w:jc w:val="center"/>
                    <w:rPr>
                      <w:color w:val="auto"/>
                      <w:szCs w:val="21"/>
                    </w:rPr>
                  </w:pPr>
                  <w:r>
                    <w:rPr>
                      <w:color w:val="auto"/>
                      <w:szCs w:val="21"/>
                    </w:rPr>
                    <w:t>3</w:t>
                  </w:r>
                </w:p>
              </w:tc>
              <w:tc>
                <w:tcPr>
                  <w:tcW w:w="925" w:type="pct"/>
                  <w:noWrap w:val="0"/>
                  <w:vAlign w:val="center"/>
                </w:tcPr>
                <w:p w14:paraId="0EB8C486">
                  <w:pPr>
                    <w:jc w:val="center"/>
                    <w:rPr>
                      <w:color w:val="auto"/>
                      <w:szCs w:val="21"/>
                    </w:rPr>
                  </w:pPr>
                  <w:r>
                    <w:rPr>
                      <w:rFonts w:hint="eastAsia"/>
                      <w:color w:val="auto"/>
                    </w:rPr>
                    <w:t>东侧厂界</w:t>
                  </w:r>
                </w:p>
              </w:tc>
              <w:tc>
                <w:tcPr>
                  <w:tcW w:w="599" w:type="pct"/>
                  <w:noWrap w:val="0"/>
                  <w:vAlign w:val="center"/>
                </w:tcPr>
                <w:p w14:paraId="3751B027">
                  <w:pPr>
                    <w:pStyle w:val="74"/>
                    <w:rPr>
                      <w:color w:val="auto"/>
                    </w:rPr>
                  </w:pPr>
                  <w:r>
                    <w:rPr>
                      <w:rFonts w:hint="eastAsia"/>
                      <w:color w:val="auto"/>
                    </w:rPr>
                    <w:t>54.7</w:t>
                  </w:r>
                </w:p>
              </w:tc>
              <w:tc>
                <w:tcPr>
                  <w:tcW w:w="603" w:type="pct"/>
                  <w:noWrap w:val="0"/>
                  <w:vAlign w:val="center"/>
                </w:tcPr>
                <w:p w14:paraId="7347D025">
                  <w:pPr>
                    <w:pStyle w:val="30"/>
                    <w:rPr>
                      <w:color w:val="auto"/>
                    </w:rPr>
                  </w:pPr>
                  <w:r>
                    <w:rPr>
                      <w:rFonts w:hint="eastAsia"/>
                      <w:color w:val="auto"/>
                    </w:rPr>
                    <w:t>/</w:t>
                  </w:r>
                </w:p>
              </w:tc>
              <w:tc>
                <w:tcPr>
                  <w:tcW w:w="599" w:type="pct"/>
                  <w:noWrap w:val="0"/>
                  <w:vAlign w:val="center"/>
                </w:tcPr>
                <w:p w14:paraId="32A4829F">
                  <w:pPr>
                    <w:jc w:val="center"/>
                    <w:rPr>
                      <w:color w:val="auto"/>
                      <w:szCs w:val="21"/>
                    </w:rPr>
                  </w:pPr>
                  <w:r>
                    <w:rPr>
                      <w:color w:val="auto"/>
                      <w:szCs w:val="21"/>
                    </w:rPr>
                    <w:t>65</w:t>
                  </w:r>
                </w:p>
              </w:tc>
              <w:tc>
                <w:tcPr>
                  <w:tcW w:w="602" w:type="pct"/>
                  <w:noWrap w:val="0"/>
                  <w:vAlign w:val="center"/>
                </w:tcPr>
                <w:p w14:paraId="066435C2">
                  <w:pPr>
                    <w:jc w:val="center"/>
                    <w:rPr>
                      <w:color w:val="auto"/>
                      <w:szCs w:val="21"/>
                    </w:rPr>
                  </w:pPr>
                  <w:r>
                    <w:rPr>
                      <w:rFonts w:hint="eastAsia"/>
                      <w:color w:val="auto"/>
                    </w:rPr>
                    <w:t>/</w:t>
                  </w:r>
                </w:p>
              </w:tc>
              <w:tc>
                <w:tcPr>
                  <w:tcW w:w="599" w:type="pct"/>
                  <w:noWrap w:val="0"/>
                  <w:vAlign w:val="center"/>
                </w:tcPr>
                <w:p w14:paraId="3D62922E">
                  <w:pPr>
                    <w:jc w:val="center"/>
                    <w:rPr>
                      <w:color w:val="auto"/>
                      <w:szCs w:val="21"/>
                    </w:rPr>
                  </w:pPr>
                  <w:r>
                    <w:rPr>
                      <w:color w:val="auto"/>
                      <w:szCs w:val="21"/>
                    </w:rPr>
                    <w:t>达标</w:t>
                  </w:r>
                </w:p>
              </w:tc>
              <w:tc>
                <w:tcPr>
                  <w:tcW w:w="596" w:type="pct"/>
                  <w:noWrap w:val="0"/>
                  <w:vAlign w:val="center"/>
                </w:tcPr>
                <w:p w14:paraId="21DD3861">
                  <w:pPr>
                    <w:jc w:val="center"/>
                    <w:rPr>
                      <w:color w:val="auto"/>
                      <w:szCs w:val="21"/>
                    </w:rPr>
                  </w:pPr>
                  <w:r>
                    <w:rPr>
                      <w:rFonts w:hint="eastAsia"/>
                      <w:color w:val="auto"/>
                    </w:rPr>
                    <w:t>/</w:t>
                  </w:r>
                </w:p>
              </w:tc>
            </w:tr>
            <w:tr w14:paraId="03F51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74" w:type="pct"/>
                  <w:noWrap w:val="0"/>
                  <w:vAlign w:val="center"/>
                </w:tcPr>
                <w:p w14:paraId="17784F38">
                  <w:pPr>
                    <w:jc w:val="center"/>
                    <w:rPr>
                      <w:color w:val="auto"/>
                      <w:szCs w:val="21"/>
                    </w:rPr>
                  </w:pPr>
                  <w:r>
                    <w:rPr>
                      <w:color w:val="auto"/>
                      <w:szCs w:val="21"/>
                    </w:rPr>
                    <w:t>4</w:t>
                  </w:r>
                </w:p>
              </w:tc>
              <w:tc>
                <w:tcPr>
                  <w:tcW w:w="925" w:type="pct"/>
                  <w:noWrap w:val="0"/>
                  <w:vAlign w:val="center"/>
                </w:tcPr>
                <w:p w14:paraId="2627C3A9">
                  <w:pPr>
                    <w:jc w:val="center"/>
                    <w:rPr>
                      <w:color w:val="auto"/>
                      <w:szCs w:val="21"/>
                    </w:rPr>
                  </w:pPr>
                  <w:r>
                    <w:rPr>
                      <w:rFonts w:hint="eastAsia"/>
                      <w:color w:val="auto"/>
                    </w:rPr>
                    <w:t>北侧厂界</w:t>
                  </w:r>
                </w:p>
              </w:tc>
              <w:tc>
                <w:tcPr>
                  <w:tcW w:w="599" w:type="pct"/>
                  <w:noWrap w:val="0"/>
                  <w:vAlign w:val="center"/>
                </w:tcPr>
                <w:p w14:paraId="1D57BD85">
                  <w:pPr>
                    <w:pStyle w:val="74"/>
                    <w:rPr>
                      <w:color w:val="auto"/>
                    </w:rPr>
                  </w:pPr>
                  <w:r>
                    <w:rPr>
                      <w:rFonts w:hint="eastAsia"/>
                      <w:color w:val="auto"/>
                      <w:lang w:val="en-US" w:eastAsia="zh-CN"/>
                    </w:rPr>
                    <w:t>53</w:t>
                  </w:r>
                  <w:r>
                    <w:rPr>
                      <w:rFonts w:hint="eastAsia"/>
                      <w:color w:val="auto"/>
                    </w:rPr>
                    <w:t>.4</w:t>
                  </w:r>
                </w:p>
              </w:tc>
              <w:tc>
                <w:tcPr>
                  <w:tcW w:w="603" w:type="pct"/>
                  <w:noWrap w:val="0"/>
                  <w:vAlign w:val="center"/>
                </w:tcPr>
                <w:p w14:paraId="2A924A5D">
                  <w:pPr>
                    <w:pStyle w:val="30"/>
                    <w:rPr>
                      <w:color w:val="auto"/>
                    </w:rPr>
                  </w:pPr>
                  <w:r>
                    <w:rPr>
                      <w:rFonts w:hint="eastAsia"/>
                      <w:color w:val="auto"/>
                    </w:rPr>
                    <w:t>/</w:t>
                  </w:r>
                </w:p>
              </w:tc>
              <w:tc>
                <w:tcPr>
                  <w:tcW w:w="599" w:type="pct"/>
                  <w:noWrap w:val="0"/>
                  <w:vAlign w:val="center"/>
                </w:tcPr>
                <w:p w14:paraId="1F7175A5">
                  <w:pPr>
                    <w:jc w:val="center"/>
                    <w:rPr>
                      <w:color w:val="auto"/>
                      <w:szCs w:val="21"/>
                    </w:rPr>
                  </w:pPr>
                  <w:r>
                    <w:rPr>
                      <w:color w:val="auto"/>
                      <w:szCs w:val="21"/>
                    </w:rPr>
                    <w:t>65</w:t>
                  </w:r>
                </w:p>
              </w:tc>
              <w:tc>
                <w:tcPr>
                  <w:tcW w:w="602" w:type="pct"/>
                  <w:noWrap w:val="0"/>
                  <w:vAlign w:val="center"/>
                </w:tcPr>
                <w:p w14:paraId="69EA2494">
                  <w:pPr>
                    <w:jc w:val="center"/>
                    <w:rPr>
                      <w:color w:val="auto"/>
                      <w:szCs w:val="21"/>
                    </w:rPr>
                  </w:pPr>
                  <w:r>
                    <w:rPr>
                      <w:rFonts w:hint="eastAsia"/>
                      <w:color w:val="auto"/>
                    </w:rPr>
                    <w:t>/</w:t>
                  </w:r>
                </w:p>
              </w:tc>
              <w:tc>
                <w:tcPr>
                  <w:tcW w:w="599" w:type="pct"/>
                  <w:noWrap w:val="0"/>
                  <w:vAlign w:val="center"/>
                </w:tcPr>
                <w:p w14:paraId="754E3913">
                  <w:pPr>
                    <w:jc w:val="center"/>
                    <w:rPr>
                      <w:color w:val="auto"/>
                      <w:szCs w:val="21"/>
                    </w:rPr>
                  </w:pPr>
                  <w:r>
                    <w:rPr>
                      <w:color w:val="auto"/>
                      <w:szCs w:val="21"/>
                    </w:rPr>
                    <w:t>达标</w:t>
                  </w:r>
                </w:p>
              </w:tc>
              <w:tc>
                <w:tcPr>
                  <w:tcW w:w="596" w:type="pct"/>
                  <w:noWrap w:val="0"/>
                  <w:vAlign w:val="center"/>
                </w:tcPr>
                <w:p w14:paraId="2043516A">
                  <w:pPr>
                    <w:jc w:val="center"/>
                    <w:rPr>
                      <w:color w:val="auto"/>
                      <w:szCs w:val="21"/>
                    </w:rPr>
                  </w:pPr>
                  <w:r>
                    <w:rPr>
                      <w:rFonts w:hint="eastAsia"/>
                      <w:color w:val="auto"/>
                    </w:rPr>
                    <w:t>/</w:t>
                  </w:r>
                </w:p>
              </w:tc>
            </w:tr>
          </w:tbl>
          <w:p w14:paraId="49F133C8">
            <w:pPr>
              <w:pStyle w:val="116"/>
              <w:rPr>
                <w:color w:val="auto"/>
                <w:sz w:val="24"/>
                <w:szCs w:val="24"/>
              </w:rPr>
            </w:pPr>
            <w:r>
              <w:rPr>
                <w:rFonts w:hint="eastAsia" w:cs="Times New Roman"/>
                <w:color w:val="auto"/>
                <w:sz w:val="24"/>
                <w:szCs w:val="24"/>
              </w:rPr>
              <w:t>根据工程分析可知</w:t>
            </w:r>
            <w:r>
              <w:rPr>
                <w:color w:val="auto"/>
                <w:sz w:val="24"/>
                <w:szCs w:val="24"/>
              </w:rPr>
              <w:t>本项目夜间</w:t>
            </w:r>
            <w:r>
              <w:rPr>
                <w:rFonts w:hint="eastAsia"/>
                <w:color w:val="auto"/>
                <w:sz w:val="24"/>
                <w:szCs w:val="24"/>
              </w:rPr>
              <w:t>不</w:t>
            </w:r>
            <w:r>
              <w:rPr>
                <w:color w:val="auto"/>
                <w:sz w:val="24"/>
                <w:szCs w:val="24"/>
              </w:rPr>
              <w:t>生产，</w:t>
            </w:r>
            <w:r>
              <w:rPr>
                <w:rFonts w:cs="Times New Roman"/>
                <w:color w:val="auto"/>
                <w:sz w:val="24"/>
                <w:szCs w:val="24"/>
              </w:rPr>
              <w:t>由预测结果可知，项目全部建成达产后，</w:t>
            </w:r>
            <w:r>
              <w:rPr>
                <w:rFonts w:hint="eastAsia" w:cs="Times New Roman"/>
                <w:color w:val="auto"/>
                <w:sz w:val="24"/>
                <w:szCs w:val="24"/>
              </w:rPr>
              <w:t>昼间</w:t>
            </w:r>
            <w:r>
              <w:rPr>
                <w:rFonts w:cs="Times New Roman"/>
                <w:color w:val="auto"/>
                <w:sz w:val="24"/>
                <w:szCs w:val="24"/>
              </w:rPr>
              <w:t>厂界噪声</w:t>
            </w:r>
            <w:r>
              <w:rPr>
                <w:rFonts w:hint="eastAsia" w:cs="Times New Roman"/>
                <w:color w:val="auto"/>
                <w:sz w:val="24"/>
                <w:szCs w:val="24"/>
                <w:lang w:eastAsia="zh-CN"/>
              </w:rPr>
              <w:t>预测</w:t>
            </w:r>
            <w:r>
              <w:rPr>
                <w:rFonts w:cs="Times New Roman"/>
                <w:color w:val="auto"/>
                <w:sz w:val="24"/>
                <w:szCs w:val="24"/>
              </w:rPr>
              <w:t>值</w:t>
            </w:r>
            <w:r>
              <w:rPr>
                <w:rFonts w:hint="eastAsia" w:cs="Times New Roman"/>
                <w:color w:val="auto"/>
                <w:sz w:val="24"/>
                <w:szCs w:val="24"/>
                <w:lang w:val="en-US" w:eastAsia="zh-CN"/>
              </w:rPr>
              <w:t>54</w:t>
            </w:r>
            <w:r>
              <w:rPr>
                <w:rFonts w:cs="Times New Roman"/>
                <w:color w:val="auto"/>
                <w:sz w:val="24"/>
                <w:szCs w:val="24"/>
              </w:rPr>
              <w:t>.</w:t>
            </w:r>
            <w:r>
              <w:rPr>
                <w:rFonts w:hint="eastAsia" w:cs="Times New Roman"/>
                <w:color w:val="auto"/>
                <w:sz w:val="24"/>
                <w:szCs w:val="24"/>
                <w:lang w:val="en-US" w:eastAsia="zh-CN"/>
              </w:rPr>
              <w:t>7</w:t>
            </w:r>
            <w:r>
              <w:rPr>
                <w:rFonts w:hint="eastAsia" w:cs="Times New Roman"/>
                <w:color w:val="auto"/>
                <w:sz w:val="24"/>
                <w:szCs w:val="24"/>
                <w:lang w:eastAsia="zh-CN"/>
              </w:rPr>
              <w:t>～</w:t>
            </w:r>
            <w:r>
              <w:rPr>
                <w:rFonts w:hint="eastAsia" w:cs="Times New Roman"/>
                <w:color w:val="auto"/>
                <w:sz w:val="24"/>
                <w:szCs w:val="24"/>
                <w:lang w:val="en-US" w:eastAsia="zh-CN"/>
              </w:rPr>
              <w:t>48</w:t>
            </w:r>
            <w:r>
              <w:rPr>
                <w:rFonts w:cs="Times New Roman"/>
                <w:color w:val="auto"/>
                <w:sz w:val="24"/>
                <w:szCs w:val="24"/>
              </w:rPr>
              <w:t>.</w:t>
            </w:r>
            <w:r>
              <w:rPr>
                <w:rFonts w:hint="eastAsia" w:cs="Times New Roman"/>
                <w:color w:val="auto"/>
                <w:sz w:val="24"/>
                <w:szCs w:val="24"/>
                <w:lang w:val="en-US" w:eastAsia="zh-CN"/>
              </w:rPr>
              <w:t>2</w:t>
            </w:r>
            <w:r>
              <w:rPr>
                <w:rFonts w:cs="Times New Roman"/>
                <w:color w:val="auto"/>
                <w:sz w:val="24"/>
                <w:szCs w:val="24"/>
              </w:rPr>
              <w:t>B(A)</w:t>
            </w:r>
            <w:r>
              <w:rPr>
                <w:rFonts w:hint="eastAsia" w:cs="Times New Roman"/>
                <w:color w:val="auto"/>
                <w:sz w:val="24"/>
                <w:szCs w:val="24"/>
              </w:rPr>
              <w:t>，厂界</w:t>
            </w:r>
            <w:r>
              <w:rPr>
                <w:color w:val="auto"/>
                <w:sz w:val="24"/>
                <w:szCs w:val="24"/>
              </w:rPr>
              <w:t>噪声</w:t>
            </w:r>
            <w:r>
              <w:rPr>
                <w:rFonts w:hint="eastAsia"/>
                <w:color w:val="auto"/>
                <w:sz w:val="24"/>
                <w:szCs w:val="24"/>
              </w:rPr>
              <w:t>满足</w:t>
            </w:r>
            <w:r>
              <w:rPr>
                <w:color w:val="auto"/>
                <w:sz w:val="24"/>
                <w:szCs w:val="24"/>
              </w:rPr>
              <w:t>《工业企业厂界环境噪声排放标准》（GB12348-2008）中3类标准</w:t>
            </w:r>
            <w:r>
              <w:rPr>
                <w:rFonts w:cs="Times New Roman"/>
                <w:color w:val="auto"/>
                <w:sz w:val="24"/>
                <w:szCs w:val="24"/>
              </w:rPr>
              <w:t>。</w:t>
            </w:r>
          </w:p>
          <w:p w14:paraId="35B19337">
            <w:pPr>
              <w:pStyle w:val="62"/>
              <w:numPr>
                <w:ilvl w:val="2"/>
                <w:numId w:val="7"/>
              </w:numPr>
              <w:ind w:left="210"/>
              <w:rPr>
                <w:rFonts w:ascii="Times New Roman" w:hAnsi="Times New Roman" w:cs="Times New Roman"/>
                <w:color w:val="auto"/>
                <w:sz w:val="24"/>
                <w:szCs w:val="24"/>
              </w:rPr>
            </w:pPr>
            <w:r>
              <w:rPr>
                <w:rFonts w:ascii="Times New Roman" w:hAnsi="Times New Roman" w:cs="Times New Roman"/>
                <w:color w:val="auto"/>
                <w:sz w:val="24"/>
                <w:szCs w:val="24"/>
              </w:rPr>
              <w:t>噪声污染控制措施</w:t>
            </w:r>
          </w:p>
          <w:p w14:paraId="45FBC398">
            <w:pPr>
              <w:pStyle w:val="116"/>
              <w:rPr>
                <w:color w:val="auto"/>
                <w:sz w:val="24"/>
                <w:szCs w:val="24"/>
              </w:rPr>
            </w:pPr>
            <w:r>
              <w:rPr>
                <w:color w:val="auto"/>
                <w:sz w:val="24"/>
                <w:szCs w:val="24"/>
              </w:rPr>
              <w:t>（1）设备选型应</w:t>
            </w:r>
            <w:r>
              <w:rPr>
                <w:rFonts w:hint="eastAsia"/>
                <w:color w:val="auto"/>
                <w:lang w:val="en-US" w:eastAsia="zh-CN"/>
              </w:rPr>
              <w:t>按照</w:t>
            </w:r>
            <w:r>
              <w:rPr>
                <w:color w:val="auto"/>
                <w:sz w:val="24"/>
                <w:szCs w:val="24"/>
              </w:rPr>
              <w:t>《工业企业噪声控制设计规范》规范要求，尽量选用技术先进、性能质量良好、同类成品中声级较低的设备，从源头上控制噪声源。</w:t>
            </w:r>
          </w:p>
          <w:p w14:paraId="0C41101C">
            <w:pPr>
              <w:pStyle w:val="116"/>
              <w:rPr>
                <w:rFonts w:hint="eastAsia"/>
                <w:color w:val="auto"/>
                <w:lang w:val="en-US" w:eastAsia="zh-CN"/>
              </w:rPr>
            </w:pPr>
            <w:r>
              <w:rPr>
                <w:color w:val="auto"/>
                <w:sz w:val="24"/>
                <w:szCs w:val="24"/>
              </w:rPr>
              <w:t>（2）利用厂房隔声，</w:t>
            </w:r>
            <w:r>
              <w:rPr>
                <w:rFonts w:hint="eastAsia"/>
                <w:color w:val="auto"/>
                <w:lang w:val="en-US" w:eastAsia="zh-CN"/>
              </w:rPr>
              <w:t>将声级高的风机、空压机等设备，安置在厂房内，变室外噪声源为室内噪声源，避免露天安置，以降低噪声对厂界的影响。</w:t>
            </w:r>
          </w:p>
          <w:p w14:paraId="7BD9A04B">
            <w:pPr>
              <w:pStyle w:val="116"/>
              <w:rPr>
                <w:rFonts w:hint="eastAsia"/>
                <w:color w:val="auto"/>
                <w:lang w:val="en-US" w:eastAsia="zh-CN"/>
              </w:rPr>
            </w:pPr>
            <w:r>
              <w:rPr>
                <w:rFonts w:hint="eastAsia"/>
                <w:color w:val="auto"/>
                <w:lang w:val="en-US" w:eastAsia="zh-CN"/>
              </w:rPr>
              <w:t>（3）防振减振措施：所有电动设备的基座应安装防振、减振垫片，与动力设备连接的管道应安装软性接头，并对管道进行固定加固处理，防止因设备、管道振动引起的噪声。采取吸声消声措施：厂房设计时充分考虑墙体吸声效果，内侧墙面尽量采用吸声较好的材料，各类泵及高声级设备应安装消声器。</w:t>
            </w:r>
          </w:p>
          <w:p w14:paraId="2B00C5E3">
            <w:pPr>
              <w:pStyle w:val="116"/>
              <w:keepNext w:val="0"/>
              <w:keepLines w:val="0"/>
              <w:pageBreakBefore w:val="0"/>
              <w:widowControl w:val="0"/>
              <w:kinsoku/>
              <w:wordWrap/>
              <w:overflowPunct/>
              <w:topLinePunct w:val="0"/>
              <w:autoSpaceDE/>
              <w:autoSpaceDN/>
              <w:bidi w:val="0"/>
              <w:textAlignment w:val="auto"/>
              <w:rPr>
                <w:color w:val="auto"/>
              </w:rPr>
            </w:pPr>
            <w:r>
              <w:rPr>
                <w:rFonts w:hint="eastAsia"/>
                <w:color w:val="auto"/>
                <w:lang w:val="en-US" w:eastAsia="zh-CN"/>
              </w:rPr>
              <w:t>（4）车间内选用集中排气、换气系统或选用低噪声排气风机，科学合理安排排气风机的安装位置。加强动力机械设备的定期检修与维护，以减少动力机械设备故障等原因造成的振动及声</w:t>
            </w:r>
            <w:r>
              <w:rPr>
                <w:color w:val="auto"/>
                <w:sz w:val="24"/>
                <w:szCs w:val="24"/>
              </w:rPr>
              <w:t>辐射。</w:t>
            </w:r>
          </w:p>
          <w:p w14:paraId="2A0C04D1">
            <w:pPr>
              <w:pStyle w:val="62"/>
              <w:keepNext w:val="0"/>
              <w:keepLines w:val="0"/>
              <w:pageBreakBefore w:val="0"/>
              <w:widowControl w:val="0"/>
              <w:numPr>
                <w:ilvl w:val="2"/>
                <w:numId w:val="7"/>
              </w:numPr>
              <w:kinsoku/>
              <w:wordWrap/>
              <w:overflowPunct/>
              <w:topLinePunct w:val="0"/>
              <w:autoSpaceDE/>
              <w:autoSpaceDN/>
              <w:bidi w:val="0"/>
              <w:ind w:left="210"/>
              <w:textAlignment w:val="auto"/>
              <w:rPr>
                <w:rFonts w:ascii="Times New Roman" w:hAnsi="Times New Roman" w:cs="Times New Roman"/>
                <w:color w:val="auto"/>
                <w:sz w:val="24"/>
                <w:szCs w:val="24"/>
              </w:rPr>
            </w:pPr>
            <w:r>
              <w:rPr>
                <w:rFonts w:ascii="Times New Roman" w:hAnsi="Times New Roman" w:cs="Times New Roman"/>
                <w:color w:val="auto"/>
                <w:sz w:val="24"/>
                <w:szCs w:val="24"/>
              </w:rPr>
              <w:t>噪声监测要求</w:t>
            </w:r>
          </w:p>
          <w:p w14:paraId="16FE95C0">
            <w:pPr>
              <w:pStyle w:val="116"/>
              <w:rPr>
                <w:color w:val="auto"/>
                <w:sz w:val="24"/>
                <w:szCs w:val="24"/>
              </w:rPr>
            </w:pPr>
            <w:r>
              <w:rPr>
                <w:color w:val="auto"/>
                <w:sz w:val="24"/>
                <w:szCs w:val="24"/>
              </w:rPr>
              <w:t>本项目需对厂界</w:t>
            </w:r>
            <w:r>
              <w:rPr>
                <w:rFonts w:hint="eastAsia" w:ascii="Times New Roman" w:hAnsi="Times New Roman" w:eastAsia="宋体" w:cs="Times New Roman"/>
                <w:color w:val="auto"/>
                <w:sz w:val="24"/>
                <w:szCs w:val="22"/>
                <w:lang w:val="en-US" w:eastAsia="zh-CN" w:bidi="ar-SA"/>
              </w:rPr>
              <w:t>噪声进行定期监测，监测要求参照《排污单位自行监测技术指南 总则》（HJ819-2017）、</w:t>
            </w:r>
            <w:r>
              <w:rPr>
                <w:rFonts w:hint="eastAsia" w:ascii="Times New Roman" w:hAnsi="Times New Roman" w:eastAsia="宋体" w:cs="Times New Roman"/>
                <w:color w:val="auto"/>
                <w:sz w:val="24"/>
                <w:szCs w:val="22"/>
                <w:lang w:val="en" w:eastAsia="zh-CN" w:bidi="ar-SA"/>
              </w:rPr>
              <w:t>《排污单位自行监测技术指南 橡胶和塑料制品》（HJ 1207-2021）</w:t>
            </w:r>
            <w:r>
              <w:rPr>
                <w:rFonts w:hint="eastAsia" w:ascii="Times New Roman" w:hAnsi="Times New Roman" w:eastAsia="宋体" w:cs="Times New Roman"/>
                <w:color w:val="auto"/>
                <w:sz w:val="24"/>
                <w:szCs w:val="22"/>
                <w:lang w:val="en-US" w:eastAsia="zh-CN" w:bidi="ar-SA"/>
              </w:rPr>
              <w:t>要</w:t>
            </w:r>
            <w:r>
              <w:rPr>
                <w:color w:val="auto"/>
                <w:sz w:val="24"/>
                <w:szCs w:val="24"/>
              </w:rPr>
              <w:t>求制定，具体详见</w:t>
            </w:r>
            <w:r>
              <w:rPr>
                <w:color w:val="auto"/>
                <w:sz w:val="24"/>
                <w:szCs w:val="24"/>
              </w:rPr>
              <w:fldChar w:fldCharType="begin"/>
            </w:r>
            <w:r>
              <w:rPr>
                <w:color w:val="auto"/>
                <w:sz w:val="24"/>
                <w:szCs w:val="24"/>
              </w:rPr>
              <w:instrText xml:space="preserve"> REF _Ref70019949 \r \h  \* MERGEFORMAT </w:instrText>
            </w:r>
            <w:r>
              <w:rPr>
                <w:color w:val="auto"/>
                <w:sz w:val="24"/>
                <w:szCs w:val="24"/>
              </w:rPr>
              <w:fldChar w:fldCharType="separate"/>
            </w:r>
            <w:r>
              <w:rPr>
                <w:rFonts w:hint="eastAsia"/>
                <w:color w:val="auto"/>
                <w:sz w:val="24"/>
                <w:szCs w:val="24"/>
              </w:rPr>
              <w:t>表4.3-3</w:t>
            </w:r>
            <w:r>
              <w:rPr>
                <w:color w:val="auto"/>
                <w:sz w:val="24"/>
                <w:szCs w:val="24"/>
              </w:rPr>
              <w:fldChar w:fldCharType="end"/>
            </w:r>
            <w:r>
              <w:rPr>
                <w:color w:val="auto"/>
                <w:sz w:val="24"/>
                <w:szCs w:val="24"/>
              </w:rPr>
              <w:t>。</w:t>
            </w:r>
          </w:p>
          <w:p w14:paraId="2050D93E">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b/>
                <w:bCs/>
                <w:color w:val="auto"/>
                <w:sz w:val="24"/>
                <w:szCs w:val="24"/>
              </w:rPr>
            </w:pPr>
            <w:bookmarkStart w:id="41" w:name="_Ref70019949"/>
            <w:r>
              <w:rPr>
                <w:rFonts w:hint="eastAsia" w:cs="Times New Roman"/>
                <w:b/>
                <w:bCs/>
                <w:color w:val="auto"/>
                <w:sz w:val="24"/>
                <w:szCs w:val="24"/>
                <w:lang w:val="en-US" w:eastAsia="zh-CN"/>
              </w:rPr>
              <w:t xml:space="preserve">表4.3-3  </w:t>
            </w:r>
            <w:r>
              <w:rPr>
                <w:rFonts w:ascii="Times New Roman" w:hAnsi="Times New Roman" w:cs="Times New Roman"/>
                <w:b/>
                <w:bCs/>
                <w:color w:val="auto"/>
                <w:sz w:val="24"/>
                <w:szCs w:val="24"/>
              </w:rPr>
              <w:t>噪声日常监测要求</w:t>
            </w:r>
            <w:bookmarkEnd w:id="41"/>
          </w:p>
          <w:tbl>
            <w:tblPr>
              <w:tblStyle w:val="23"/>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482"/>
              <w:gridCol w:w="693"/>
              <w:gridCol w:w="4091"/>
              <w:gridCol w:w="1589"/>
              <w:gridCol w:w="1622"/>
            </w:tblGrid>
            <w:tr w14:paraId="44B3D8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69" w:hRule="atLeast"/>
              </w:trPr>
              <w:tc>
                <w:tcPr>
                  <w:tcW w:w="284" w:type="pct"/>
                  <w:noWrap w:val="0"/>
                  <w:vAlign w:val="center"/>
                </w:tcPr>
                <w:p w14:paraId="56D15F76">
                  <w:pPr>
                    <w:pStyle w:val="74"/>
                    <w:rPr>
                      <w:color w:val="auto"/>
                    </w:rPr>
                  </w:pPr>
                  <w:r>
                    <w:rPr>
                      <w:color w:val="auto"/>
                    </w:rPr>
                    <w:t>序号</w:t>
                  </w:r>
                </w:p>
              </w:tc>
              <w:tc>
                <w:tcPr>
                  <w:tcW w:w="409" w:type="pct"/>
                  <w:noWrap w:val="0"/>
                  <w:vAlign w:val="center"/>
                </w:tcPr>
                <w:p w14:paraId="4067DD04">
                  <w:pPr>
                    <w:pStyle w:val="74"/>
                    <w:rPr>
                      <w:color w:val="auto"/>
                    </w:rPr>
                  </w:pPr>
                  <w:r>
                    <w:rPr>
                      <w:color w:val="auto"/>
                    </w:rPr>
                    <w:t>监测点</w:t>
                  </w:r>
                </w:p>
              </w:tc>
              <w:tc>
                <w:tcPr>
                  <w:tcW w:w="2413" w:type="pct"/>
                  <w:noWrap w:val="0"/>
                  <w:vAlign w:val="center"/>
                </w:tcPr>
                <w:p w14:paraId="614F52F7">
                  <w:pPr>
                    <w:pStyle w:val="74"/>
                    <w:rPr>
                      <w:color w:val="auto"/>
                    </w:rPr>
                  </w:pPr>
                  <w:r>
                    <w:rPr>
                      <w:color w:val="auto"/>
                    </w:rPr>
                    <w:t>监测频次</w:t>
                  </w:r>
                </w:p>
              </w:tc>
              <w:tc>
                <w:tcPr>
                  <w:tcW w:w="937" w:type="pct"/>
                  <w:noWrap w:val="0"/>
                  <w:vAlign w:val="center"/>
                </w:tcPr>
                <w:p w14:paraId="287EE67D">
                  <w:pPr>
                    <w:pStyle w:val="74"/>
                    <w:rPr>
                      <w:color w:val="auto"/>
                    </w:rPr>
                  </w:pPr>
                  <w:r>
                    <w:rPr>
                      <w:color w:val="auto"/>
                    </w:rPr>
                    <w:t>监测项目</w:t>
                  </w:r>
                </w:p>
              </w:tc>
              <w:tc>
                <w:tcPr>
                  <w:tcW w:w="958" w:type="pct"/>
                  <w:noWrap w:val="0"/>
                  <w:vAlign w:val="center"/>
                </w:tcPr>
                <w:p w14:paraId="70432BA7">
                  <w:pPr>
                    <w:pStyle w:val="74"/>
                    <w:rPr>
                      <w:color w:val="auto"/>
                    </w:rPr>
                  </w:pPr>
                  <w:r>
                    <w:rPr>
                      <w:color w:val="auto"/>
                    </w:rPr>
                    <w:t>测量方法</w:t>
                  </w:r>
                </w:p>
              </w:tc>
            </w:tr>
            <w:tr w14:paraId="0C4F11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69" w:hRule="atLeast"/>
              </w:trPr>
              <w:tc>
                <w:tcPr>
                  <w:tcW w:w="284" w:type="pct"/>
                  <w:noWrap w:val="0"/>
                  <w:vAlign w:val="center"/>
                </w:tcPr>
                <w:p w14:paraId="4E3534A0">
                  <w:pPr>
                    <w:pStyle w:val="74"/>
                    <w:rPr>
                      <w:color w:val="auto"/>
                    </w:rPr>
                  </w:pPr>
                  <w:r>
                    <w:rPr>
                      <w:color w:val="auto"/>
                    </w:rPr>
                    <w:t>1</w:t>
                  </w:r>
                </w:p>
              </w:tc>
              <w:tc>
                <w:tcPr>
                  <w:tcW w:w="409" w:type="pct"/>
                  <w:noWrap w:val="0"/>
                  <w:vAlign w:val="center"/>
                </w:tcPr>
                <w:p w14:paraId="10BD018E">
                  <w:pPr>
                    <w:pStyle w:val="74"/>
                    <w:rPr>
                      <w:color w:val="auto"/>
                    </w:rPr>
                  </w:pPr>
                  <w:r>
                    <w:rPr>
                      <w:color w:val="auto"/>
                    </w:rPr>
                    <w:t>厂界</w:t>
                  </w:r>
                </w:p>
              </w:tc>
              <w:tc>
                <w:tcPr>
                  <w:tcW w:w="2413" w:type="pct"/>
                  <w:noWrap w:val="0"/>
                  <w:vAlign w:val="center"/>
                </w:tcPr>
                <w:p w14:paraId="099216CE">
                  <w:pPr>
                    <w:pStyle w:val="74"/>
                    <w:rPr>
                      <w:color w:val="auto"/>
                    </w:rPr>
                  </w:pPr>
                  <w:r>
                    <w:rPr>
                      <w:color w:val="auto"/>
                    </w:rPr>
                    <w:t>1次/季度，正常工况下，昼间</w:t>
                  </w:r>
                </w:p>
              </w:tc>
              <w:tc>
                <w:tcPr>
                  <w:tcW w:w="937" w:type="pct"/>
                  <w:noWrap w:val="0"/>
                  <w:vAlign w:val="center"/>
                </w:tcPr>
                <w:p w14:paraId="1519E571">
                  <w:pPr>
                    <w:pStyle w:val="74"/>
                    <w:rPr>
                      <w:color w:val="auto"/>
                    </w:rPr>
                  </w:pPr>
                  <w:r>
                    <w:rPr>
                      <w:color w:val="auto"/>
                    </w:rPr>
                    <w:t>等效连续A声级</w:t>
                  </w:r>
                </w:p>
              </w:tc>
              <w:tc>
                <w:tcPr>
                  <w:tcW w:w="958" w:type="pct"/>
                  <w:noWrap w:val="0"/>
                  <w:vAlign w:val="center"/>
                </w:tcPr>
                <w:p w14:paraId="66DC3EAC">
                  <w:pPr>
                    <w:pStyle w:val="74"/>
                    <w:rPr>
                      <w:color w:val="auto"/>
                    </w:rPr>
                  </w:pPr>
                  <w:r>
                    <w:rPr>
                      <w:color w:val="auto"/>
                    </w:rPr>
                    <w:t>按GB12348执行</w:t>
                  </w:r>
                </w:p>
              </w:tc>
            </w:tr>
          </w:tbl>
          <w:p w14:paraId="2D7AA738">
            <w:pPr>
              <w:pStyle w:val="54"/>
              <w:numPr>
                <w:ilvl w:val="1"/>
                <w:numId w:val="7"/>
              </w:numPr>
              <w:rPr>
                <w:rFonts w:cs="Times New Roman"/>
                <w:color w:val="auto"/>
                <w:sz w:val="24"/>
                <w:szCs w:val="24"/>
              </w:rPr>
            </w:pPr>
            <w:r>
              <w:rPr>
                <w:rFonts w:cs="Times New Roman"/>
                <w:color w:val="auto"/>
                <w:sz w:val="24"/>
                <w:szCs w:val="24"/>
              </w:rPr>
              <w:t>固体废物</w:t>
            </w:r>
          </w:p>
          <w:p w14:paraId="107CFA5E">
            <w:pPr>
              <w:pStyle w:val="62"/>
              <w:numPr>
                <w:ilvl w:val="2"/>
                <w:numId w:val="7"/>
              </w:numPr>
              <w:ind w:left="210"/>
              <w:rPr>
                <w:rFonts w:ascii="Times New Roman" w:hAnsi="Times New Roman" w:cs="Times New Roman"/>
                <w:color w:val="auto"/>
                <w:sz w:val="24"/>
                <w:szCs w:val="24"/>
              </w:rPr>
            </w:pPr>
            <w:r>
              <w:rPr>
                <w:rFonts w:ascii="Times New Roman" w:hAnsi="Times New Roman" w:cs="Times New Roman"/>
                <w:color w:val="auto"/>
                <w:sz w:val="24"/>
                <w:szCs w:val="24"/>
              </w:rPr>
              <w:t>污染源强分析</w:t>
            </w:r>
          </w:p>
          <w:p w14:paraId="03E3C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rPr>
            </w:pPr>
            <w:r>
              <w:rPr>
                <w:rFonts w:hint="eastAsia"/>
                <w:color w:val="auto"/>
                <w:sz w:val="24"/>
                <w:szCs w:val="24"/>
              </w:rPr>
              <w:t>项目产生的固体废物有</w:t>
            </w:r>
            <w:r>
              <w:rPr>
                <w:rFonts w:hint="eastAsia"/>
                <w:color w:val="auto"/>
                <w:sz w:val="24"/>
                <w:szCs w:val="24"/>
                <w:lang w:val="en-US" w:eastAsia="zh-CN"/>
              </w:rPr>
              <w:t>一般</w:t>
            </w:r>
            <w:r>
              <w:rPr>
                <w:rFonts w:hint="eastAsia"/>
                <w:color w:val="auto"/>
                <w:sz w:val="24"/>
                <w:szCs w:val="24"/>
              </w:rPr>
              <w:t>工业固废</w:t>
            </w:r>
            <w:r>
              <w:rPr>
                <w:rFonts w:hint="eastAsia"/>
                <w:color w:val="auto"/>
                <w:sz w:val="24"/>
                <w:szCs w:val="24"/>
                <w:lang w:eastAsia="zh-CN"/>
              </w:rPr>
              <w:t>、</w:t>
            </w:r>
            <w:r>
              <w:rPr>
                <w:rFonts w:hint="eastAsia"/>
                <w:color w:val="auto"/>
                <w:sz w:val="24"/>
                <w:szCs w:val="24"/>
                <w:lang w:val="en-US" w:eastAsia="zh-CN"/>
              </w:rPr>
              <w:t>危险废物</w:t>
            </w:r>
            <w:r>
              <w:rPr>
                <w:rFonts w:hint="eastAsia"/>
                <w:color w:val="auto"/>
                <w:sz w:val="24"/>
                <w:szCs w:val="24"/>
              </w:rPr>
              <w:t>和生活垃圾。</w:t>
            </w:r>
          </w:p>
          <w:p w14:paraId="47191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rPr>
            </w:pPr>
            <w:bookmarkStart w:id="42" w:name="OLE_LINK106"/>
            <w:bookmarkStart w:id="43" w:name="OLE_LINK107"/>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rPr>
              <w:t>一般工业固废</w:t>
            </w:r>
          </w:p>
          <w:p w14:paraId="211431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rPr>
            </w:pPr>
            <w:r>
              <w:rPr>
                <w:rFonts w:hint="eastAsia"/>
                <w:color w:val="auto"/>
                <w:sz w:val="24"/>
                <w:szCs w:val="24"/>
              </w:rPr>
              <w:t>①废包装材料</w:t>
            </w:r>
          </w:p>
          <w:p w14:paraId="5799BD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rPr>
            </w:pPr>
            <w:r>
              <w:rPr>
                <w:rFonts w:hint="eastAsia"/>
                <w:color w:val="auto"/>
                <w:sz w:val="24"/>
                <w:szCs w:val="24"/>
              </w:rPr>
              <w:t>生产过程中产生的一般工业固废主要有废包装材料，产生量为</w:t>
            </w:r>
            <w:r>
              <w:rPr>
                <w:rFonts w:hint="eastAsia"/>
                <w:color w:val="auto"/>
                <w:sz w:val="24"/>
                <w:szCs w:val="24"/>
                <w:lang w:val="en-US" w:eastAsia="zh-CN"/>
              </w:rPr>
              <w:t>0.2</w:t>
            </w:r>
            <w:r>
              <w:rPr>
                <w:rFonts w:hint="eastAsia"/>
                <w:color w:val="auto"/>
                <w:sz w:val="24"/>
                <w:szCs w:val="24"/>
              </w:rPr>
              <w:t>t/a，类别为SW17，代码900-003-S17，</w:t>
            </w:r>
            <w:r>
              <w:rPr>
                <w:rFonts w:hint="eastAsia"/>
                <w:color w:val="auto"/>
                <w:sz w:val="24"/>
                <w:szCs w:val="24"/>
                <w:lang w:val="en-US" w:eastAsia="zh-CN"/>
              </w:rPr>
              <w:t>经</w:t>
            </w:r>
            <w:r>
              <w:rPr>
                <w:rFonts w:hint="eastAsia"/>
                <w:color w:val="auto"/>
                <w:sz w:val="24"/>
                <w:szCs w:val="24"/>
              </w:rPr>
              <w:t>收集后出售给回收企业综合利用。</w:t>
            </w:r>
          </w:p>
          <w:p w14:paraId="655E5A13">
            <w:pPr>
              <w:pStyle w:val="55"/>
              <w:ind w:firstLine="422"/>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②</w:t>
            </w:r>
            <w:r>
              <w:rPr>
                <w:rFonts w:hint="eastAsia" w:ascii="Times New Roman" w:hAnsi="Times New Roman" w:eastAsia="宋体" w:cs="Times New Roman"/>
                <w:color w:val="auto"/>
                <w:kern w:val="2"/>
                <w:sz w:val="24"/>
                <w:szCs w:val="24"/>
                <w:lang w:val="en-US" w:eastAsia="zh-CN" w:bidi="ar-SA"/>
              </w:rPr>
              <w:t>边角料、不合格品</w:t>
            </w:r>
          </w:p>
          <w:p w14:paraId="6ECA0804">
            <w:pPr>
              <w:pStyle w:val="116"/>
              <w:rPr>
                <w:rFonts w:hint="default" w:ascii="Times New Roman" w:hAnsi="Times New Roman" w:eastAsia="宋体" w:cs="Times New Roman"/>
                <w:color w:val="auto"/>
                <w:kern w:val="2"/>
                <w:sz w:val="24"/>
                <w:szCs w:val="24"/>
                <w:lang w:val="en-US" w:eastAsia="zh-CN" w:bidi="ar-SA"/>
              </w:rPr>
            </w:pPr>
            <w:r>
              <w:rPr>
                <w:rFonts w:hint="eastAsia"/>
                <w:color w:val="auto"/>
                <w:sz w:val="24"/>
                <w:szCs w:val="24"/>
              </w:rPr>
              <w:t>项目切割、机加工、质检过程将产生一定量的边角料、</w:t>
            </w:r>
            <w:r>
              <w:rPr>
                <w:rFonts w:hint="eastAsia"/>
                <w:color w:val="auto"/>
                <w:sz w:val="24"/>
                <w:szCs w:val="24"/>
                <w:lang w:val="en-US" w:eastAsia="zh-CN"/>
              </w:rPr>
              <w:t>不合格</w:t>
            </w:r>
            <w:r>
              <w:rPr>
                <w:rFonts w:hint="eastAsia"/>
                <w:color w:val="auto"/>
                <w:sz w:val="24"/>
                <w:szCs w:val="24"/>
              </w:rPr>
              <w:t>品，根据建设单位提供资料边角料、</w:t>
            </w:r>
            <w:r>
              <w:rPr>
                <w:rFonts w:hint="eastAsia"/>
                <w:color w:val="auto"/>
                <w:sz w:val="24"/>
                <w:szCs w:val="24"/>
                <w:lang w:eastAsia="zh-CN"/>
              </w:rPr>
              <w:t>不合格</w:t>
            </w:r>
            <w:r>
              <w:rPr>
                <w:rFonts w:hint="eastAsia"/>
                <w:color w:val="auto"/>
                <w:sz w:val="24"/>
                <w:szCs w:val="24"/>
              </w:rPr>
              <w:t>品约产品量的1</w:t>
            </w:r>
            <w:r>
              <w:rPr>
                <w:color w:val="auto"/>
                <w:sz w:val="24"/>
                <w:szCs w:val="24"/>
              </w:rPr>
              <w:t>0</w:t>
            </w:r>
            <w:r>
              <w:rPr>
                <w:rFonts w:hint="eastAsia"/>
                <w:color w:val="auto"/>
                <w:sz w:val="24"/>
                <w:szCs w:val="24"/>
              </w:rPr>
              <w:t>%，</w:t>
            </w:r>
            <w:r>
              <w:rPr>
                <w:rFonts w:hint="eastAsia"/>
                <w:color w:val="auto"/>
                <w:sz w:val="24"/>
                <w:szCs w:val="24"/>
                <w:lang w:eastAsia="zh-CN"/>
              </w:rPr>
              <w:t>即</w:t>
            </w:r>
            <w:r>
              <w:rPr>
                <w:rFonts w:hint="eastAsia"/>
                <w:color w:val="auto"/>
                <w:sz w:val="24"/>
                <w:szCs w:val="24"/>
                <w:lang w:val="en-US" w:eastAsia="zh-CN"/>
              </w:rPr>
              <w:t>210</w:t>
            </w:r>
            <w:r>
              <w:rPr>
                <w:rFonts w:hint="eastAsia"/>
                <w:color w:val="auto"/>
                <w:sz w:val="24"/>
                <w:szCs w:val="24"/>
              </w:rPr>
              <w:t>t/a</w:t>
            </w:r>
            <w:r>
              <w:rPr>
                <w:rFonts w:hint="eastAsia"/>
                <w:color w:val="auto"/>
                <w:sz w:val="24"/>
                <w:szCs w:val="24"/>
                <w:lang w:eastAsia="zh-CN"/>
              </w:rPr>
              <w:t>，</w:t>
            </w:r>
            <w:r>
              <w:rPr>
                <w:rFonts w:hint="default" w:ascii="Times New Roman" w:hAnsi="Times New Roman" w:eastAsia="宋体" w:cs="Times New Roman"/>
                <w:color w:val="auto"/>
                <w:kern w:val="2"/>
                <w:sz w:val="24"/>
                <w:szCs w:val="24"/>
                <w:lang w:val="en-US" w:eastAsia="zh-CN" w:bidi="ar-SA"/>
              </w:rPr>
              <w:t>类别为SW17，代码为900-099-S17，</w:t>
            </w:r>
            <w:r>
              <w:rPr>
                <w:rFonts w:hint="eastAsia" w:ascii="Times New Roman" w:hAnsi="Times New Roman" w:eastAsia="宋体" w:cs="Times New Roman"/>
                <w:color w:val="auto"/>
              </w:rPr>
              <w:t>生产过程</w:t>
            </w:r>
            <w:r>
              <w:rPr>
                <w:rFonts w:hint="eastAsia" w:cs="Times New Roman"/>
                <w:color w:val="auto"/>
                <w:lang w:eastAsia="zh-CN"/>
              </w:rPr>
              <w:t>中</w:t>
            </w:r>
            <w:r>
              <w:rPr>
                <w:rFonts w:hint="eastAsia" w:ascii="Times New Roman" w:hAnsi="Times New Roman" w:eastAsia="宋体" w:cs="Times New Roman"/>
                <w:color w:val="auto"/>
              </w:rPr>
              <w:t>产生的</w:t>
            </w:r>
            <w:r>
              <w:rPr>
                <w:rFonts w:hint="eastAsia" w:ascii="Times New Roman" w:hAnsi="Times New Roman" w:eastAsia="宋体" w:cs="Times New Roman"/>
                <w:color w:val="auto"/>
                <w:kern w:val="2"/>
                <w:sz w:val="24"/>
                <w:szCs w:val="24"/>
                <w:lang w:val="en-US" w:eastAsia="zh-CN" w:bidi="ar-SA"/>
              </w:rPr>
              <w:t>边角料、不合格品</w:t>
            </w:r>
            <w:r>
              <w:rPr>
                <w:rFonts w:hint="eastAsia" w:ascii="Times New Roman" w:hAnsi="Times New Roman" w:eastAsia="宋体" w:cs="Times New Roman"/>
                <w:color w:val="auto"/>
              </w:rPr>
              <w:t>破碎后回用至熔融工序，因此不作为固废管理。</w:t>
            </w:r>
          </w:p>
          <w:p w14:paraId="082A4735">
            <w:pPr>
              <w:pStyle w:val="5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③</w:t>
            </w:r>
            <w:r>
              <w:rPr>
                <w:rFonts w:hint="eastAsia" w:ascii="Times New Roman" w:hAnsi="Times New Roman" w:eastAsia="宋体" w:cs="Times New Roman"/>
                <w:color w:val="auto"/>
                <w:kern w:val="2"/>
                <w:sz w:val="24"/>
                <w:szCs w:val="24"/>
                <w:lang w:val="en-US" w:eastAsia="zh-CN" w:bidi="ar-SA"/>
              </w:rPr>
              <w:t>收集的粉尘</w:t>
            </w:r>
          </w:p>
          <w:p w14:paraId="4C3FD168">
            <w:pPr>
              <w:pStyle w:val="116"/>
              <w:rPr>
                <w:color w:val="auto"/>
              </w:rPr>
            </w:pPr>
            <w:r>
              <w:rPr>
                <w:color w:val="auto"/>
              </w:rPr>
              <w:t>本项目采取布袋除尘器收集处理</w:t>
            </w:r>
            <w:r>
              <w:rPr>
                <w:rFonts w:hint="eastAsia" w:ascii="Times New Roman" w:hAnsi="Times New Roman" w:cs="Times New Roman"/>
                <w:color w:val="auto"/>
                <w:sz w:val="24"/>
                <w:szCs w:val="24"/>
                <w:lang w:val="en-US" w:eastAsia="zh-CN"/>
              </w:rPr>
              <w:t>称量、上料、混料、机加工、破碎</w:t>
            </w:r>
            <w:r>
              <w:rPr>
                <w:color w:val="auto"/>
              </w:rPr>
              <w:t>产生的粉尘，</w:t>
            </w:r>
            <w:r>
              <w:rPr>
                <w:rFonts w:hint="eastAsia"/>
                <w:color w:val="auto"/>
              </w:rPr>
              <w:t>根据工程分析</w:t>
            </w:r>
            <w:r>
              <w:rPr>
                <w:color w:val="auto"/>
              </w:rPr>
              <w:t>收集的粉尘年产生量约</w:t>
            </w:r>
            <w:r>
              <w:rPr>
                <w:rFonts w:hint="eastAsia"/>
                <w:color w:val="auto"/>
                <w:lang w:val="en-US" w:eastAsia="zh-CN"/>
              </w:rPr>
              <w:t>2.03</w:t>
            </w:r>
            <w:r>
              <w:rPr>
                <w:color w:val="auto"/>
              </w:rPr>
              <w:t>t/a</w:t>
            </w:r>
            <w:r>
              <w:rPr>
                <w:rFonts w:hint="eastAsia"/>
                <w:color w:val="auto"/>
              </w:rPr>
              <w:t>，</w:t>
            </w:r>
            <w:r>
              <w:rPr>
                <w:rFonts w:hint="default" w:ascii="Times New Roman" w:hAnsi="Times New Roman" w:eastAsia="宋体" w:cs="Times New Roman"/>
                <w:color w:val="auto"/>
                <w:kern w:val="2"/>
                <w:sz w:val="24"/>
                <w:szCs w:val="24"/>
                <w:lang w:val="en-US" w:eastAsia="zh-CN" w:bidi="ar-SA"/>
              </w:rPr>
              <w:t>类别为SW17</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代码为900-</w:t>
            </w:r>
            <w:r>
              <w:rPr>
                <w:rFonts w:hint="eastAsia" w:cs="Times New Roman"/>
                <w:color w:val="auto"/>
                <w:kern w:val="2"/>
                <w:sz w:val="24"/>
                <w:szCs w:val="24"/>
                <w:lang w:val="en-US" w:eastAsia="zh-CN" w:bidi="ar-SA"/>
              </w:rPr>
              <w:t>9</w:t>
            </w:r>
            <w:r>
              <w:rPr>
                <w:rFonts w:hint="default" w:ascii="Times New Roman" w:hAnsi="Times New Roman" w:eastAsia="宋体" w:cs="Times New Roman"/>
                <w:color w:val="auto"/>
                <w:kern w:val="2"/>
                <w:sz w:val="24"/>
                <w:szCs w:val="24"/>
                <w:lang w:val="en-US" w:eastAsia="zh-CN" w:bidi="ar-SA"/>
              </w:rPr>
              <w:t>99-S</w:t>
            </w:r>
            <w:r>
              <w:rPr>
                <w:rFonts w:hint="eastAsia" w:cs="Times New Roman"/>
                <w:color w:val="auto"/>
                <w:kern w:val="2"/>
                <w:sz w:val="24"/>
                <w:szCs w:val="24"/>
                <w:lang w:val="en-US" w:eastAsia="zh-CN" w:bidi="ar-SA"/>
              </w:rPr>
              <w:t>66</w:t>
            </w:r>
            <w:r>
              <w:rPr>
                <w:rFonts w:hint="eastAsia"/>
                <w:color w:val="auto"/>
              </w:rPr>
              <w:t>，经收集后出售给回收企业综合利用</w:t>
            </w:r>
            <w:r>
              <w:rPr>
                <w:color w:val="auto"/>
              </w:rPr>
              <w:t>。</w:t>
            </w:r>
          </w:p>
          <w:p w14:paraId="0A1FFA5A">
            <w:pPr>
              <w:pStyle w:val="55"/>
              <w:spacing w:line="360" w:lineRule="auto"/>
              <w:ind w:firstLine="480" w:firstLineChars="200"/>
              <w:rPr>
                <w:rFonts w:hint="eastAsia" w:eastAsia="宋体"/>
                <w:color w:val="auto"/>
                <w:sz w:val="24"/>
                <w:szCs w:val="22"/>
                <w:lang w:val="en-GB" w:eastAsia="zh-CN"/>
              </w:rPr>
            </w:pPr>
            <w:r>
              <w:rPr>
                <w:rFonts w:hint="default" w:ascii="Times New Roman" w:hAnsi="Times New Roman" w:eastAsia="宋体" w:cs="Times New Roman"/>
                <w:color w:val="auto"/>
                <w:kern w:val="2"/>
                <w:sz w:val="24"/>
                <w:szCs w:val="22"/>
                <w:lang w:val="en-GB" w:eastAsia="zh-CN" w:bidi="ar-SA"/>
              </w:rPr>
              <w:t>④</w:t>
            </w:r>
            <w:r>
              <w:rPr>
                <w:rFonts w:hint="default" w:eastAsia="宋体"/>
                <w:color w:val="auto"/>
                <w:sz w:val="24"/>
                <w:szCs w:val="22"/>
                <w:lang w:val="en-GB" w:eastAsia="zh-CN"/>
              </w:rPr>
              <w:t>废滤袋</w:t>
            </w:r>
          </w:p>
          <w:p w14:paraId="799A1A44">
            <w:pPr>
              <w:pStyle w:val="116"/>
              <w:rPr>
                <w:rFonts w:hint="eastAsia" w:eastAsia="宋体" w:cs="Times New Roman"/>
                <w:color w:val="auto"/>
                <w:kern w:val="2"/>
                <w:sz w:val="24"/>
                <w:szCs w:val="24"/>
                <w:lang w:val="en-US" w:eastAsia="zh-CN" w:bidi="ar-SA"/>
              </w:rPr>
            </w:pPr>
            <w:r>
              <w:rPr>
                <w:rFonts w:hint="eastAsia"/>
                <w:color w:val="auto"/>
                <w:sz w:val="24"/>
                <w:szCs w:val="22"/>
                <w:lang w:val="en-GB" w:eastAsia="zh-CN"/>
              </w:rPr>
              <w:t>本项目</w:t>
            </w:r>
            <w:r>
              <w:rPr>
                <w:rFonts w:hint="eastAsia"/>
                <w:color w:val="auto"/>
                <w:sz w:val="24"/>
                <w:szCs w:val="22"/>
                <w:lang w:val="en-GB"/>
              </w:rPr>
              <w:t>定期对</w:t>
            </w:r>
            <w:r>
              <w:rPr>
                <w:rFonts w:hint="eastAsia"/>
                <w:bCs w:val="0"/>
                <w:color w:val="auto"/>
                <w:sz w:val="24"/>
                <w:szCs w:val="22"/>
              </w:rPr>
              <w:t>布袋除尘器</w:t>
            </w:r>
            <w:r>
              <w:rPr>
                <w:rFonts w:hint="eastAsia"/>
                <w:bCs w:val="0"/>
                <w:color w:val="auto"/>
                <w:sz w:val="24"/>
                <w:szCs w:val="22"/>
                <w:lang w:eastAsia="zh-CN"/>
              </w:rPr>
              <w:t>进行</w:t>
            </w:r>
            <w:r>
              <w:rPr>
                <w:rFonts w:hint="eastAsia"/>
                <w:bCs w:val="0"/>
                <w:color w:val="auto"/>
                <w:sz w:val="24"/>
                <w:szCs w:val="22"/>
              </w:rPr>
              <w:t>维护，定期更换滤袋</w:t>
            </w:r>
            <w:r>
              <w:rPr>
                <w:rFonts w:hint="eastAsia"/>
                <w:bCs w:val="0"/>
                <w:color w:val="auto"/>
                <w:sz w:val="24"/>
                <w:szCs w:val="22"/>
                <w:lang w:eastAsia="zh-CN"/>
              </w:rPr>
              <w:t>，则产生废滤袋，普通粉尘废滤袋约</w:t>
            </w:r>
            <w:r>
              <w:rPr>
                <w:rFonts w:hint="eastAsia"/>
                <w:bCs w:val="0"/>
                <w:color w:val="auto"/>
                <w:sz w:val="24"/>
                <w:szCs w:val="22"/>
                <w:lang w:val="en-GB" w:eastAsia="zh-CN"/>
              </w:rPr>
              <w:t>1.2～3kg/条，则年产生量约为0.0063</w:t>
            </w:r>
            <w:r>
              <w:rPr>
                <w:rFonts w:hint="eastAsia"/>
                <w:color w:val="auto"/>
              </w:rPr>
              <w:t>t/a</w:t>
            </w:r>
            <w:r>
              <w:rPr>
                <w:rFonts w:hint="eastAsia"/>
                <w:color w:val="auto"/>
                <w:lang w:eastAsia="zh-CN"/>
              </w:rPr>
              <w:t>，</w:t>
            </w:r>
            <w:r>
              <w:rPr>
                <w:rFonts w:hint="eastAsia" w:ascii="Times New Roman" w:hAnsi="Times New Roman" w:eastAsia="宋体" w:cs="Times New Roman"/>
                <w:color w:val="auto"/>
                <w:kern w:val="0"/>
                <w:sz w:val="24"/>
                <w:szCs w:val="22"/>
                <w:lang w:val="en-GB" w:eastAsia="zh-CN" w:bidi="ar-SA"/>
              </w:rPr>
              <w:t>类别为SW17，代码为900-</w:t>
            </w:r>
            <w:r>
              <w:rPr>
                <w:rFonts w:hint="eastAsia" w:cs="Times New Roman"/>
                <w:color w:val="auto"/>
                <w:kern w:val="0"/>
                <w:sz w:val="24"/>
                <w:szCs w:val="22"/>
                <w:lang w:val="en-GB" w:eastAsia="zh-CN" w:bidi="ar-SA"/>
              </w:rPr>
              <w:t>9</w:t>
            </w:r>
            <w:r>
              <w:rPr>
                <w:rFonts w:hint="eastAsia" w:ascii="Times New Roman" w:hAnsi="Times New Roman" w:eastAsia="宋体" w:cs="Times New Roman"/>
                <w:color w:val="auto"/>
                <w:kern w:val="0"/>
                <w:sz w:val="24"/>
                <w:szCs w:val="22"/>
                <w:lang w:val="en-GB" w:eastAsia="zh-CN" w:bidi="ar-SA"/>
              </w:rPr>
              <w:t>99-S</w:t>
            </w:r>
            <w:r>
              <w:rPr>
                <w:rFonts w:hint="eastAsia" w:cs="Times New Roman"/>
                <w:color w:val="auto"/>
                <w:kern w:val="0"/>
                <w:sz w:val="24"/>
                <w:szCs w:val="22"/>
                <w:lang w:val="en-US" w:eastAsia="zh-CN" w:bidi="ar-SA"/>
              </w:rPr>
              <w:t>17</w:t>
            </w:r>
            <w:r>
              <w:rPr>
                <w:rFonts w:hint="eastAsia"/>
                <w:color w:val="auto"/>
              </w:rPr>
              <w:t>，经收集后出售给回收企业综合利用。</w:t>
            </w:r>
          </w:p>
          <w:p w14:paraId="08D39F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）危险废物</w:t>
            </w:r>
          </w:p>
          <w:p w14:paraId="679543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76" w:firstLineChars="200"/>
              <w:textAlignment w:val="auto"/>
              <w:rPr>
                <w:rFonts w:hint="default" w:ascii="Times New Roman" w:hAnsi="Times New Roman" w:eastAsia="宋体" w:cs="Times New Roman"/>
                <w:color w:val="auto"/>
                <w:spacing w:val="-1"/>
                <w:sz w:val="24"/>
                <w:szCs w:val="24"/>
              </w:rPr>
            </w:pPr>
            <w:r>
              <w:rPr>
                <w:rFonts w:hint="default" w:ascii="Times New Roman" w:hAnsi="Times New Roman" w:eastAsia="宋体" w:cs="Times New Roman"/>
                <w:color w:val="auto"/>
                <w:spacing w:val="-1"/>
                <w:sz w:val="24"/>
                <w:szCs w:val="24"/>
              </w:rPr>
              <w:t>①</w:t>
            </w:r>
            <w:r>
              <w:rPr>
                <w:rFonts w:hint="default" w:ascii="Times New Roman" w:hAnsi="Times New Roman" w:eastAsia="宋体" w:cs="Times New Roman"/>
                <w:color w:val="auto"/>
                <w:sz w:val="24"/>
                <w:szCs w:val="24"/>
                <w:highlight w:val="none"/>
              </w:rPr>
              <w:t>废活性炭</w:t>
            </w:r>
          </w:p>
          <w:p w14:paraId="12F070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根据中国建筑出版社（1997）出版的《简明通风设计手册》第十章中关于活性吸附处理治理废气的方法中提供的数据：每1.0kg活性炭吸附有机废气的量可达0.43-0.61kg，本评价取每1.0kg活性炭吸附有机废气量为</w:t>
            </w:r>
            <w:r>
              <w:rPr>
                <w:rFonts w:hint="default" w:ascii="Times New Roman" w:hAnsi="Times New Roman" w:eastAsia="宋体" w:cs="Times New Roman"/>
                <w:color w:val="auto"/>
                <w:sz w:val="24"/>
                <w:szCs w:val="24"/>
                <w:highlight w:val="none"/>
                <w:lang w:val="en-US" w:eastAsia="zh-CN"/>
              </w:rPr>
              <w:t>0.54</w:t>
            </w:r>
            <w:r>
              <w:rPr>
                <w:rFonts w:hint="default" w:ascii="Times New Roman" w:hAnsi="Times New Roman" w:eastAsia="宋体" w:cs="Times New Roman"/>
                <w:color w:val="auto"/>
                <w:sz w:val="24"/>
                <w:szCs w:val="24"/>
                <w:highlight w:val="none"/>
              </w:rPr>
              <w:t>kg</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kern w:val="2"/>
                <w:sz w:val="24"/>
                <w:szCs w:val="24"/>
                <w:lang w:val="en-US" w:eastAsia="zh-CN" w:bidi="ar-SA"/>
              </w:rPr>
              <w:t>本项目经收集的有机废气量约为</w:t>
            </w:r>
            <w:r>
              <w:rPr>
                <w:rFonts w:hint="eastAsia" w:cs="Times New Roman"/>
                <w:color w:val="auto"/>
                <w:kern w:val="2"/>
                <w:sz w:val="24"/>
                <w:szCs w:val="24"/>
                <w:lang w:val="en-US" w:eastAsia="zh-CN" w:bidi="ar-SA"/>
              </w:rPr>
              <w:t>2.52</w:t>
            </w:r>
            <w:r>
              <w:rPr>
                <w:rFonts w:hint="default" w:ascii="Times New Roman" w:hAnsi="Times New Roman" w:eastAsia="宋体" w:cs="Times New Roman"/>
                <w:color w:val="auto"/>
                <w:kern w:val="2"/>
                <w:sz w:val="24"/>
                <w:szCs w:val="24"/>
                <w:lang w:val="en-US" w:eastAsia="zh-CN" w:bidi="ar-SA"/>
              </w:rPr>
              <w:t>t/a，根据前文产排污分析可知，项目有机废气排放量为0.</w:t>
            </w:r>
            <w:r>
              <w:rPr>
                <w:rFonts w:hint="eastAsia" w:cs="Times New Roman"/>
                <w:color w:val="auto"/>
                <w:kern w:val="2"/>
                <w:sz w:val="24"/>
                <w:szCs w:val="24"/>
                <w:lang w:val="en-US" w:eastAsia="zh-CN" w:bidi="ar-SA"/>
              </w:rPr>
              <w:t>63</w:t>
            </w:r>
            <w:r>
              <w:rPr>
                <w:rFonts w:hint="default" w:ascii="Times New Roman" w:hAnsi="Times New Roman" w:eastAsia="宋体" w:cs="Times New Roman"/>
                <w:color w:val="auto"/>
                <w:kern w:val="2"/>
                <w:sz w:val="24"/>
                <w:szCs w:val="24"/>
                <w:lang w:val="en-US" w:eastAsia="zh-CN" w:bidi="ar-SA"/>
              </w:rPr>
              <w:t>t/a， 则活性炭吸附净化量约为</w:t>
            </w:r>
            <w:r>
              <w:rPr>
                <w:rFonts w:hint="eastAsia" w:cs="Times New Roman"/>
                <w:color w:val="auto"/>
                <w:kern w:val="2"/>
                <w:sz w:val="24"/>
                <w:szCs w:val="24"/>
                <w:lang w:val="en-US" w:eastAsia="zh-CN" w:bidi="ar-SA"/>
              </w:rPr>
              <w:t>2.52</w:t>
            </w:r>
            <w:r>
              <w:rPr>
                <w:rFonts w:hint="default" w:ascii="Times New Roman" w:hAnsi="Times New Roman" w:eastAsia="宋体" w:cs="Times New Roman"/>
                <w:color w:val="auto"/>
                <w:kern w:val="2"/>
                <w:sz w:val="24"/>
                <w:szCs w:val="24"/>
                <w:lang w:val="en-US" w:eastAsia="zh-CN" w:bidi="ar-SA"/>
              </w:rPr>
              <w:t>-0.</w:t>
            </w:r>
            <w:r>
              <w:rPr>
                <w:rFonts w:hint="eastAsia" w:cs="Times New Roman"/>
                <w:color w:val="auto"/>
                <w:kern w:val="2"/>
                <w:sz w:val="24"/>
                <w:szCs w:val="24"/>
                <w:lang w:val="en-US" w:eastAsia="zh-CN" w:bidi="ar-SA"/>
              </w:rPr>
              <w:t>63</w:t>
            </w:r>
            <w:r>
              <w:rPr>
                <w:rFonts w:hint="default"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1.89</w:t>
            </w:r>
            <w:r>
              <w:rPr>
                <w:rFonts w:hint="default" w:ascii="Times New Roman" w:hAnsi="Times New Roman" w:eastAsia="宋体" w:cs="Times New Roman"/>
                <w:color w:val="auto"/>
                <w:kern w:val="2"/>
                <w:sz w:val="24"/>
                <w:szCs w:val="24"/>
                <w:lang w:val="en-US" w:eastAsia="zh-CN" w:bidi="ar-SA"/>
              </w:rPr>
              <w:t>t/a，则预计项目年消耗活性炭量为</w:t>
            </w:r>
            <w:r>
              <w:rPr>
                <w:rFonts w:hint="eastAsia" w:cs="Times New Roman"/>
                <w:color w:val="auto"/>
                <w:kern w:val="2"/>
                <w:sz w:val="24"/>
                <w:szCs w:val="24"/>
                <w:lang w:val="en-US" w:eastAsia="zh-CN" w:bidi="ar-SA"/>
              </w:rPr>
              <w:t>3.5</w:t>
            </w:r>
            <w:r>
              <w:rPr>
                <w:rFonts w:hint="default" w:ascii="Times New Roman" w:hAnsi="Times New Roman" w:eastAsia="宋体" w:cs="Times New Roman"/>
                <w:color w:val="auto"/>
                <w:kern w:val="2"/>
                <w:sz w:val="24"/>
                <w:szCs w:val="24"/>
                <w:lang w:val="en-US" w:eastAsia="zh-CN" w:bidi="ar-SA"/>
              </w:rPr>
              <w:t>t。</w:t>
            </w:r>
            <w:r>
              <w:rPr>
                <w:rFonts w:hint="default" w:ascii="Times New Roman" w:hAnsi="Times New Roman" w:eastAsia="宋体" w:cs="Times New Roman"/>
                <w:color w:val="auto"/>
                <w:sz w:val="24"/>
                <w:szCs w:val="24"/>
                <w:highlight w:val="none"/>
              </w:rPr>
              <w:t>根据建设单位提供资料，</w:t>
            </w:r>
            <w:r>
              <w:rPr>
                <w:rFonts w:hint="default" w:ascii="Times New Roman" w:hAnsi="Times New Roman" w:eastAsia="宋体" w:cs="Times New Roman"/>
                <w:color w:val="auto"/>
                <w:sz w:val="24"/>
                <w:szCs w:val="24"/>
                <w:highlight w:val="none"/>
                <w:lang w:val="en-US" w:eastAsia="zh-CN"/>
              </w:rPr>
              <w:t>二级</w:t>
            </w:r>
            <w:r>
              <w:rPr>
                <w:rFonts w:hint="default" w:ascii="Times New Roman" w:hAnsi="Times New Roman" w:eastAsia="宋体" w:cs="Times New Roman"/>
                <w:color w:val="auto"/>
                <w:sz w:val="24"/>
                <w:szCs w:val="24"/>
                <w:highlight w:val="none"/>
              </w:rPr>
              <w:t>活性炭</w:t>
            </w:r>
            <w:r>
              <w:rPr>
                <w:rFonts w:hint="default" w:ascii="Times New Roman" w:hAnsi="Times New Roman" w:eastAsia="宋体" w:cs="Times New Roman"/>
                <w:color w:val="auto"/>
                <w:sz w:val="24"/>
                <w:szCs w:val="24"/>
                <w:highlight w:val="none"/>
                <w:lang w:val="en-US" w:eastAsia="zh-CN"/>
              </w:rPr>
              <w:t>箱</w:t>
            </w:r>
            <w:r>
              <w:rPr>
                <w:rFonts w:hint="default" w:ascii="Times New Roman" w:hAnsi="Times New Roman" w:eastAsia="宋体" w:cs="Times New Roman"/>
                <w:color w:val="auto"/>
                <w:sz w:val="24"/>
                <w:szCs w:val="24"/>
                <w:highlight w:val="none"/>
              </w:rPr>
              <w:t>一次填充量为</w:t>
            </w:r>
            <w:r>
              <w:rPr>
                <w:rFonts w:hint="default" w:ascii="Times New Roman" w:hAnsi="Times New Roman" w:eastAsia="宋体" w:cs="Times New Roman"/>
                <w:color w:val="auto"/>
                <w:sz w:val="24"/>
                <w:szCs w:val="24"/>
                <w:highlight w:val="none"/>
                <w:lang w:val="en-US" w:eastAsia="zh-CN"/>
              </w:rPr>
              <w:t>1.25</w:t>
            </w:r>
            <w:r>
              <w:rPr>
                <w:rFonts w:hint="default" w:ascii="Times New Roman" w:hAnsi="Times New Roman" w:eastAsia="宋体" w:cs="Times New Roman"/>
                <w:color w:val="auto"/>
                <w:sz w:val="24"/>
                <w:szCs w:val="24"/>
                <w:highlight w:val="none"/>
              </w:rPr>
              <w:t>t，为保证活性炭吸附效率，活性炭每</w:t>
            </w:r>
            <w:r>
              <w:rPr>
                <w:rFonts w:hint="eastAsia" w:cs="Times New Roman"/>
                <w:color w:val="auto"/>
                <w:sz w:val="24"/>
                <w:szCs w:val="24"/>
                <w:highlight w:val="none"/>
                <w:lang w:val="en-US" w:eastAsia="zh-CN"/>
              </w:rPr>
              <w:t>4个月</w:t>
            </w:r>
            <w:r>
              <w:rPr>
                <w:rFonts w:hint="default" w:ascii="Times New Roman" w:hAnsi="Times New Roman" w:eastAsia="宋体" w:cs="Times New Roman"/>
                <w:color w:val="auto"/>
                <w:sz w:val="24"/>
                <w:szCs w:val="24"/>
                <w:highlight w:val="none"/>
              </w:rPr>
              <w:t>更换一次，则年用</w:t>
            </w:r>
            <w:r>
              <w:rPr>
                <w:rFonts w:hint="default" w:ascii="Times New Roman" w:hAnsi="Times New Roman" w:eastAsia="宋体" w:cs="Times New Roman"/>
                <w:color w:val="auto"/>
                <w:sz w:val="24"/>
                <w:szCs w:val="24"/>
                <w:highlight w:val="none"/>
                <w:lang w:val="en-US" w:eastAsia="zh-CN"/>
              </w:rPr>
              <w:t>颗粒</w:t>
            </w:r>
            <w:r>
              <w:rPr>
                <w:rFonts w:hint="default" w:ascii="Times New Roman" w:hAnsi="Times New Roman" w:eastAsia="宋体" w:cs="Times New Roman"/>
                <w:color w:val="auto"/>
                <w:sz w:val="24"/>
                <w:szCs w:val="24"/>
                <w:highlight w:val="none"/>
              </w:rPr>
              <w:t>活性炭</w:t>
            </w:r>
            <w:r>
              <w:rPr>
                <w:rFonts w:hint="eastAsia" w:cs="Times New Roman"/>
                <w:color w:val="auto"/>
                <w:sz w:val="24"/>
                <w:szCs w:val="24"/>
                <w:highlight w:val="none"/>
                <w:lang w:val="en-US" w:eastAsia="zh-CN"/>
              </w:rPr>
              <w:t>3.75</w:t>
            </w:r>
            <w:r>
              <w:rPr>
                <w:rFonts w:hint="default" w:ascii="Times New Roman" w:hAnsi="Times New Roman" w:eastAsia="宋体" w:cs="Times New Roman"/>
                <w:color w:val="auto"/>
                <w:sz w:val="24"/>
                <w:szCs w:val="24"/>
                <w:highlight w:val="none"/>
              </w:rPr>
              <w:t>t，废活性炭产生量</w:t>
            </w:r>
            <w:r>
              <w:rPr>
                <w:rFonts w:hint="eastAsia" w:cs="Times New Roman"/>
                <w:color w:val="auto"/>
                <w:sz w:val="24"/>
                <w:szCs w:val="24"/>
                <w:highlight w:val="none"/>
                <w:lang w:val="en-US" w:eastAsia="zh-CN"/>
              </w:rPr>
              <w:t>5.64</w:t>
            </w:r>
            <w:r>
              <w:rPr>
                <w:rFonts w:hint="default" w:ascii="Times New Roman" w:hAnsi="Times New Roman" w:eastAsia="宋体" w:cs="Times New Roman"/>
                <w:color w:val="auto"/>
                <w:sz w:val="24"/>
                <w:szCs w:val="24"/>
                <w:highlight w:val="none"/>
              </w:rPr>
              <w:t>t/a</w:t>
            </w:r>
            <w:r>
              <w:rPr>
                <w:rFonts w:hint="default" w:ascii="Times New Roman" w:hAnsi="Times New Roman" w:eastAsia="宋体" w:cs="Times New Roman"/>
                <w:color w:val="FF0000"/>
                <w:sz w:val="24"/>
                <w:szCs w:val="24"/>
                <w:highlight w:val="none"/>
              </w:rPr>
              <w:t>（</w:t>
            </w:r>
            <w:r>
              <w:rPr>
                <w:rFonts w:hint="default" w:ascii="Times New Roman" w:hAnsi="Times New Roman" w:eastAsia="宋体" w:cs="Times New Roman"/>
                <w:color w:val="auto"/>
                <w:sz w:val="24"/>
                <w:szCs w:val="24"/>
                <w:highlight w:val="none"/>
              </w:rPr>
              <w:t>含吸附有机废气量），属于危险废物，对照《国家危险废物名录》（2025年），废物类别属于HW49其他废物，废物代码900-039-49（烟气、VOCs 治理过程（不包括餐饮行业油烟治理过程）产生的废活性炭，化学原料和化学制品脱色（不包括有机合成食品添加剂脱色）、除杂、净化过程产生的废活性炭（不包括900-405-06、772-005-18、261-053-29、265-002-29、384-003-29、387-001-29类危险废物）</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收集暂存于</w:t>
            </w:r>
            <w:r>
              <w:rPr>
                <w:rFonts w:hint="eastAsia" w:cs="Times New Roman"/>
                <w:color w:val="auto"/>
                <w:sz w:val="24"/>
                <w:szCs w:val="24"/>
                <w:highlight w:val="none"/>
                <w:lang w:eastAsia="zh-CN"/>
              </w:rPr>
              <w:t>危废暂存间</w:t>
            </w:r>
            <w:r>
              <w:rPr>
                <w:rFonts w:hint="default" w:ascii="Times New Roman" w:hAnsi="Times New Roman" w:eastAsia="宋体" w:cs="Times New Roman"/>
                <w:color w:val="auto"/>
                <w:sz w:val="24"/>
                <w:szCs w:val="24"/>
                <w:highlight w:val="none"/>
              </w:rPr>
              <w:t>，定期委托有危废资质单位进行处置。</w:t>
            </w:r>
          </w:p>
          <w:p w14:paraId="5A78BA12">
            <w:pPr>
              <w:pStyle w:val="107"/>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②</w:t>
            </w:r>
            <w:r>
              <w:rPr>
                <w:rFonts w:hint="eastAsia" w:ascii="Times New Roman" w:hAnsi="Times New Roman" w:cs="Times New Roman"/>
                <w:color w:val="auto"/>
                <w:spacing w:val="-1"/>
                <w:sz w:val="24"/>
                <w:szCs w:val="24"/>
                <w:lang w:eastAsia="zh-CN"/>
              </w:rPr>
              <w:t>废润滑油</w:t>
            </w:r>
          </w:p>
          <w:p w14:paraId="77B4D464">
            <w:pPr>
              <w:pStyle w:val="107"/>
              <w:ind w:firstLine="476"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pacing w:val="-1"/>
                <w:sz w:val="24"/>
                <w:szCs w:val="24"/>
              </w:rPr>
              <w:t>项目产生的危险废物主要为定期设备维护产生的</w:t>
            </w:r>
            <w:r>
              <w:rPr>
                <w:rFonts w:hint="eastAsia" w:ascii="Times New Roman" w:hAnsi="Times New Roman" w:cs="Times New Roman"/>
                <w:color w:val="auto"/>
                <w:spacing w:val="-1"/>
                <w:sz w:val="24"/>
                <w:szCs w:val="24"/>
                <w:lang w:eastAsia="zh-CN"/>
              </w:rPr>
              <w:t>废润滑油</w:t>
            </w:r>
            <w:r>
              <w:rPr>
                <w:rFonts w:hint="default" w:ascii="Times New Roman" w:hAnsi="Times New Roman" w:eastAsia="宋体" w:cs="Times New Roman"/>
                <w:color w:val="auto"/>
                <w:spacing w:val="-1"/>
                <w:sz w:val="24"/>
                <w:szCs w:val="24"/>
              </w:rPr>
              <w:t>，根据建设单位提供的资料，则</w:t>
            </w:r>
            <w:r>
              <w:rPr>
                <w:rFonts w:hint="eastAsia" w:ascii="Times New Roman" w:hAnsi="Times New Roman" w:cs="Times New Roman"/>
                <w:color w:val="auto"/>
                <w:spacing w:val="-1"/>
                <w:sz w:val="24"/>
                <w:szCs w:val="24"/>
                <w:lang w:eastAsia="zh-CN"/>
              </w:rPr>
              <w:t>废润滑油</w:t>
            </w:r>
            <w:r>
              <w:rPr>
                <w:rFonts w:hint="default" w:ascii="Times New Roman" w:hAnsi="Times New Roman" w:eastAsia="宋体" w:cs="Times New Roman"/>
                <w:color w:val="auto"/>
                <w:spacing w:val="-1"/>
                <w:sz w:val="24"/>
                <w:szCs w:val="24"/>
              </w:rPr>
              <w:t>产生量为0.</w:t>
            </w:r>
            <w:r>
              <w:rPr>
                <w:rFonts w:hint="eastAsia" w:ascii="Times New Roman" w:hAnsi="Times New Roman" w:eastAsia="宋体" w:cs="Times New Roman"/>
                <w:color w:val="auto"/>
                <w:spacing w:val="-1"/>
                <w:sz w:val="24"/>
                <w:szCs w:val="24"/>
                <w:lang w:val="en-US" w:eastAsia="zh-CN"/>
              </w:rPr>
              <w:t>1</w:t>
            </w:r>
            <w:r>
              <w:rPr>
                <w:rFonts w:hint="default" w:ascii="Times New Roman" w:hAnsi="Times New Roman" w:eastAsia="宋体" w:cs="Times New Roman"/>
                <w:color w:val="auto"/>
                <w:spacing w:val="-1"/>
                <w:sz w:val="24"/>
                <w:szCs w:val="24"/>
              </w:rPr>
              <w:t>t/a，属于</w:t>
            </w:r>
            <w:r>
              <w:rPr>
                <w:rFonts w:hint="eastAsia" w:ascii="Times New Roman" w:hAnsi="Times New Roman" w:cs="Times New Roman"/>
                <w:color w:val="auto"/>
                <w:spacing w:val="-1"/>
                <w:sz w:val="24"/>
                <w:szCs w:val="24"/>
                <w:lang w:eastAsia="zh-CN"/>
              </w:rPr>
              <w:t>《国家危险废物名录（2025年版）》</w:t>
            </w:r>
            <w:r>
              <w:rPr>
                <w:rFonts w:hint="default" w:ascii="Times New Roman" w:hAnsi="Times New Roman" w:eastAsia="宋体" w:cs="Times New Roman"/>
                <w:color w:val="auto"/>
                <w:spacing w:val="-1"/>
                <w:sz w:val="24"/>
                <w:szCs w:val="24"/>
              </w:rPr>
              <w:t>中的危险废物，废物类别</w:t>
            </w:r>
            <w:r>
              <w:rPr>
                <w:rFonts w:hint="eastAsia" w:ascii="Times New Roman" w:hAnsi="Times New Roman" w:cs="Times New Roman"/>
                <w:color w:val="auto"/>
                <w:spacing w:val="-1"/>
                <w:sz w:val="24"/>
                <w:szCs w:val="24"/>
                <w:lang w:eastAsia="zh-CN"/>
              </w:rPr>
              <w:t>属于</w:t>
            </w:r>
            <w:r>
              <w:rPr>
                <w:rFonts w:hint="default" w:ascii="Times New Roman" w:hAnsi="Times New Roman" w:eastAsia="宋体" w:cs="Times New Roman"/>
                <w:color w:val="auto"/>
                <w:spacing w:val="-1"/>
                <w:sz w:val="24"/>
                <w:szCs w:val="24"/>
              </w:rPr>
              <w:t>HW08</w:t>
            </w:r>
            <w:r>
              <w:rPr>
                <w:rFonts w:hint="eastAsia" w:ascii="Times New Roman" w:hAnsi="Times New Roman" w:cs="Times New Roman"/>
                <w:color w:val="auto"/>
                <w:spacing w:val="-1"/>
                <w:sz w:val="24"/>
                <w:szCs w:val="24"/>
                <w:lang w:eastAsia="zh-CN"/>
              </w:rPr>
              <w:t>废矿物油与含矿物油废物</w:t>
            </w:r>
            <w:r>
              <w:rPr>
                <w:rFonts w:hint="default" w:ascii="Times New Roman" w:hAnsi="Times New Roman" w:eastAsia="宋体" w:cs="Times New Roman"/>
                <w:color w:val="auto"/>
                <w:spacing w:val="-1"/>
                <w:sz w:val="24"/>
                <w:szCs w:val="24"/>
              </w:rPr>
              <w:t>，废物代码：900-21</w:t>
            </w:r>
            <w:r>
              <w:rPr>
                <w:rFonts w:hint="eastAsia" w:ascii="Times New Roman" w:hAnsi="Times New Roman" w:eastAsia="宋体" w:cs="Times New Roman"/>
                <w:color w:val="auto"/>
                <w:spacing w:val="-1"/>
                <w:sz w:val="24"/>
                <w:szCs w:val="24"/>
                <w:lang w:val="en-US" w:eastAsia="zh-CN"/>
              </w:rPr>
              <w:t>4</w:t>
            </w:r>
            <w:r>
              <w:rPr>
                <w:rFonts w:hint="default" w:ascii="Times New Roman" w:hAnsi="Times New Roman" w:eastAsia="宋体" w:cs="Times New Roman"/>
                <w:color w:val="auto"/>
                <w:spacing w:val="-1"/>
                <w:sz w:val="24"/>
                <w:szCs w:val="24"/>
              </w:rPr>
              <w:t>-08</w:t>
            </w:r>
            <w:r>
              <w:rPr>
                <w:rFonts w:hint="eastAsia" w:ascii="Times New Roman" w:hAnsi="Times New Roman" w:eastAsia="宋体" w:cs="Times New Roman"/>
                <w:color w:val="auto"/>
                <w:spacing w:val="-1"/>
                <w:sz w:val="24"/>
                <w:szCs w:val="24"/>
                <w:lang w:eastAsia="zh-CN"/>
              </w:rPr>
              <w:t>，</w:t>
            </w:r>
            <w:r>
              <w:rPr>
                <w:rFonts w:hint="eastAsia" w:ascii="Times New Roman" w:hAnsi="Times New Roman" w:eastAsia="宋体" w:cs="Times New Roman"/>
                <w:color w:val="auto"/>
                <w:spacing w:val="-1"/>
                <w:sz w:val="24"/>
                <w:szCs w:val="24"/>
              </w:rPr>
              <w:t>收集暂存于</w:t>
            </w:r>
            <w:r>
              <w:rPr>
                <w:rFonts w:hint="eastAsia" w:ascii="Times New Roman" w:hAnsi="Times New Roman" w:eastAsia="宋体" w:cs="Times New Roman"/>
                <w:color w:val="auto"/>
                <w:spacing w:val="-1"/>
                <w:sz w:val="24"/>
                <w:szCs w:val="24"/>
                <w:lang w:eastAsia="zh-CN"/>
              </w:rPr>
              <w:t>危废暂存间</w:t>
            </w:r>
            <w:r>
              <w:rPr>
                <w:rFonts w:hint="eastAsia" w:ascii="Times New Roman" w:hAnsi="Times New Roman" w:eastAsia="宋体" w:cs="Times New Roman"/>
                <w:color w:val="auto"/>
                <w:spacing w:val="-1"/>
                <w:sz w:val="24"/>
                <w:szCs w:val="24"/>
              </w:rPr>
              <w:t>，定期委托有危废资质单位进行处置</w:t>
            </w:r>
            <w:r>
              <w:rPr>
                <w:rFonts w:hint="eastAsia" w:ascii="Times New Roman" w:hAnsi="Times New Roman" w:eastAsia="宋体" w:cs="Times New Roman"/>
                <w:color w:val="auto"/>
                <w:spacing w:val="-1"/>
                <w:sz w:val="24"/>
                <w:szCs w:val="24"/>
                <w:lang w:eastAsia="zh-CN"/>
              </w:rPr>
              <w:t>。</w:t>
            </w:r>
          </w:p>
          <w:p w14:paraId="01479D8E">
            <w:pPr>
              <w:pStyle w:val="107"/>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textAlignment w:val="auto"/>
              <w:rPr>
                <w:rFonts w:hint="eastAsia" w:ascii="Times New Roman" w:hAnsi="Times New Roman" w:eastAsia="宋体" w:cs="Times New Roman"/>
                <w:color w:val="auto"/>
                <w:spacing w:val="-1"/>
                <w:sz w:val="24"/>
                <w:szCs w:val="24"/>
              </w:rPr>
            </w:pPr>
            <w:r>
              <w:rPr>
                <w:rFonts w:hint="eastAsia" w:ascii="Times New Roman" w:hAnsi="Times New Roman" w:eastAsia="宋体" w:cs="Times New Roman"/>
                <w:color w:val="auto"/>
                <w:spacing w:val="-1"/>
                <w:sz w:val="24"/>
                <w:szCs w:val="24"/>
                <w:lang w:eastAsia="zh-CN"/>
              </w:rPr>
              <w:t>③</w:t>
            </w:r>
            <w:r>
              <w:rPr>
                <w:rFonts w:hint="eastAsia" w:ascii="Times New Roman" w:hAnsi="Times New Roman" w:cs="Times New Roman"/>
                <w:color w:val="auto"/>
                <w:spacing w:val="-1"/>
                <w:sz w:val="24"/>
                <w:szCs w:val="24"/>
                <w:lang w:eastAsia="zh-CN"/>
              </w:rPr>
              <w:t>废液压油</w:t>
            </w:r>
          </w:p>
          <w:p w14:paraId="4296BCBA">
            <w:pPr>
              <w:pStyle w:val="107"/>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textAlignment w:val="auto"/>
              <w:rPr>
                <w:rFonts w:hint="eastAsia" w:ascii="Times New Roman" w:hAnsi="Times New Roman" w:eastAsia="宋体" w:cs="Times New Roman"/>
                <w:color w:val="auto"/>
                <w:spacing w:val="-1"/>
                <w:sz w:val="24"/>
                <w:szCs w:val="24"/>
                <w:lang w:eastAsia="zh-CN"/>
              </w:rPr>
            </w:pPr>
            <w:r>
              <w:rPr>
                <w:rFonts w:hint="default" w:ascii="Times New Roman" w:hAnsi="Times New Roman" w:eastAsia="宋体" w:cs="Times New Roman"/>
                <w:color w:val="auto"/>
                <w:spacing w:val="-1"/>
                <w:sz w:val="24"/>
                <w:szCs w:val="24"/>
              </w:rPr>
              <w:t>项目产生的危险废物主要为定期设备维护产生的</w:t>
            </w:r>
            <w:r>
              <w:rPr>
                <w:rFonts w:hint="eastAsia" w:ascii="Times New Roman" w:hAnsi="Times New Roman" w:cs="Times New Roman"/>
                <w:color w:val="auto"/>
                <w:spacing w:val="-1"/>
                <w:sz w:val="24"/>
                <w:szCs w:val="24"/>
                <w:lang w:eastAsia="zh-CN"/>
              </w:rPr>
              <w:t>废液压油</w:t>
            </w:r>
            <w:r>
              <w:rPr>
                <w:rFonts w:hint="default" w:ascii="Times New Roman" w:hAnsi="Times New Roman" w:eastAsia="宋体" w:cs="Times New Roman"/>
                <w:color w:val="auto"/>
                <w:spacing w:val="-1"/>
                <w:sz w:val="24"/>
                <w:szCs w:val="24"/>
              </w:rPr>
              <w:t>，根据建设单位提供的资料，则</w:t>
            </w:r>
            <w:r>
              <w:rPr>
                <w:rFonts w:hint="eastAsia" w:ascii="Times New Roman" w:hAnsi="Times New Roman" w:cs="Times New Roman"/>
                <w:color w:val="auto"/>
                <w:spacing w:val="-1"/>
                <w:sz w:val="24"/>
                <w:szCs w:val="24"/>
                <w:lang w:eastAsia="zh-CN"/>
              </w:rPr>
              <w:t>废液压油</w:t>
            </w:r>
            <w:r>
              <w:rPr>
                <w:rFonts w:hint="default" w:ascii="Times New Roman" w:hAnsi="Times New Roman" w:eastAsia="宋体" w:cs="Times New Roman"/>
                <w:color w:val="auto"/>
                <w:spacing w:val="-1"/>
                <w:sz w:val="24"/>
                <w:szCs w:val="24"/>
              </w:rPr>
              <w:t>产生量为0.</w:t>
            </w:r>
            <w:r>
              <w:rPr>
                <w:rFonts w:hint="eastAsia" w:ascii="Times New Roman" w:hAnsi="Times New Roman" w:cs="Times New Roman"/>
                <w:color w:val="auto"/>
                <w:spacing w:val="-1"/>
                <w:sz w:val="24"/>
                <w:szCs w:val="24"/>
                <w:lang w:eastAsia="zh-CN"/>
              </w:rPr>
              <w:t>1</w:t>
            </w:r>
            <w:r>
              <w:rPr>
                <w:rFonts w:hint="default" w:ascii="Times New Roman" w:hAnsi="Times New Roman" w:eastAsia="宋体" w:cs="Times New Roman"/>
                <w:color w:val="auto"/>
                <w:spacing w:val="-1"/>
                <w:sz w:val="24"/>
                <w:szCs w:val="24"/>
              </w:rPr>
              <w:t>t/a，属于</w:t>
            </w:r>
            <w:r>
              <w:rPr>
                <w:rFonts w:hint="eastAsia" w:ascii="Times New Roman" w:hAnsi="Times New Roman" w:cs="Times New Roman"/>
                <w:color w:val="auto"/>
                <w:spacing w:val="-1"/>
                <w:sz w:val="24"/>
                <w:szCs w:val="24"/>
                <w:lang w:eastAsia="zh-CN"/>
              </w:rPr>
              <w:t>《国家危险废物名录（2025年版）》</w:t>
            </w:r>
            <w:r>
              <w:rPr>
                <w:rFonts w:hint="default" w:ascii="Times New Roman" w:hAnsi="Times New Roman" w:eastAsia="宋体" w:cs="Times New Roman"/>
                <w:color w:val="auto"/>
                <w:spacing w:val="-1"/>
                <w:sz w:val="24"/>
                <w:szCs w:val="24"/>
              </w:rPr>
              <w:t>中的危险废物，废物类别</w:t>
            </w:r>
            <w:r>
              <w:rPr>
                <w:rFonts w:hint="eastAsia" w:ascii="Times New Roman" w:hAnsi="Times New Roman" w:cs="Times New Roman"/>
                <w:color w:val="auto"/>
                <w:spacing w:val="-1"/>
                <w:sz w:val="24"/>
                <w:szCs w:val="24"/>
                <w:lang w:eastAsia="zh-CN"/>
              </w:rPr>
              <w:t>属于</w:t>
            </w:r>
            <w:r>
              <w:rPr>
                <w:rFonts w:hint="default" w:ascii="Times New Roman" w:hAnsi="Times New Roman" w:eastAsia="宋体" w:cs="Times New Roman"/>
                <w:color w:val="auto"/>
                <w:spacing w:val="-1"/>
                <w:sz w:val="24"/>
                <w:szCs w:val="24"/>
              </w:rPr>
              <w:t>HW08</w:t>
            </w:r>
            <w:r>
              <w:rPr>
                <w:rFonts w:hint="eastAsia" w:ascii="Times New Roman" w:hAnsi="Times New Roman" w:cs="Times New Roman"/>
                <w:color w:val="auto"/>
                <w:spacing w:val="-1"/>
                <w:sz w:val="24"/>
                <w:szCs w:val="24"/>
                <w:lang w:eastAsia="zh-CN"/>
              </w:rPr>
              <w:t>废矿物油与含矿物油废物</w:t>
            </w:r>
            <w:r>
              <w:rPr>
                <w:rFonts w:hint="default" w:ascii="Times New Roman" w:hAnsi="Times New Roman" w:eastAsia="宋体" w:cs="Times New Roman"/>
                <w:color w:val="auto"/>
                <w:spacing w:val="-1"/>
                <w:sz w:val="24"/>
                <w:szCs w:val="24"/>
              </w:rPr>
              <w:t xml:space="preserve"> ，废物代码：900-21</w:t>
            </w:r>
            <w:r>
              <w:rPr>
                <w:rFonts w:hint="eastAsia" w:ascii="Times New Roman" w:hAnsi="Times New Roman" w:eastAsia="宋体" w:cs="Times New Roman"/>
                <w:color w:val="auto"/>
                <w:spacing w:val="-1"/>
                <w:sz w:val="24"/>
                <w:szCs w:val="24"/>
                <w:lang w:val="en-US" w:eastAsia="zh-CN"/>
              </w:rPr>
              <w:t>8</w:t>
            </w:r>
            <w:r>
              <w:rPr>
                <w:rFonts w:hint="default" w:ascii="Times New Roman" w:hAnsi="Times New Roman" w:eastAsia="宋体" w:cs="Times New Roman"/>
                <w:color w:val="auto"/>
                <w:spacing w:val="-1"/>
                <w:sz w:val="24"/>
                <w:szCs w:val="24"/>
              </w:rPr>
              <w:t>-08</w:t>
            </w:r>
            <w:r>
              <w:rPr>
                <w:rFonts w:hint="eastAsia" w:ascii="Times New Roman" w:hAnsi="Times New Roman" w:eastAsia="宋体" w:cs="Times New Roman"/>
                <w:color w:val="auto"/>
                <w:spacing w:val="-1"/>
                <w:sz w:val="24"/>
                <w:szCs w:val="24"/>
                <w:lang w:eastAsia="zh-CN"/>
              </w:rPr>
              <w:t>，</w:t>
            </w:r>
            <w:r>
              <w:rPr>
                <w:rFonts w:hint="eastAsia" w:ascii="Times New Roman" w:hAnsi="Times New Roman" w:eastAsia="宋体" w:cs="Times New Roman"/>
                <w:color w:val="auto"/>
                <w:spacing w:val="-1"/>
                <w:sz w:val="24"/>
                <w:szCs w:val="24"/>
              </w:rPr>
              <w:t>收集暂存于</w:t>
            </w:r>
            <w:r>
              <w:rPr>
                <w:rFonts w:hint="eastAsia" w:ascii="Times New Roman" w:hAnsi="Times New Roman" w:cs="Times New Roman"/>
                <w:color w:val="auto"/>
                <w:spacing w:val="-1"/>
                <w:sz w:val="24"/>
                <w:szCs w:val="24"/>
                <w:lang w:eastAsia="zh-CN"/>
              </w:rPr>
              <w:t>危废暂存间</w:t>
            </w:r>
            <w:r>
              <w:rPr>
                <w:rFonts w:hint="eastAsia" w:ascii="Times New Roman" w:hAnsi="Times New Roman" w:eastAsia="宋体" w:cs="Times New Roman"/>
                <w:color w:val="auto"/>
                <w:spacing w:val="-1"/>
                <w:sz w:val="24"/>
                <w:szCs w:val="24"/>
              </w:rPr>
              <w:t>，定期委托有危废资质单位进行处置</w:t>
            </w:r>
            <w:r>
              <w:rPr>
                <w:rFonts w:hint="eastAsia" w:ascii="Times New Roman" w:hAnsi="Times New Roman" w:eastAsia="宋体" w:cs="Times New Roman"/>
                <w:color w:val="auto"/>
                <w:spacing w:val="-1"/>
                <w:sz w:val="24"/>
                <w:szCs w:val="24"/>
                <w:lang w:eastAsia="zh-CN"/>
              </w:rPr>
              <w:t>。</w:t>
            </w:r>
          </w:p>
          <w:p w14:paraId="269FD729">
            <w:pPr>
              <w:pStyle w:val="107"/>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textAlignment w:val="auto"/>
              <w:rPr>
                <w:rFonts w:hint="eastAsia" w:ascii="Times New Roman" w:hAnsi="Times New Roman" w:eastAsia="宋体" w:cs="Times New Roman"/>
                <w:color w:val="auto"/>
                <w:spacing w:val="-1"/>
                <w:sz w:val="24"/>
                <w:szCs w:val="24"/>
                <w:lang w:eastAsia="zh-CN"/>
              </w:rPr>
            </w:pPr>
            <w:r>
              <w:rPr>
                <w:rFonts w:hint="eastAsia" w:ascii="Times New Roman" w:hAnsi="Times New Roman" w:eastAsia="宋体" w:cs="Times New Roman"/>
                <w:color w:val="auto"/>
                <w:spacing w:val="-1"/>
                <w:sz w:val="24"/>
                <w:szCs w:val="24"/>
                <w:lang w:eastAsia="zh-CN"/>
              </w:rPr>
              <w:t>④</w:t>
            </w:r>
            <w:r>
              <w:rPr>
                <w:rFonts w:hint="eastAsia" w:ascii="Times New Roman" w:hAnsi="Times New Roman" w:cs="Times New Roman"/>
                <w:color w:val="auto"/>
                <w:spacing w:val="-1"/>
                <w:sz w:val="24"/>
                <w:szCs w:val="24"/>
                <w:lang w:eastAsia="zh-CN"/>
              </w:rPr>
              <w:t>废润滑油桶及</w:t>
            </w:r>
            <w:r>
              <w:rPr>
                <w:rFonts w:hint="eastAsia" w:ascii="Times New Roman" w:hAnsi="Times New Roman" w:eastAsia="宋体" w:cs="Times New Roman"/>
                <w:color w:val="auto"/>
                <w:spacing w:val="-1"/>
                <w:sz w:val="24"/>
                <w:szCs w:val="24"/>
                <w:lang w:eastAsia="zh-CN"/>
              </w:rPr>
              <w:t>废液压油桶</w:t>
            </w:r>
          </w:p>
          <w:p w14:paraId="09D58358">
            <w:pPr>
              <w:pStyle w:val="107"/>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textAlignment w:val="auto"/>
              <w:rPr>
                <w:rFonts w:hint="eastAsia" w:ascii="Times New Roman" w:hAnsi="Times New Roman" w:eastAsia="宋体" w:cs="Times New Roman"/>
                <w:color w:val="auto"/>
                <w:spacing w:val="-1"/>
                <w:sz w:val="24"/>
                <w:szCs w:val="24"/>
                <w:lang w:eastAsia="zh-CN"/>
              </w:rPr>
            </w:pPr>
            <w:r>
              <w:rPr>
                <w:rFonts w:hint="default" w:ascii="Times New Roman" w:hAnsi="Times New Roman" w:eastAsia="宋体" w:cs="Times New Roman"/>
                <w:color w:val="auto"/>
                <w:spacing w:val="-1"/>
                <w:sz w:val="24"/>
                <w:szCs w:val="24"/>
              </w:rPr>
              <w:t>项目产生的危险废物主要为定期设备维护产生的</w:t>
            </w:r>
            <w:r>
              <w:rPr>
                <w:rFonts w:hint="eastAsia" w:ascii="Times New Roman" w:hAnsi="Times New Roman" w:cs="Times New Roman"/>
                <w:color w:val="auto"/>
                <w:spacing w:val="-1"/>
                <w:sz w:val="24"/>
                <w:szCs w:val="24"/>
                <w:lang w:eastAsia="zh-CN"/>
              </w:rPr>
              <w:t>废润滑油桶及</w:t>
            </w:r>
            <w:r>
              <w:rPr>
                <w:rFonts w:hint="eastAsia" w:ascii="Times New Roman" w:hAnsi="Times New Roman" w:eastAsia="宋体" w:cs="Times New Roman"/>
                <w:color w:val="auto"/>
                <w:spacing w:val="-1"/>
                <w:sz w:val="24"/>
                <w:szCs w:val="24"/>
                <w:lang w:eastAsia="zh-CN"/>
              </w:rPr>
              <w:t>废液压油桶</w:t>
            </w:r>
            <w:r>
              <w:rPr>
                <w:rFonts w:hint="default" w:ascii="Times New Roman" w:hAnsi="Times New Roman" w:eastAsia="宋体" w:cs="Times New Roman"/>
                <w:color w:val="auto"/>
                <w:spacing w:val="-1"/>
                <w:sz w:val="24"/>
                <w:szCs w:val="24"/>
              </w:rPr>
              <w:t>，根据建设单位提供的资料，则</w:t>
            </w:r>
            <w:r>
              <w:rPr>
                <w:rFonts w:hint="eastAsia" w:ascii="Times New Roman" w:hAnsi="Times New Roman" w:cs="Times New Roman"/>
                <w:color w:val="auto"/>
                <w:spacing w:val="-1"/>
                <w:sz w:val="24"/>
                <w:szCs w:val="24"/>
                <w:lang w:eastAsia="zh-CN"/>
              </w:rPr>
              <w:t>废润滑油桶及</w:t>
            </w:r>
            <w:r>
              <w:rPr>
                <w:rFonts w:hint="eastAsia" w:ascii="Times New Roman" w:hAnsi="Times New Roman" w:eastAsia="宋体" w:cs="Times New Roman"/>
                <w:color w:val="auto"/>
                <w:spacing w:val="-1"/>
                <w:sz w:val="24"/>
                <w:szCs w:val="24"/>
                <w:lang w:eastAsia="zh-CN"/>
              </w:rPr>
              <w:t>废液压油桶</w:t>
            </w:r>
            <w:r>
              <w:rPr>
                <w:rFonts w:hint="default" w:ascii="Times New Roman" w:hAnsi="Times New Roman" w:eastAsia="宋体" w:cs="Times New Roman"/>
                <w:color w:val="auto"/>
                <w:spacing w:val="-1"/>
                <w:sz w:val="24"/>
                <w:szCs w:val="24"/>
              </w:rPr>
              <w:t>产生量为0.</w:t>
            </w:r>
            <w:r>
              <w:rPr>
                <w:rFonts w:hint="eastAsia" w:ascii="Times New Roman" w:hAnsi="Times New Roman" w:cs="Times New Roman"/>
                <w:color w:val="auto"/>
                <w:spacing w:val="-1"/>
                <w:sz w:val="24"/>
                <w:szCs w:val="24"/>
                <w:lang w:val="en-US" w:eastAsia="zh-CN"/>
              </w:rPr>
              <w:t>05</w:t>
            </w:r>
            <w:r>
              <w:rPr>
                <w:rFonts w:hint="default" w:ascii="Times New Roman" w:hAnsi="Times New Roman" w:eastAsia="宋体" w:cs="Times New Roman"/>
                <w:color w:val="auto"/>
                <w:spacing w:val="-1"/>
                <w:sz w:val="24"/>
                <w:szCs w:val="24"/>
              </w:rPr>
              <w:t>t/a，属于</w:t>
            </w:r>
            <w:r>
              <w:rPr>
                <w:rFonts w:hint="eastAsia" w:ascii="Times New Roman" w:hAnsi="Times New Roman" w:cs="Times New Roman"/>
                <w:color w:val="auto"/>
                <w:spacing w:val="-1"/>
                <w:sz w:val="24"/>
                <w:szCs w:val="24"/>
                <w:lang w:eastAsia="zh-CN"/>
              </w:rPr>
              <w:t>《国家危险废物名录（2025年版）》</w:t>
            </w:r>
            <w:r>
              <w:rPr>
                <w:rFonts w:hint="default" w:ascii="Times New Roman" w:hAnsi="Times New Roman" w:eastAsia="宋体" w:cs="Times New Roman"/>
                <w:color w:val="auto"/>
                <w:spacing w:val="-1"/>
                <w:sz w:val="24"/>
                <w:szCs w:val="24"/>
              </w:rPr>
              <w:t>中的危险废物，废物类别</w:t>
            </w:r>
            <w:r>
              <w:rPr>
                <w:rFonts w:hint="eastAsia" w:ascii="Times New Roman" w:hAnsi="Times New Roman" w:cs="Times New Roman"/>
                <w:color w:val="auto"/>
                <w:spacing w:val="-1"/>
                <w:sz w:val="24"/>
                <w:szCs w:val="24"/>
                <w:lang w:eastAsia="zh-CN"/>
              </w:rPr>
              <w:t>属于</w:t>
            </w:r>
            <w:r>
              <w:rPr>
                <w:rFonts w:hint="default" w:ascii="Times New Roman" w:hAnsi="Times New Roman" w:eastAsia="宋体" w:cs="Times New Roman"/>
                <w:color w:val="auto"/>
                <w:spacing w:val="-1"/>
                <w:sz w:val="24"/>
                <w:szCs w:val="24"/>
              </w:rPr>
              <w:t>HW</w:t>
            </w:r>
            <w:r>
              <w:rPr>
                <w:rFonts w:hint="eastAsia" w:ascii="Times New Roman" w:hAnsi="Times New Roman" w:eastAsia="宋体" w:cs="Times New Roman"/>
                <w:color w:val="auto"/>
                <w:spacing w:val="-1"/>
                <w:sz w:val="24"/>
                <w:szCs w:val="24"/>
                <w:lang w:val="en-US" w:eastAsia="zh-CN"/>
              </w:rPr>
              <w:t>49其他废物</w:t>
            </w:r>
            <w:r>
              <w:rPr>
                <w:rFonts w:hint="default" w:ascii="Times New Roman" w:hAnsi="Times New Roman" w:eastAsia="宋体" w:cs="Times New Roman"/>
                <w:color w:val="auto"/>
                <w:spacing w:val="-1"/>
                <w:sz w:val="24"/>
                <w:szCs w:val="24"/>
              </w:rPr>
              <w:t>，废物代码：900-</w:t>
            </w:r>
            <w:r>
              <w:rPr>
                <w:rFonts w:hint="eastAsia" w:ascii="Times New Roman" w:hAnsi="Times New Roman" w:cs="Times New Roman"/>
                <w:color w:val="auto"/>
                <w:spacing w:val="-1"/>
                <w:sz w:val="24"/>
                <w:szCs w:val="24"/>
                <w:lang w:val="en-US" w:eastAsia="zh-CN"/>
              </w:rPr>
              <w:t>249</w:t>
            </w:r>
            <w:r>
              <w:rPr>
                <w:rFonts w:hint="default" w:ascii="Times New Roman" w:hAnsi="Times New Roman" w:eastAsia="宋体" w:cs="Times New Roman"/>
                <w:color w:val="auto"/>
                <w:spacing w:val="-1"/>
                <w:sz w:val="24"/>
                <w:szCs w:val="24"/>
              </w:rPr>
              <w:t>-</w:t>
            </w:r>
            <w:r>
              <w:rPr>
                <w:rFonts w:hint="eastAsia" w:ascii="Times New Roman" w:hAnsi="Times New Roman" w:cs="Times New Roman"/>
                <w:color w:val="auto"/>
                <w:spacing w:val="-1"/>
                <w:sz w:val="24"/>
                <w:szCs w:val="24"/>
                <w:lang w:val="en-US" w:eastAsia="zh-CN"/>
              </w:rPr>
              <w:t>08</w:t>
            </w:r>
            <w:r>
              <w:rPr>
                <w:rFonts w:hint="eastAsia" w:ascii="Times New Roman" w:hAnsi="Times New Roman" w:eastAsia="宋体" w:cs="Times New Roman"/>
                <w:color w:val="auto"/>
                <w:spacing w:val="-1"/>
                <w:sz w:val="24"/>
                <w:szCs w:val="24"/>
                <w:lang w:eastAsia="zh-CN"/>
              </w:rPr>
              <w:t>，</w:t>
            </w:r>
            <w:r>
              <w:rPr>
                <w:rFonts w:hint="eastAsia" w:ascii="Times New Roman" w:hAnsi="Times New Roman" w:eastAsia="宋体" w:cs="Times New Roman"/>
                <w:color w:val="auto"/>
                <w:spacing w:val="-1"/>
                <w:sz w:val="24"/>
                <w:szCs w:val="24"/>
              </w:rPr>
              <w:t>收集暂存于</w:t>
            </w:r>
            <w:r>
              <w:rPr>
                <w:rFonts w:hint="eastAsia" w:ascii="Times New Roman" w:hAnsi="Times New Roman" w:eastAsia="宋体" w:cs="Times New Roman"/>
                <w:color w:val="auto"/>
                <w:spacing w:val="-1"/>
                <w:sz w:val="24"/>
                <w:szCs w:val="24"/>
                <w:lang w:eastAsia="zh-CN"/>
              </w:rPr>
              <w:t>危废暂存间</w:t>
            </w:r>
            <w:r>
              <w:rPr>
                <w:rFonts w:hint="eastAsia" w:ascii="Times New Roman" w:hAnsi="Times New Roman" w:eastAsia="宋体" w:cs="Times New Roman"/>
                <w:color w:val="auto"/>
                <w:spacing w:val="-1"/>
                <w:sz w:val="24"/>
                <w:szCs w:val="24"/>
              </w:rPr>
              <w:t>，定期委托有危废资质单位进行处置</w:t>
            </w:r>
            <w:r>
              <w:rPr>
                <w:rFonts w:hint="eastAsia" w:ascii="Times New Roman" w:hAnsi="Times New Roman" w:eastAsia="宋体" w:cs="Times New Roman"/>
                <w:color w:val="auto"/>
                <w:spacing w:val="-1"/>
                <w:sz w:val="24"/>
                <w:szCs w:val="24"/>
                <w:lang w:eastAsia="zh-CN"/>
              </w:rPr>
              <w:t>。</w:t>
            </w:r>
          </w:p>
          <w:p w14:paraId="5E7B9F3B">
            <w:pPr>
              <w:pStyle w:val="107"/>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textAlignment w:val="auto"/>
              <w:rPr>
                <w:rFonts w:hint="eastAsia" w:ascii="Times New Roman" w:hAnsi="Times New Roman" w:eastAsia="宋体" w:cs="Times New Roman"/>
                <w:color w:val="auto"/>
                <w:spacing w:val="-1"/>
                <w:kern w:val="2"/>
                <w:sz w:val="24"/>
                <w:szCs w:val="24"/>
                <w:lang w:val="en-US" w:eastAsia="zh-CN"/>
              </w:rPr>
            </w:pPr>
            <w:r>
              <w:rPr>
                <w:rFonts w:hint="eastAsia" w:ascii="Times New Roman" w:hAnsi="Times New Roman" w:eastAsia="宋体" w:cs="Times New Roman"/>
                <w:color w:val="auto"/>
                <w:spacing w:val="-1"/>
                <w:sz w:val="24"/>
                <w:szCs w:val="24"/>
                <w:lang w:eastAsia="zh-CN"/>
              </w:rPr>
              <w:t>⑤</w:t>
            </w:r>
            <w:r>
              <w:rPr>
                <w:rFonts w:hint="eastAsia" w:ascii="Times New Roman" w:hAnsi="Times New Roman" w:eastAsia="宋体" w:cs="Times New Roman"/>
                <w:color w:val="auto"/>
                <w:spacing w:val="-1"/>
                <w:kern w:val="2"/>
                <w:sz w:val="24"/>
                <w:szCs w:val="24"/>
                <w:lang w:val="en-US" w:eastAsia="zh-CN"/>
              </w:rPr>
              <w:t>废抹布、废劳保手套</w:t>
            </w:r>
          </w:p>
          <w:p w14:paraId="2C6C16D0">
            <w:pPr>
              <w:pStyle w:val="107"/>
              <w:keepNext w:val="0"/>
              <w:keepLines w:val="0"/>
              <w:pageBreakBefore w:val="0"/>
              <w:widowControl/>
              <w:kinsoku/>
              <w:wordWrap/>
              <w:overflowPunct/>
              <w:topLinePunct w:val="0"/>
              <w:autoSpaceDE/>
              <w:autoSpaceDN/>
              <w:bidi w:val="0"/>
              <w:adjustRightInd/>
              <w:snapToGrid/>
              <w:spacing w:line="360" w:lineRule="auto"/>
              <w:ind w:left="0" w:leftChars="0" w:right="0" w:firstLine="476" w:firstLineChars="200"/>
              <w:textAlignment w:val="auto"/>
              <w:rPr>
                <w:rFonts w:hint="default" w:ascii="Times New Roman" w:hAnsi="Times New Roman" w:eastAsia="宋体" w:cs="Times New Roman"/>
                <w:color w:val="auto"/>
                <w:spacing w:val="0"/>
                <w:kern w:val="0"/>
                <w:sz w:val="21"/>
                <w:szCs w:val="21"/>
                <w:lang w:eastAsia="zh-CN"/>
              </w:rPr>
            </w:pPr>
            <w:r>
              <w:rPr>
                <w:rFonts w:hint="eastAsia" w:ascii="Times New Roman" w:hAnsi="Times New Roman" w:eastAsia="宋体" w:cs="Times New Roman"/>
                <w:color w:val="auto"/>
                <w:spacing w:val="-1"/>
                <w:sz w:val="24"/>
                <w:szCs w:val="24"/>
              </w:rPr>
              <w:t>在设备维护过程中使用的手套、抹布可能沾染废油液等，沾染废油的废手套、抹布属于危险废物，废物类别为HW49（其他废物），危险废物代码为900-041-49，产生量为</w:t>
            </w:r>
            <w:r>
              <w:rPr>
                <w:rFonts w:hint="eastAsia" w:ascii="Times New Roman" w:hAnsi="Times New Roman" w:eastAsia="宋体" w:cs="Times New Roman"/>
                <w:color w:val="auto"/>
                <w:spacing w:val="-1"/>
                <w:sz w:val="24"/>
                <w:szCs w:val="24"/>
                <w:lang w:val="en-US" w:eastAsia="zh-CN"/>
              </w:rPr>
              <w:t>0.01</w:t>
            </w:r>
            <w:r>
              <w:rPr>
                <w:rFonts w:hint="eastAsia" w:ascii="Times New Roman" w:hAnsi="Times New Roman" w:eastAsia="宋体" w:cs="Times New Roman"/>
                <w:color w:val="auto"/>
                <w:spacing w:val="-1"/>
                <w:sz w:val="24"/>
                <w:szCs w:val="24"/>
              </w:rPr>
              <w:t>t/a。根据《国家危险废物名录》（</w:t>
            </w:r>
            <w:r>
              <w:rPr>
                <w:rFonts w:hint="eastAsia" w:ascii="Times New Roman" w:hAnsi="Times New Roman" w:eastAsia="宋体" w:cs="Times New Roman"/>
                <w:color w:val="auto"/>
                <w:spacing w:val="-1"/>
                <w:sz w:val="24"/>
                <w:szCs w:val="24"/>
                <w:lang w:val="en-US" w:eastAsia="zh-CN"/>
              </w:rPr>
              <w:t>2025年</w:t>
            </w:r>
            <w:r>
              <w:rPr>
                <w:rFonts w:hint="eastAsia" w:ascii="Times New Roman" w:hAnsi="Times New Roman" w:eastAsia="宋体" w:cs="Times New Roman"/>
                <w:color w:val="auto"/>
                <w:spacing w:val="-1"/>
                <w:sz w:val="24"/>
                <w:szCs w:val="24"/>
              </w:rPr>
              <w:t>版）附录“危险废物豁免管理清单”中</w:t>
            </w:r>
            <w:r>
              <w:rPr>
                <w:rFonts w:hint="eastAsia" w:ascii="Times New Roman" w:hAnsi="Times New Roman" w:eastAsia="宋体" w:cs="Times New Roman"/>
                <w:color w:val="auto"/>
                <w:spacing w:val="-1"/>
                <w:sz w:val="24"/>
                <w:szCs w:val="24"/>
                <w:lang w:eastAsia="zh-CN"/>
              </w:rPr>
              <w:t>“</w:t>
            </w:r>
            <w:r>
              <w:rPr>
                <w:rFonts w:hint="eastAsia" w:ascii="Times New Roman" w:hAnsi="Times New Roman" w:eastAsia="宋体" w:cs="Times New Roman"/>
                <w:color w:val="auto"/>
                <w:spacing w:val="-1"/>
                <w:sz w:val="24"/>
                <w:szCs w:val="24"/>
              </w:rPr>
              <w:t>废弃的含油抹布、劳保用品</w:t>
            </w:r>
            <w:r>
              <w:rPr>
                <w:rFonts w:hint="eastAsia" w:ascii="Times New Roman" w:hAnsi="Times New Roman" w:eastAsia="宋体" w:cs="Times New Roman"/>
                <w:color w:val="auto"/>
                <w:spacing w:val="-1"/>
                <w:sz w:val="24"/>
                <w:szCs w:val="24"/>
                <w:lang w:eastAsia="zh-CN"/>
              </w:rPr>
              <w:t>未分类收集，</w:t>
            </w:r>
            <w:r>
              <w:rPr>
                <w:rFonts w:hint="eastAsia" w:ascii="Times New Roman" w:hAnsi="Times New Roman" w:eastAsia="宋体" w:cs="Times New Roman"/>
                <w:color w:val="auto"/>
                <w:spacing w:val="-1"/>
                <w:sz w:val="24"/>
                <w:szCs w:val="24"/>
              </w:rPr>
              <w:t>全过程不按危险废物管理</w:t>
            </w:r>
            <w:r>
              <w:rPr>
                <w:rFonts w:hint="eastAsia" w:ascii="Times New Roman" w:hAnsi="Times New Roman" w:eastAsia="宋体" w:cs="Times New Roman"/>
                <w:color w:val="auto"/>
                <w:spacing w:val="-1"/>
                <w:sz w:val="24"/>
                <w:szCs w:val="24"/>
                <w:lang w:eastAsia="zh-CN"/>
              </w:rPr>
              <w:t>”</w:t>
            </w:r>
            <w:r>
              <w:rPr>
                <w:rFonts w:hint="eastAsia" w:ascii="Times New Roman" w:hAnsi="Times New Roman" w:eastAsia="宋体" w:cs="Times New Roman"/>
                <w:color w:val="auto"/>
                <w:spacing w:val="-1"/>
                <w:sz w:val="24"/>
                <w:szCs w:val="24"/>
              </w:rPr>
              <w:t>，含油废手套、抹布</w:t>
            </w:r>
            <w:r>
              <w:rPr>
                <w:rFonts w:hint="eastAsia" w:ascii="Times New Roman" w:hAnsi="Times New Roman" w:eastAsia="宋体" w:cs="Times New Roman"/>
                <w:color w:val="auto"/>
                <w:spacing w:val="-1"/>
                <w:sz w:val="24"/>
                <w:szCs w:val="24"/>
                <w:lang w:val="en-US" w:eastAsia="zh-CN"/>
              </w:rPr>
              <w:t>交由</w:t>
            </w:r>
            <w:r>
              <w:rPr>
                <w:rFonts w:hint="eastAsia" w:ascii="Times New Roman" w:hAnsi="Times New Roman" w:eastAsia="宋体" w:cs="Times New Roman"/>
                <w:color w:val="auto"/>
                <w:spacing w:val="-1"/>
                <w:sz w:val="24"/>
                <w:szCs w:val="24"/>
                <w:lang w:eastAsia="zh-CN"/>
              </w:rPr>
              <w:t>环卫部门定期清运</w:t>
            </w:r>
            <w:r>
              <w:rPr>
                <w:rFonts w:hint="eastAsia" w:ascii="Times New Roman" w:hAnsi="Times New Roman" w:eastAsia="宋体" w:cs="Times New Roman"/>
                <w:color w:val="auto"/>
                <w:spacing w:val="-1"/>
                <w:sz w:val="24"/>
                <w:szCs w:val="24"/>
                <w:lang w:val="en-US" w:eastAsia="zh-CN"/>
              </w:rPr>
              <w:t>。</w:t>
            </w:r>
          </w:p>
          <w:bookmarkEnd w:id="42"/>
          <w:bookmarkEnd w:id="43"/>
          <w:p w14:paraId="4485D2B5">
            <w:pPr>
              <w:ind w:firstLine="476" w:firstLineChars="200"/>
              <w:rPr>
                <w:rFonts w:hint="eastAsia" w:ascii="Times New Roman" w:hAnsi="Times New Roman" w:eastAsia="宋体" w:cs="Times New Roman"/>
                <w:color w:val="auto"/>
                <w:spacing w:val="-1"/>
                <w:kern w:val="2"/>
                <w:sz w:val="24"/>
                <w:szCs w:val="24"/>
                <w:lang w:val="en-US" w:eastAsia="zh-CN" w:bidi="ar-SA"/>
              </w:rPr>
            </w:pPr>
            <w:bookmarkStart w:id="44" w:name="_Toc443482441"/>
            <w:bookmarkStart w:id="45" w:name="OLE_LINK110"/>
            <w:bookmarkStart w:id="46" w:name="OLE_LINK111"/>
            <w:r>
              <w:rPr>
                <w:rFonts w:hint="eastAsia" w:ascii="Times New Roman" w:hAnsi="Times New Roman" w:eastAsia="宋体" w:cs="Times New Roman"/>
                <w:color w:val="auto"/>
                <w:spacing w:val="-1"/>
                <w:kern w:val="2"/>
                <w:sz w:val="24"/>
                <w:szCs w:val="24"/>
                <w:lang w:val="en-US" w:eastAsia="zh-CN" w:bidi="ar-SA"/>
              </w:rPr>
              <w:t>（3）生活垃圾</w:t>
            </w:r>
          </w:p>
          <w:p w14:paraId="6857CC09">
            <w:pPr>
              <w:pStyle w:val="20"/>
              <w:widowControl w:val="0"/>
              <w:spacing w:before="0" w:beforeAutospacing="0" w:after="0" w:afterAutospacing="0"/>
              <w:ind w:firstLine="476" w:firstLineChars="200"/>
              <w:jc w:val="both"/>
              <w:rPr>
                <w:rFonts w:hint="eastAsia" w:ascii="Times New Roman" w:hAnsi="Times New Roman" w:eastAsia="宋体" w:cs="Times New Roman"/>
                <w:color w:val="auto"/>
                <w:spacing w:val="-1"/>
                <w:kern w:val="2"/>
                <w:sz w:val="24"/>
                <w:szCs w:val="24"/>
                <w:lang w:val="en-US" w:eastAsia="zh-CN" w:bidi="ar-SA"/>
              </w:rPr>
            </w:pPr>
            <w:r>
              <w:rPr>
                <w:rFonts w:hint="eastAsia" w:ascii="Times New Roman" w:hAnsi="Times New Roman" w:eastAsia="宋体" w:cs="Times New Roman"/>
                <w:color w:val="auto"/>
                <w:spacing w:val="-1"/>
                <w:kern w:val="2"/>
                <w:sz w:val="24"/>
                <w:szCs w:val="24"/>
                <w:lang w:val="en-US" w:eastAsia="zh-CN" w:bidi="ar-SA"/>
              </w:rPr>
              <w:t>项目职工人数30人，均不住厂，年工作330天。根据我国生活垃圾排放系数，不住厂职工按0.5kg/人·d计算，则项目生活垃圾产生量约为15kg/d（4.95t/a），类别为SW61，代码为900-002-S61，生活垃圾统一收集后由环卫部门统一清运处置。</w:t>
            </w:r>
            <w:bookmarkEnd w:id="44"/>
            <w:bookmarkEnd w:id="45"/>
            <w:bookmarkEnd w:id="46"/>
          </w:p>
          <w:p w14:paraId="69A39F57">
            <w:pPr>
              <w:pStyle w:val="20"/>
              <w:widowControl w:val="0"/>
              <w:spacing w:before="0" w:beforeAutospacing="0" w:after="0" w:afterAutospacing="0"/>
              <w:ind w:firstLine="482" w:firstLineChars="200"/>
              <w:jc w:val="center"/>
              <w:rPr>
                <w:rFonts w:hint="eastAsia" w:ascii="Times New Roman" w:hAnsi="Times New Roman" w:eastAsia="宋体" w:cs="Times New Roman"/>
                <w:color w:val="auto"/>
                <w:spacing w:val="-1"/>
                <w:kern w:val="2"/>
                <w:sz w:val="24"/>
                <w:szCs w:val="24"/>
                <w:lang w:val="en-US" w:eastAsia="zh-CN" w:bidi="ar-SA"/>
              </w:rPr>
            </w:pPr>
            <w:r>
              <w:rPr>
                <w:rFonts w:hint="eastAsia" w:ascii="Times New Roman" w:hAnsi="Times New Roman"/>
                <w:b/>
                <w:color w:val="auto"/>
                <w:lang w:eastAsia="zh-CN"/>
              </w:rPr>
              <w:t>表</w:t>
            </w:r>
            <w:r>
              <w:rPr>
                <w:rFonts w:hint="eastAsia" w:ascii="Times New Roman" w:hAnsi="Times New Roman" w:cs="Times New Roman"/>
                <w:b/>
                <w:bCs/>
                <w:color w:val="auto"/>
                <w:sz w:val="24"/>
                <w:szCs w:val="24"/>
                <w:lang w:val="en-US" w:eastAsia="zh-CN"/>
              </w:rPr>
              <w:t>4.4-1</w:t>
            </w:r>
            <w:r>
              <w:rPr>
                <w:rFonts w:ascii="Times New Roman" w:hAnsi="Times New Roman"/>
                <w:b/>
                <w:color w:val="auto"/>
              </w:rPr>
              <w:t>项目固废产生情况及处置一览表</w:t>
            </w:r>
          </w:p>
          <w:tbl>
            <w:tblPr>
              <w:tblStyle w:val="2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42"/>
              <w:gridCol w:w="567"/>
              <w:gridCol w:w="1495"/>
              <w:gridCol w:w="398"/>
              <w:gridCol w:w="588"/>
              <w:gridCol w:w="710"/>
              <w:gridCol w:w="405"/>
              <w:gridCol w:w="727"/>
              <w:gridCol w:w="727"/>
              <w:gridCol w:w="637"/>
              <w:gridCol w:w="1269"/>
            </w:tblGrid>
            <w:tr w14:paraId="334A46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42" w:type="dxa"/>
                  <w:noWrap w:val="0"/>
                  <w:vAlign w:val="center"/>
                </w:tcPr>
                <w:p w14:paraId="0D8BCCB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bookmarkStart w:id="47" w:name="OLE_LINK113"/>
                  <w:bookmarkStart w:id="48" w:name="OLE_LINK112"/>
                  <w:r>
                    <w:rPr>
                      <w:rFonts w:hint="default" w:ascii="Times New Roman" w:hAnsi="Times New Roman" w:eastAsia="宋体" w:cs="Times New Roman"/>
                      <w:color w:val="auto"/>
                      <w:sz w:val="21"/>
                      <w:szCs w:val="21"/>
                    </w:rPr>
                    <w:t>固废</w:t>
                  </w:r>
                </w:p>
                <w:p w14:paraId="349E61B7">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名称</w:t>
                  </w:r>
                </w:p>
              </w:tc>
              <w:tc>
                <w:tcPr>
                  <w:tcW w:w="567" w:type="dxa"/>
                  <w:noWrap w:val="0"/>
                  <w:vAlign w:val="center"/>
                </w:tcPr>
                <w:p w14:paraId="447F07E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废物性质</w:t>
                  </w:r>
                </w:p>
              </w:tc>
              <w:tc>
                <w:tcPr>
                  <w:tcW w:w="1495" w:type="dxa"/>
                  <w:noWrap w:val="0"/>
                  <w:vAlign w:val="center"/>
                </w:tcPr>
                <w:p w14:paraId="5DEF23C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类别编号</w:t>
                  </w:r>
                </w:p>
              </w:tc>
              <w:tc>
                <w:tcPr>
                  <w:tcW w:w="398" w:type="dxa"/>
                  <w:noWrap w:val="0"/>
                  <w:vAlign w:val="center"/>
                </w:tcPr>
                <w:p w14:paraId="6FBCAB3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危险特性</w:t>
                  </w:r>
                </w:p>
              </w:tc>
              <w:tc>
                <w:tcPr>
                  <w:tcW w:w="588" w:type="dxa"/>
                  <w:noWrap w:val="0"/>
                  <w:vAlign w:val="center"/>
                </w:tcPr>
                <w:p w14:paraId="6857BEE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产生量(t/a)</w:t>
                  </w:r>
                </w:p>
              </w:tc>
              <w:tc>
                <w:tcPr>
                  <w:tcW w:w="710" w:type="dxa"/>
                  <w:noWrap w:val="0"/>
                  <w:vAlign w:val="center"/>
                </w:tcPr>
                <w:p w14:paraId="22DCE9D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产生工序及装置</w:t>
                  </w:r>
                </w:p>
              </w:tc>
              <w:tc>
                <w:tcPr>
                  <w:tcW w:w="405" w:type="dxa"/>
                  <w:noWrap w:val="0"/>
                  <w:vAlign w:val="center"/>
                </w:tcPr>
                <w:p w14:paraId="2D6FCE3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形态</w:t>
                  </w:r>
                </w:p>
              </w:tc>
              <w:tc>
                <w:tcPr>
                  <w:tcW w:w="727" w:type="dxa"/>
                  <w:noWrap w:val="0"/>
                  <w:vAlign w:val="center"/>
                </w:tcPr>
                <w:p w14:paraId="1D5FF0B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w:t>
                  </w:r>
                </w:p>
                <w:p w14:paraId="383C4BC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成分</w:t>
                  </w:r>
                </w:p>
              </w:tc>
              <w:tc>
                <w:tcPr>
                  <w:tcW w:w="727" w:type="dxa"/>
                  <w:noWrap w:val="0"/>
                  <w:vAlign w:val="center"/>
                </w:tcPr>
                <w:p w14:paraId="135449C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有害</w:t>
                  </w:r>
                </w:p>
                <w:p w14:paraId="4290433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成分</w:t>
                  </w:r>
                </w:p>
              </w:tc>
              <w:tc>
                <w:tcPr>
                  <w:tcW w:w="637" w:type="dxa"/>
                  <w:noWrap w:val="0"/>
                  <w:vAlign w:val="center"/>
                </w:tcPr>
                <w:p w14:paraId="46661FC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产废</w:t>
                  </w:r>
                </w:p>
                <w:p w14:paraId="15586B1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规律</w:t>
                  </w:r>
                </w:p>
              </w:tc>
              <w:tc>
                <w:tcPr>
                  <w:tcW w:w="1269" w:type="dxa"/>
                  <w:noWrap w:val="0"/>
                  <w:vAlign w:val="center"/>
                </w:tcPr>
                <w:p w14:paraId="0DEC045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污染防治措施</w:t>
                  </w:r>
                </w:p>
              </w:tc>
            </w:tr>
            <w:tr w14:paraId="15CE4B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42" w:type="dxa"/>
                  <w:noWrap w:val="0"/>
                  <w:vAlign w:val="center"/>
                </w:tcPr>
                <w:p w14:paraId="3717FD0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废包装材料</w:t>
                  </w:r>
                </w:p>
              </w:tc>
              <w:tc>
                <w:tcPr>
                  <w:tcW w:w="567" w:type="dxa"/>
                  <w:vMerge w:val="restart"/>
                  <w:noWrap w:val="0"/>
                  <w:vAlign w:val="center"/>
                </w:tcPr>
                <w:p w14:paraId="10A85F5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一般固废</w:t>
                  </w:r>
                </w:p>
              </w:tc>
              <w:tc>
                <w:tcPr>
                  <w:tcW w:w="1495" w:type="dxa"/>
                  <w:noWrap w:val="0"/>
                  <w:vAlign w:val="center"/>
                </w:tcPr>
                <w:p w14:paraId="03BF0A9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SW17</w:t>
                  </w:r>
                </w:p>
                <w:p w14:paraId="533531F7">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900-003-S17</w:t>
                  </w:r>
                  <w:r>
                    <w:rPr>
                      <w:rFonts w:hint="default" w:ascii="Times New Roman" w:hAnsi="Times New Roman" w:eastAsia="宋体" w:cs="Times New Roman"/>
                      <w:color w:val="auto"/>
                      <w:sz w:val="21"/>
                      <w:szCs w:val="21"/>
                      <w:lang w:eastAsia="zh-CN"/>
                    </w:rPr>
                    <w:t>）</w:t>
                  </w:r>
                </w:p>
              </w:tc>
              <w:tc>
                <w:tcPr>
                  <w:tcW w:w="398" w:type="dxa"/>
                  <w:noWrap w:val="0"/>
                  <w:vAlign w:val="center"/>
                </w:tcPr>
                <w:p w14:paraId="26CC81B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88" w:type="dxa"/>
                  <w:noWrap w:val="0"/>
                  <w:vAlign w:val="center"/>
                </w:tcPr>
                <w:p w14:paraId="45FCCFDF">
                  <w:pPr>
                    <w:widowControl/>
                    <w:adjustRightInd w:val="0"/>
                    <w:snapToGrid w:val="0"/>
                    <w:spacing w:before="30" w:after="30"/>
                    <w:jc w:val="center"/>
                    <w:rPr>
                      <w:rFonts w:hint="default" w:ascii="Times New Roman" w:hAnsi="Times New Roman" w:eastAsia="宋体" w:cs="Times New Roman"/>
                      <w:color w:val="auto"/>
                      <w:sz w:val="21"/>
                      <w:szCs w:val="21"/>
                    </w:rPr>
                  </w:pPr>
                  <w:r>
                    <w:rPr>
                      <w:rFonts w:hint="eastAsia"/>
                      <w:color w:val="auto"/>
                      <w:szCs w:val="28"/>
                    </w:rPr>
                    <w:t>0</w:t>
                  </w:r>
                  <w:r>
                    <w:rPr>
                      <w:color w:val="auto"/>
                      <w:szCs w:val="28"/>
                    </w:rPr>
                    <w:t>.2</w:t>
                  </w:r>
                </w:p>
              </w:tc>
              <w:tc>
                <w:tcPr>
                  <w:tcW w:w="710" w:type="dxa"/>
                  <w:noWrap w:val="0"/>
                  <w:vAlign w:val="center"/>
                </w:tcPr>
                <w:p w14:paraId="29A66AA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ascii="Times New Roman" w:hAnsi="Times New Roman"/>
                      <w:color w:val="auto"/>
                      <w:sz w:val="21"/>
                      <w:szCs w:val="21"/>
                    </w:rPr>
                    <w:t>原</w:t>
                  </w:r>
                  <w:r>
                    <w:rPr>
                      <w:rFonts w:hint="default" w:ascii="Times New Roman" w:hAnsi="Times New Roman" w:eastAsia="宋体" w:cs="Times New Roman"/>
                      <w:color w:val="auto"/>
                      <w:sz w:val="21"/>
                      <w:szCs w:val="21"/>
                      <w:lang w:val="en-US" w:eastAsia="zh-CN"/>
                    </w:rPr>
                    <w:t>料</w:t>
                  </w:r>
                </w:p>
                <w:p w14:paraId="6F79329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拆包</w:t>
                  </w:r>
                </w:p>
              </w:tc>
              <w:tc>
                <w:tcPr>
                  <w:tcW w:w="405" w:type="dxa"/>
                  <w:noWrap w:val="0"/>
                  <w:vAlign w:val="center"/>
                </w:tcPr>
                <w:p w14:paraId="09D394C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固态</w:t>
                  </w:r>
                </w:p>
              </w:tc>
              <w:tc>
                <w:tcPr>
                  <w:tcW w:w="727" w:type="dxa"/>
                  <w:noWrap w:val="0"/>
                  <w:vAlign w:val="center"/>
                </w:tcPr>
                <w:p w14:paraId="1C8083A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29A96DF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7" w:type="dxa"/>
                  <w:noWrap w:val="0"/>
                  <w:vAlign w:val="center"/>
                </w:tcPr>
                <w:p w14:paraId="1EB6939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间断</w:t>
                  </w:r>
                </w:p>
              </w:tc>
              <w:tc>
                <w:tcPr>
                  <w:tcW w:w="1269" w:type="dxa"/>
                  <w:noWrap w:val="0"/>
                  <w:vAlign w:val="center"/>
                </w:tcPr>
                <w:p w14:paraId="6240055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经</w:t>
                  </w:r>
                  <w:r>
                    <w:rPr>
                      <w:rFonts w:hint="eastAsia" w:ascii="Times New Roman" w:hAnsi="Times New Roman" w:eastAsia="宋体" w:cs="Times New Roman"/>
                      <w:color w:val="auto"/>
                      <w:sz w:val="21"/>
                      <w:szCs w:val="21"/>
                    </w:rPr>
                    <w:t>收集后出售给回收企业综合利用</w:t>
                  </w:r>
                </w:p>
              </w:tc>
            </w:tr>
            <w:tr w14:paraId="3D2E6B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526" w:hRule="atLeast"/>
                <w:jc w:val="center"/>
              </w:trPr>
              <w:tc>
                <w:tcPr>
                  <w:tcW w:w="742" w:type="dxa"/>
                  <w:noWrap w:val="0"/>
                  <w:vAlign w:val="center"/>
                </w:tcPr>
                <w:p w14:paraId="45D5C4C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边角料、</w:t>
                  </w:r>
                  <w:r>
                    <w:rPr>
                      <w:rFonts w:hint="default" w:ascii="Times New Roman" w:hAnsi="Times New Roman" w:eastAsia="宋体" w:cs="Times New Roman"/>
                      <w:color w:val="auto"/>
                      <w:sz w:val="21"/>
                      <w:szCs w:val="21"/>
                      <w:lang w:val="en-US" w:eastAsia="zh-CN"/>
                    </w:rPr>
                    <w:t>不合格品</w:t>
                  </w:r>
                </w:p>
              </w:tc>
              <w:tc>
                <w:tcPr>
                  <w:tcW w:w="567" w:type="dxa"/>
                  <w:vMerge w:val="continue"/>
                  <w:noWrap w:val="0"/>
                  <w:vAlign w:val="center"/>
                </w:tcPr>
                <w:p w14:paraId="2B470E2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52F9076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SW17（900-099-S17）</w:t>
                  </w:r>
                </w:p>
              </w:tc>
              <w:tc>
                <w:tcPr>
                  <w:tcW w:w="398" w:type="dxa"/>
                  <w:noWrap w:val="0"/>
                  <w:vAlign w:val="center"/>
                </w:tcPr>
                <w:p w14:paraId="4F55EB0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88" w:type="dxa"/>
                  <w:noWrap w:val="0"/>
                  <w:vAlign w:val="center"/>
                </w:tcPr>
                <w:p w14:paraId="4F3E5276">
                  <w:pPr>
                    <w:widowControl/>
                    <w:adjustRightInd w:val="0"/>
                    <w:snapToGrid w:val="0"/>
                    <w:spacing w:before="30" w:after="30"/>
                    <w:jc w:val="center"/>
                    <w:rPr>
                      <w:rFonts w:hint="default" w:ascii="Times New Roman" w:hAnsi="Times New Roman" w:eastAsia="宋体" w:cs="Times New Roman"/>
                      <w:color w:val="auto"/>
                      <w:sz w:val="21"/>
                      <w:szCs w:val="21"/>
                      <w:lang w:val="en-US" w:eastAsia="zh-CN"/>
                    </w:rPr>
                  </w:pPr>
                  <w:r>
                    <w:rPr>
                      <w:rFonts w:hint="eastAsia"/>
                      <w:color w:val="auto"/>
                      <w:szCs w:val="28"/>
                      <w:lang w:val="en-US" w:eastAsia="zh-CN"/>
                    </w:rPr>
                    <w:t>210</w:t>
                  </w:r>
                </w:p>
              </w:tc>
              <w:tc>
                <w:tcPr>
                  <w:tcW w:w="710" w:type="dxa"/>
                  <w:noWrap w:val="0"/>
                  <w:vAlign w:val="center"/>
                </w:tcPr>
                <w:p w14:paraId="766CB30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生产</w:t>
                  </w:r>
                </w:p>
              </w:tc>
              <w:tc>
                <w:tcPr>
                  <w:tcW w:w="405" w:type="dxa"/>
                  <w:noWrap w:val="0"/>
                  <w:vAlign w:val="center"/>
                </w:tcPr>
                <w:p w14:paraId="7239D2C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727" w:type="dxa"/>
                  <w:noWrap w:val="0"/>
                  <w:vAlign w:val="center"/>
                </w:tcPr>
                <w:p w14:paraId="1DE9F74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072DE31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7" w:type="dxa"/>
                  <w:noWrap w:val="0"/>
                  <w:vAlign w:val="center"/>
                </w:tcPr>
                <w:p w14:paraId="657C6CD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noWrap w:val="0"/>
                  <w:vAlign w:val="center"/>
                </w:tcPr>
                <w:p w14:paraId="29F27EE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rPr>
                    <w:t>破碎后回用至熔融工序</w:t>
                  </w:r>
                </w:p>
              </w:tc>
            </w:tr>
            <w:tr w14:paraId="162DD1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526" w:hRule="atLeast"/>
                <w:jc w:val="center"/>
              </w:trPr>
              <w:tc>
                <w:tcPr>
                  <w:tcW w:w="742" w:type="dxa"/>
                  <w:noWrap w:val="0"/>
                  <w:vAlign w:val="center"/>
                </w:tcPr>
                <w:p w14:paraId="1E9758D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收集的粉尘</w:t>
                  </w:r>
                </w:p>
              </w:tc>
              <w:tc>
                <w:tcPr>
                  <w:tcW w:w="567" w:type="dxa"/>
                  <w:vMerge w:val="continue"/>
                  <w:noWrap w:val="0"/>
                  <w:vAlign w:val="center"/>
                </w:tcPr>
                <w:p w14:paraId="348D3788">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7D1233D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SW17（900-</w:t>
                  </w:r>
                  <w:r>
                    <w:rPr>
                      <w:rFonts w:hint="eastAsia" w:ascii="Times New Roman" w:hAnsi="Times New Roman" w:eastAsia="宋体" w:cs="Times New Roman"/>
                      <w:color w:val="auto"/>
                      <w:sz w:val="21"/>
                      <w:szCs w:val="21"/>
                      <w:lang w:val="en-US" w:eastAsia="zh-CN"/>
                    </w:rPr>
                    <w:t>9</w:t>
                  </w:r>
                  <w:r>
                    <w:rPr>
                      <w:rFonts w:hint="default" w:ascii="Times New Roman" w:hAnsi="Times New Roman" w:eastAsia="宋体" w:cs="Times New Roman"/>
                      <w:color w:val="auto"/>
                      <w:sz w:val="21"/>
                      <w:szCs w:val="21"/>
                      <w:lang w:val="en-US" w:eastAsia="zh-CN"/>
                    </w:rPr>
                    <w:t>99-S</w:t>
                  </w:r>
                  <w:r>
                    <w:rPr>
                      <w:rFonts w:hint="eastAsia" w:ascii="Times New Roman" w:hAnsi="Times New Roman" w:eastAsia="宋体" w:cs="Times New Roman"/>
                      <w:color w:val="auto"/>
                      <w:sz w:val="21"/>
                      <w:szCs w:val="21"/>
                      <w:lang w:val="en-US" w:eastAsia="zh-CN"/>
                    </w:rPr>
                    <w:t>66</w:t>
                  </w:r>
                  <w:r>
                    <w:rPr>
                      <w:rFonts w:hint="default" w:ascii="Times New Roman" w:hAnsi="Times New Roman" w:eastAsia="宋体" w:cs="Times New Roman"/>
                      <w:color w:val="auto"/>
                      <w:sz w:val="21"/>
                      <w:szCs w:val="21"/>
                      <w:lang w:val="en-US" w:eastAsia="zh-CN"/>
                    </w:rPr>
                    <w:t>）</w:t>
                  </w:r>
                </w:p>
              </w:tc>
              <w:tc>
                <w:tcPr>
                  <w:tcW w:w="398" w:type="dxa"/>
                  <w:noWrap w:val="0"/>
                  <w:vAlign w:val="center"/>
                </w:tcPr>
                <w:p w14:paraId="606776E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88" w:type="dxa"/>
                  <w:noWrap w:val="0"/>
                  <w:vAlign w:val="center"/>
                </w:tcPr>
                <w:p w14:paraId="19E57B9D">
                  <w:pPr>
                    <w:pStyle w:val="73"/>
                    <w:jc w:val="center"/>
                    <w:rPr>
                      <w:rFonts w:hint="default" w:ascii="Times New Roman" w:hAnsi="Times New Roman" w:eastAsia="宋体" w:cs="Times New Roman"/>
                      <w:color w:val="auto"/>
                      <w:sz w:val="21"/>
                      <w:szCs w:val="21"/>
                      <w:lang w:val="en-US" w:eastAsia="zh-CN"/>
                    </w:rPr>
                  </w:pPr>
                  <w:r>
                    <w:rPr>
                      <w:rFonts w:hint="eastAsia"/>
                      <w:color w:val="auto"/>
                      <w:lang w:val="en-US" w:eastAsia="zh-CN"/>
                    </w:rPr>
                    <w:t>2.03</w:t>
                  </w:r>
                </w:p>
              </w:tc>
              <w:tc>
                <w:tcPr>
                  <w:tcW w:w="710" w:type="dxa"/>
                  <w:vMerge w:val="restart"/>
                  <w:noWrap w:val="0"/>
                  <w:vAlign w:val="center"/>
                </w:tcPr>
                <w:p w14:paraId="289FF9E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废气</w:t>
                  </w:r>
                </w:p>
                <w:p w14:paraId="75E0F49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治理</w:t>
                  </w:r>
                </w:p>
              </w:tc>
              <w:tc>
                <w:tcPr>
                  <w:tcW w:w="405" w:type="dxa"/>
                  <w:noWrap w:val="0"/>
                  <w:vAlign w:val="center"/>
                </w:tcPr>
                <w:p w14:paraId="77C6C09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固态</w:t>
                  </w:r>
                </w:p>
              </w:tc>
              <w:tc>
                <w:tcPr>
                  <w:tcW w:w="727" w:type="dxa"/>
                  <w:noWrap w:val="0"/>
                  <w:vAlign w:val="center"/>
                </w:tcPr>
                <w:p w14:paraId="2F59F39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400F7E3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7" w:type="dxa"/>
                  <w:noWrap w:val="0"/>
                  <w:vAlign w:val="center"/>
                </w:tcPr>
                <w:p w14:paraId="143DF6A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noWrap w:val="0"/>
                  <w:vAlign w:val="center"/>
                </w:tcPr>
                <w:p w14:paraId="4796FB2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经收集后出售给回收企业综合利用</w:t>
                  </w:r>
                </w:p>
              </w:tc>
            </w:tr>
            <w:tr w14:paraId="601D96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526" w:hRule="atLeast"/>
                <w:jc w:val="center"/>
              </w:trPr>
              <w:tc>
                <w:tcPr>
                  <w:tcW w:w="742" w:type="dxa"/>
                  <w:noWrap w:val="0"/>
                  <w:vAlign w:val="center"/>
                </w:tcPr>
                <w:p w14:paraId="60936C7F">
                  <w:pPr>
                    <w:pStyle w:val="20"/>
                    <w:widowControl/>
                    <w:tabs>
                      <w:tab w:val="left" w:pos="0"/>
                    </w:tabs>
                    <w:spacing w:before="0" w:beforeAutospacing="0" w:after="0" w:afterAutospacing="0"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olor w:val="auto"/>
                      <w:sz w:val="21"/>
                      <w:szCs w:val="21"/>
                      <w:lang w:val="en-US" w:eastAsia="zh-CN"/>
                    </w:rPr>
                    <w:t>废滤袋</w:t>
                  </w:r>
                </w:p>
              </w:tc>
              <w:tc>
                <w:tcPr>
                  <w:tcW w:w="567" w:type="dxa"/>
                  <w:vMerge w:val="continue"/>
                  <w:noWrap w:val="0"/>
                  <w:vAlign w:val="center"/>
                </w:tcPr>
                <w:p w14:paraId="7B02393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77ADBD1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SW17（900-099-S17）</w:t>
                  </w:r>
                </w:p>
              </w:tc>
              <w:tc>
                <w:tcPr>
                  <w:tcW w:w="398" w:type="dxa"/>
                  <w:noWrap w:val="0"/>
                  <w:vAlign w:val="center"/>
                </w:tcPr>
                <w:p w14:paraId="617276D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88" w:type="dxa"/>
                  <w:noWrap w:val="0"/>
                  <w:vAlign w:val="center"/>
                </w:tcPr>
                <w:p w14:paraId="1F6F0981">
                  <w:pPr>
                    <w:pStyle w:val="20"/>
                    <w:tabs>
                      <w:tab w:val="left" w:pos="0"/>
                    </w:tabs>
                    <w:jc w:val="center"/>
                    <w:rPr>
                      <w:rFonts w:hint="eastAsia" w:ascii="Times New Roman" w:hAnsi="Times New Roman"/>
                      <w:color w:val="auto"/>
                      <w:sz w:val="21"/>
                      <w:szCs w:val="21"/>
                      <w:lang w:val="en-US" w:eastAsia="zh-CN"/>
                    </w:rPr>
                  </w:pPr>
                  <w:r>
                    <w:rPr>
                      <w:rFonts w:hint="eastAsia" w:ascii="Times New Roman" w:hAnsi="Times New Roman"/>
                      <w:bCs w:val="0"/>
                      <w:color w:val="auto"/>
                      <w:sz w:val="21"/>
                      <w:szCs w:val="21"/>
                      <w:lang w:val="en-US" w:eastAsia="zh-CN"/>
                    </w:rPr>
                    <w:t>0.0063</w:t>
                  </w:r>
                </w:p>
              </w:tc>
              <w:tc>
                <w:tcPr>
                  <w:tcW w:w="710" w:type="dxa"/>
                  <w:vMerge w:val="continue"/>
                  <w:noWrap w:val="0"/>
                  <w:vAlign w:val="center"/>
                </w:tcPr>
                <w:p w14:paraId="27E3539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405" w:type="dxa"/>
                  <w:noWrap w:val="0"/>
                  <w:vAlign w:val="center"/>
                </w:tcPr>
                <w:p w14:paraId="2023C36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727" w:type="dxa"/>
                  <w:noWrap w:val="0"/>
                  <w:vAlign w:val="center"/>
                </w:tcPr>
                <w:p w14:paraId="210F338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727" w:type="dxa"/>
                  <w:noWrap w:val="0"/>
                  <w:vAlign w:val="center"/>
                </w:tcPr>
                <w:p w14:paraId="4699756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637" w:type="dxa"/>
                  <w:noWrap w:val="0"/>
                  <w:vAlign w:val="center"/>
                </w:tcPr>
                <w:p w14:paraId="1BE7614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noWrap w:val="0"/>
                  <w:vAlign w:val="center"/>
                </w:tcPr>
                <w:p w14:paraId="01F78546">
                  <w:pPr>
                    <w:pStyle w:val="20"/>
                    <w:widowControl w:val="0"/>
                    <w:tabs>
                      <w:tab w:val="left" w:pos="0"/>
                    </w:tabs>
                    <w:spacing w:before="0" w:beforeAutospacing="0" w:after="0" w:afterAutospacing="0" w:line="240" w:lineRule="auto"/>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经收集后出售给回收企业综合利用</w:t>
                  </w:r>
                </w:p>
              </w:tc>
            </w:tr>
            <w:tr w14:paraId="468159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71" w:hRule="atLeast"/>
                <w:jc w:val="center"/>
              </w:trPr>
              <w:tc>
                <w:tcPr>
                  <w:tcW w:w="742" w:type="dxa"/>
                  <w:noWrap w:val="0"/>
                  <w:vAlign w:val="center"/>
                </w:tcPr>
                <w:p w14:paraId="51A7017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废活性炭</w:t>
                  </w:r>
                </w:p>
              </w:tc>
              <w:tc>
                <w:tcPr>
                  <w:tcW w:w="567" w:type="dxa"/>
                  <w:vMerge w:val="restart"/>
                  <w:noWrap w:val="0"/>
                  <w:vAlign w:val="center"/>
                </w:tcPr>
                <w:p w14:paraId="66446DE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危险废物</w:t>
                  </w:r>
                </w:p>
              </w:tc>
              <w:tc>
                <w:tcPr>
                  <w:tcW w:w="1495" w:type="dxa"/>
                  <w:noWrap w:val="0"/>
                  <w:vAlign w:val="center"/>
                </w:tcPr>
                <w:p w14:paraId="69F4969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HW49</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900-039-49</w:t>
                  </w:r>
                  <w:r>
                    <w:rPr>
                      <w:rFonts w:hint="default" w:ascii="Times New Roman" w:hAnsi="Times New Roman" w:eastAsia="宋体" w:cs="Times New Roman"/>
                      <w:color w:val="auto"/>
                      <w:sz w:val="21"/>
                      <w:szCs w:val="21"/>
                      <w:lang w:val="en-US" w:eastAsia="zh-CN"/>
                    </w:rPr>
                    <w:t>）</w:t>
                  </w:r>
                </w:p>
              </w:tc>
              <w:tc>
                <w:tcPr>
                  <w:tcW w:w="398" w:type="dxa"/>
                  <w:noWrap w:val="0"/>
                  <w:vAlign w:val="center"/>
                </w:tcPr>
                <w:p w14:paraId="2E168FF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w:t>
                  </w:r>
                </w:p>
              </w:tc>
              <w:tc>
                <w:tcPr>
                  <w:tcW w:w="588" w:type="dxa"/>
                  <w:noWrap w:val="0"/>
                  <w:vAlign w:val="center"/>
                </w:tcPr>
                <w:p w14:paraId="0384DD1F">
                  <w:pPr>
                    <w:pStyle w:val="73"/>
                    <w:jc w:val="center"/>
                    <w:rPr>
                      <w:rFonts w:hint="default" w:ascii="Times New Roman" w:hAnsi="Times New Roman" w:eastAsia="宋体" w:cs="Times New Roman"/>
                      <w:color w:val="auto"/>
                      <w:sz w:val="21"/>
                      <w:szCs w:val="21"/>
                      <w:lang w:val="en-US" w:eastAsia="zh-CN"/>
                    </w:rPr>
                  </w:pPr>
                  <w:r>
                    <w:rPr>
                      <w:rFonts w:hint="eastAsia"/>
                      <w:color w:val="auto"/>
                      <w:szCs w:val="21"/>
                      <w:lang w:val="en-US" w:eastAsia="zh-CN"/>
                    </w:rPr>
                    <w:t>5.64</w:t>
                  </w:r>
                </w:p>
              </w:tc>
              <w:tc>
                <w:tcPr>
                  <w:tcW w:w="710" w:type="dxa"/>
                  <w:noWrap w:val="0"/>
                  <w:vAlign w:val="center"/>
                </w:tcPr>
                <w:p w14:paraId="0E13D45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废气</w:t>
                  </w:r>
                </w:p>
                <w:p w14:paraId="7F873845">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治理</w:t>
                  </w:r>
                </w:p>
              </w:tc>
              <w:tc>
                <w:tcPr>
                  <w:tcW w:w="405" w:type="dxa"/>
                  <w:noWrap w:val="0"/>
                  <w:vAlign w:val="center"/>
                </w:tcPr>
                <w:p w14:paraId="740F358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727" w:type="dxa"/>
                  <w:noWrap w:val="0"/>
                  <w:vAlign w:val="center"/>
                </w:tcPr>
                <w:p w14:paraId="477E1E4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2783262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7" w:type="dxa"/>
                  <w:noWrap w:val="0"/>
                  <w:vAlign w:val="center"/>
                </w:tcPr>
                <w:p w14:paraId="2BC5519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vMerge w:val="restart"/>
                  <w:noWrap w:val="0"/>
                  <w:vAlign w:val="center"/>
                </w:tcPr>
                <w:p w14:paraId="2B7F8E1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收集暂存于</w:t>
                  </w:r>
                  <w:r>
                    <w:rPr>
                      <w:rFonts w:hint="eastAsia" w:ascii="Times New Roman" w:hAnsi="Times New Roman" w:cs="Times New Roman"/>
                      <w:color w:val="auto"/>
                      <w:sz w:val="21"/>
                      <w:szCs w:val="21"/>
                      <w:lang w:eastAsia="zh-CN"/>
                    </w:rPr>
                    <w:t>危废暂存间</w:t>
                  </w:r>
                  <w:r>
                    <w:rPr>
                      <w:rFonts w:hint="default" w:ascii="Times New Roman" w:hAnsi="Times New Roman" w:eastAsia="宋体" w:cs="Times New Roman"/>
                      <w:color w:val="auto"/>
                      <w:sz w:val="21"/>
                      <w:szCs w:val="21"/>
                    </w:rPr>
                    <w:t>，定期委托有危废资质单位进行处置</w:t>
                  </w:r>
                </w:p>
              </w:tc>
            </w:tr>
            <w:tr w14:paraId="22E313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742" w:type="dxa"/>
                  <w:noWrap w:val="0"/>
                  <w:vAlign w:val="center"/>
                </w:tcPr>
                <w:p w14:paraId="0B53355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废润滑油</w:t>
                  </w:r>
                </w:p>
              </w:tc>
              <w:tc>
                <w:tcPr>
                  <w:tcW w:w="567" w:type="dxa"/>
                  <w:vMerge w:val="continue"/>
                  <w:noWrap w:val="0"/>
                  <w:vAlign w:val="center"/>
                </w:tcPr>
                <w:p w14:paraId="6B2F4E5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443B1E6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HW08</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900-21</w:t>
                  </w:r>
                  <w:r>
                    <w:rPr>
                      <w:rFonts w:hint="eastAsia" w:ascii="Times New Roman" w:hAnsi="Times New Roman" w:cs="Times New Roman"/>
                      <w:color w:val="auto"/>
                      <w:sz w:val="21"/>
                      <w:szCs w:val="21"/>
                      <w:lang w:val="en-US" w:eastAsia="zh-CN"/>
                    </w:rPr>
                    <w:t>4</w:t>
                  </w:r>
                  <w:r>
                    <w:rPr>
                      <w:rFonts w:hint="default" w:ascii="Times New Roman" w:hAnsi="Times New Roman" w:eastAsia="宋体" w:cs="Times New Roman"/>
                      <w:color w:val="auto"/>
                      <w:sz w:val="21"/>
                      <w:szCs w:val="21"/>
                    </w:rPr>
                    <w:t>-08</w:t>
                  </w:r>
                  <w:r>
                    <w:rPr>
                      <w:rFonts w:hint="default" w:ascii="Times New Roman" w:hAnsi="Times New Roman" w:eastAsia="宋体" w:cs="Times New Roman"/>
                      <w:color w:val="auto"/>
                      <w:sz w:val="21"/>
                      <w:szCs w:val="21"/>
                      <w:lang w:val="en-US" w:eastAsia="zh-CN"/>
                    </w:rPr>
                    <w:t>）</w:t>
                  </w:r>
                </w:p>
              </w:tc>
              <w:tc>
                <w:tcPr>
                  <w:tcW w:w="398" w:type="dxa"/>
                  <w:noWrap w:val="0"/>
                  <w:vAlign w:val="center"/>
                </w:tcPr>
                <w:p w14:paraId="226DEAB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T，I</w:t>
                  </w:r>
                </w:p>
              </w:tc>
              <w:tc>
                <w:tcPr>
                  <w:tcW w:w="588" w:type="dxa"/>
                  <w:noWrap w:val="0"/>
                  <w:vAlign w:val="center"/>
                </w:tcPr>
                <w:p w14:paraId="2EADAA1D">
                  <w:pPr>
                    <w:pStyle w:val="73"/>
                    <w:jc w:val="center"/>
                    <w:rPr>
                      <w:rFonts w:hint="default" w:ascii="Times New Roman" w:hAnsi="Times New Roman" w:eastAsia="宋体" w:cs="Times New Roman"/>
                      <w:color w:val="auto"/>
                      <w:sz w:val="21"/>
                      <w:szCs w:val="21"/>
                      <w:lang w:val="en-US" w:eastAsia="zh-CN"/>
                    </w:rPr>
                  </w:pPr>
                  <w:r>
                    <w:rPr>
                      <w:rFonts w:hint="eastAsia"/>
                      <w:color w:val="auto"/>
                      <w:lang w:val="en-US" w:eastAsia="zh-CN"/>
                    </w:rPr>
                    <w:t>0.1</w:t>
                  </w:r>
                </w:p>
              </w:tc>
              <w:tc>
                <w:tcPr>
                  <w:tcW w:w="710" w:type="dxa"/>
                  <w:noWrap w:val="0"/>
                  <w:vAlign w:val="center"/>
                </w:tcPr>
                <w:p w14:paraId="3DE3D99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设备</w:t>
                  </w:r>
                </w:p>
                <w:p w14:paraId="4B6A947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维护</w:t>
                  </w:r>
                </w:p>
              </w:tc>
              <w:tc>
                <w:tcPr>
                  <w:tcW w:w="405" w:type="dxa"/>
                  <w:noWrap w:val="0"/>
                  <w:vAlign w:val="center"/>
                </w:tcPr>
                <w:p w14:paraId="34A8DAE9">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液态</w:t>
                  </w:r>
                </w:p>
              </w:tc>
              <w:tc>
                <w:tcPr>
                  <w:tcW w:w="727" w:type="dxa"/>
                  <w:noWrap w:val="0"/>
                  <w:vAlign w:val="center"/>
                </w:tcPr>
                <w:p w14:paraId="18BBC50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含矿物油</w:t>
                  </w:r>
                </w:p>
              </w:tc>
              <w:tc>
                <w:tcPr>
                  <w:tcW w:w="727" w:type="dxa"/>
                  <w:noWrap w:val="0"/>
                  <w:vAlign w:val="center"/>
                </w:tcPr>
                <w:p w14:paraId="28DDADE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含矿物油</w:t>
                  </w:r>
                </w:p>
              </w:tc>
              <w:tc>
                <w:tcPr>
                  <w:tcW w:w="637" w:type="dxa"/>
                  <w:noWrap w:val="0"/>
                  <w:vAlign w:val="center"/>
                </w:tcPr>
                <w:p w14:paraId="39E2EB01">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vMerge w:val="continue"/>
                  <w:noWrap w:val="0"/>
                  <w:vAlign w:val="center"/>
                </w:tcPr>
                <w:p w14:paraId="30160C4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r>
            <w:tr w14:paraId="728726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742" w:type="dxa"/>
                  <w:noWrap w:val="0"/>
                  <w:vAlign w:val="center"/>
                </w:tcPr>
                <w:p w14:paraId="7E8E007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废液压油</w:t>
                  </w:r>
                </w:p>
              </w:tc>
              <w:tc>
                <w:tcPr>
                  <w:tcW w:w="567" w:type="dxa"/>
                  <w:vMerge w:val="continue"/>
                  <w:noWrap w:val="0"/>
                  <w:vAlign w:val="center"/>
                </w:tcPr>
                <w:p w14:paraId="065B1C3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7396854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HW08</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900-21</w:t>
                  </w:r>
                  <w:r>
                    <w:rPr>
                      <w:rFonts w:hint="default" w:ascii="Times New Roman" w:hAnsi="Times New Roman" w:eastAsia="宋体" w:cs="Times New Roman"/>
                      <w:color w:val="auto"/>
                      <w:sz w:val="21"/>
                      <w:szCs w:val="21"/>
                      <w:lang w:val="en-US" w:eastAsia="zh-CN"/>
                    </w:rPr>
                    <w:t>8</w:t>
                  </w:r>
                  <w:r>
                    <w:rPr>
                      <w:rFonts w:hint="default" w:ascii="Times New Roman" w:hAnsi="Times New Roman" w:eastAsia="宋体" w:cs="Times New Roman"/>
                      <w:color w:val="auto"/>
                      <w:sz w:val="21"/>
                      <w:szCs w:val="21"/>
                    </w:rPr>
                    <w:t>-08</w:t>
                  </w:r>
                  <w:r>
                    <w:rPr>
                      <w:rFonts w:hint="default" w:ascii="Times New Roman" w:hAnsi="Times New Roman" w:eastAsia="宋体" w:cs="Times New Roman"/>
                      <w:color w:val="auto"/>
                      <w:sz w:val="21"/>
                      <w:szCs w:val="21"/>
                      <w:lang w:val="en-US" w:eastAsia="zh-CN"/>
                    </w:rPr>
                    <w:t>）</w:t>
                  </w:r>
                </w:p>
              </w:tc>
              <w:tc>
                <w:tcPr>
                  <w:tcW w:w="398" w:type="dxa"/>
                  <w:noWrap w:val="0"/>
                  <w:vAlign w:val="center"/>
                </w:tcPr>
                <w:p w14:paraId="6FA17B2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T，I</w:t>
                  </w:r>
                </w:p>
              </w:tc>
              <w:tc>
                <w:tcPr>
                  <w:tcW w:w="588" w:type="dxa"/>
                  <w:noWrap w:val="0"/>
                  <w:vAlign w:val="center"/>
                </w:tcPr>
                <w:p w14:paraId="3FCE3EE6">
                  <w:pPr>
                    <w:pStyle w:val="73"/>
                    <w:jc w:val="center"/>
                    <w:rPr>
                      <w:rFonts w:hint="eastAsia"/>
                      <w:color w:val="auto"/>
                      <w:lang w:val="en-US" w:eastAsia="zh-CN"/>
                    </w:rPr>
                  </w:pPr>
                  <w:r>
                    <w:rPr>
                      <w:rFonts w:hint="eastAsia"/>
                      <w:color w:val="auto"/>
                      <w:lang w:val="en-US" w:eastAsia="zh-CN"/>
                    </w:rPr>
                    <w:t>0.1</w:t>
                  </w:r>
                </w:p>
              </w:tc>
              <w:tc>
                <w:tcPr>
                  <w:tcW w:w="710" w:type="dxa"/>
                  <w:noWrap w:val="0"/>
                  <w:vAlign w:val="center"/>
                </w:tcPr>
                <w:p w14:paraId="05182B4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设备</w:t>
                  </w:r>
                </w:p>
                <w:p w14:paraId="619F92B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维护</w:t>
                  </w:r>
                </w:p>
              </w:tc>
              <w:tc>
                <w:tcPr>
                  <w:tcW w:w="405" w:type="dxa"/>
                  <w:noWrap w:val="0"/>
                  <w:vAlign w:val="center"/>
                </w:tcPr>
                <w:p w14:paraId="4304B8E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液态</w:t>
                  </w:r>
                </w:p>
              </w:tc>
              <w:tc>
                <w:tcPr>
                  <w:tcW w:w="727" w:type="dxa"/>
                  <w:noWrap w:val="0"/>
                  <w:vAlign w:val="center"/>
                </w:tcPr>
                <w:p w14:paraId="67D8797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含矿物油</w:t>
                  </w:r>
                </w:p>
              </w:tc>
              <w:tc>
                <w:tcPr>
                  <w:tcW w:w="727" w:type="dxa"/>
                  <w:noWrap w:val="0"/>
                  <w:vAlign w:val="center"/>
                </w:tcPr>
                <w:p w14:paraId="328645D7">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含矿物油</w:t>
                  </w:r>
                </w:p>
              </w:tc>
              <w:tc>
                <w:tcPr>
                  <w:tcW w:w="637" w:type="dxa"/>
                  <w:noWrap w:val="0"/>
                  <w:vAlign w:val="center"/>
                </w:tcPr>
                <w:p w14:paraId="1F64DC0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间断</w:t>
                  </w:r>
                </w:p>
              </w:tc>
              <w:tc>
                <w:tcPr>
                  <w:tcW w:w="1269" w:type="dxa"/>
                  <w:vMerge w:val="continue"/>
                  <w:noWrap w:val="0"/>
                  <w:vAlign w:val="center"/>
                </w:tcPr>
                <w:p w14:paraId="10B8DA5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r>
            <w:tr w14:paraId="479040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742" w:type="dxa"/>
                  <w:noWrap w:val="0"/>
                  <w:vAlign w:val="center"/>
                </w:tcPr>
                <w:p w14:paraId="01D64EC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pacing w:val="0"/>
                      <w:sz w:val="21"/>
                      <w:szCs w:val="21"/>
                      <w:lang w:eastAsia="zh-CN"/>
                    </w:rPr>
                    <w:t>废润滑油桶及</w:t>
                  </w:r>
                  <w:r>
                    <w:rPr>
                      <w:rFonts w:hint="default" w:ascii="Times New Roman" w:hAnsi="Times New Roman" w:eastAsia="宋体" w:cs="Times New Roman"/>
                      <w:color w:val="auto"/>
                      <w:spacing w:val="0"/>
                      <w:sz w:val="21"/>
                      <w:szCs w:val="21"/>
                      <w:lang w:eastAsia="zh-CN"/>
                    </w:rPr>
                    <w:t>废液压油桶</w:t>
                  </w:r>
                </w:p>
              </w:tc>
              <w:tc>
                <w:tcPr>
                  <w:tcW w:w="567" w:type="dxa"/>
                  <w:vMerge w:val="continue"/>
                  <w:noWrap w:val="0"/>
                  <w:vAlign w:val="center"/>
                </w:tcPr>
                <w:p w14:paraId="4E3288A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c>
                <w:tcPr>
                  <w:tcW w:w="1495" w:type="dxa"/>
                  <w:noWrap w:val="0"/>
                  <w:vAlign w:val="center"/>
                </w:tcPr>
                <w:p w14:paraId="6944BAA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HW49</w:t>
                  </w:r>
                </w:p>
                <w:p w14:paraId="44F1E94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（900-</w:t>
                  </w:r>
                  <w:r>
                    <w:rPr>
                      <w:rFonts w:hint="eastAsia" w:ascii="Times New Roman" w:hAnsi="Times New Roman" w:eastAsia="宋体" w:cs="Times New Roman"/>
                      <w:color w:val="auto"/>
                      <w:spacing w:val="0"/>
                      <w:sz w:val="21"/>
                      <w:szCs w:val="21"/>
                      <w:lang w:val="en-US" w:eastAsia="zh-CN"/>
                    </w:rPr>
                    <w:t>249</w:t>
                  </w:r>
                  <w:r>
                    <w:rPr>
                      <w:rFonts w:hint="default" w:ascii="Times New Roman" w:hAnsi="Times New Roman" w:eastAsia="宋体" w:cs="Times New Roman"/>
                      <w:color w:val="auto"/>
                      <w:spacing w:val="0"/>
                      <w:sz w:val="21"/>
                      <w:szCs w:val="21"/>
                      <w:lang w:val="en-US" w:eastAsia="zh-CN"/>
                    </w:rPr>
                    <w:t>-</w:t>
                  </w:r>
                  <w:r>
                    <w:rPr>
                      <w:rFonts w:hint="eastAsia" w:ascii="Times New Roman" w:hAnsi="Times New Roman" w:eastAsia="宋体" w:cs="Times New Roman"/>
                      <w:color w:val="auto"/>
                      <w:spacing w:val="0"/>
                      <w:sz w:val="21"/>
                      <w:szCs w:val="21"/>
                      <w:lang w:val="en-US" w:eastAsia="zh-CN"/>
                    </w:rPr>
                    <w:t>08</w:t>
                  </w:r>
                  <w:r>
                    <w:rPr>
                      <w:rFonts w:hint="default" w:ascii="Times New Roman" w:hAnsi="Times New Roman" w:eastAsia="宋体" w:cs="Times New Roman"/>
                      <w:color w:val="auto"/>
                      <w:spacing w:val="0"/>
                      <w:sz w:val="21"/>
                      <w:szCs w:val="21"/>
                      <w:lang w:val="en-US" w:eastAsia="zh-CN"/>
                    </w:rPr>
                    <w:t>）</w:t>
                  </w:r>
                </w:p>
              </w:tc>
              <w:tc>
                <w:tcPr>
                  <w:tcW w:w="398" w:type="dxa"/>
                  <w:noWrap w:val="0"/>
                  <w:vAlign w:val="center"/>
                </w:tcPr>
                <w:p w14:paraId="70D0907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T/In</w:t>
                  </w:r>
                </w:p>
              </w:tc>
              <w:tc>
                <w:tcPr>
                  <w:tcW w:w="588" w:type="dxa"/>
                  <w:noWrap w:val="0"/>
                  <w:vAlign w:val="center"/>
                </w:tcPr>
                <w:p w14:paraId="59D1F380">
                  <w:pPr>
                    <w:pStyle w:val="20"/>
                    <w:tabs>
                      <w:tab w:val="left" w:pos="0"/>
                    </w:tabs>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0.05</w:t>
                  </w:r>
                </w:p>
              </w:tc>
              <w:tc>
                <w:tcPr>
                  <w:tcW w:w="710" w:type="dxa"/>
                  <w:noWrap w:val="0"/>
                  <w:vAlign w:val="center"/>
                </w:tcPr>
                <w:p w14:paraId="00861E7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设备</w:t>
                  </w:r>
                </w:p>
                <w:p w14:paraId="30AA0A37">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维护</w:t>
                  </w:r>
                </w:p>
              </w:tc>
              <w:tc>
                <w:tcPr>
                  <w:tcW w:w="405" w:type="dxa"/>
                  <w:noWrap w:val="0"/>
                  <w:vAlign w:val="center"/>
                </w:tcPr>
                <w:p w14:paraId="5E7495CE">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727" w:type="dxa"/>
                  <w:noWrap w:val="0"/>
                  <w:vAlign w:val="center"/>
                </w:tcPr>
                <w:p w14:paraId="54BA483D">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含矿物油</w:t>
                  </w:r>
                </w:p>
              </w:tc>
              <w:tc>
                <w:tcPr>
                  <w:tcW w:w="727" w:type="dxa"/>
                  <w:noWrap w:val="0"/>
                  <w:vAlign w:val="center"/>
                </w:tcPr>
                <w:p w14:paraId="34F10E6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含矿物油</w:t>
                  </w:r>
                </w:p>
              </w:tc>
              <w:tc>
                <w:tcPr>
                  <w:tcW w:w="637" w:type="dxa"/>
                  <w:shd w:val="clear" w:color="auto" w:fill="auto"/>
                  <w:noWrap w:val="0"/>
                  <w:vAlign w:val="center"/>
                </w:tcPr>
                <w:p w14:paraId="33B6739B">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间断</w:t>
                  </w:r>
                </w:p>
              </w:tc>
              <w:tc>
                <w:tcPr>
                  <w:tcW w:w="1269" w:type="dxa"/>
                  <w:vMerge w:val="continue"/>
                  <w:noWrap w:val="0"/>
                  <w:vAlign w:val="center"/>
                </w:tcPr>
                <w:p w14:paraId="03C63C4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r>
            <w:tr w14:paraId="1FEB3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742" w:type="dxa"/>
                  <w:noWrap w:val="0"/>
                  <w:vAlign w:val="center"/>
                </w:tcPr>
                <w:p w14:paraId="589AA262">
                  <w:pPr>
                    <w:pStyle w:val="20"/>
                    <w:widowControl/>
                    <w:tabs>
                      <w:tab w:val="left" w:pos="0"/>
                    </w:tabs>
                    <w:spacing w:before="0" w:beforeAutospacing="0" w:after="0" w:afterAutospacing="0" w:line="240" w:lineRule="auto"/>
                    <w:jc w:val="center"/>
                    <w:rPr>
                      <w:rFonts w:hint="default" w:ascii="Times New Roman" w:hAnsi="Times New Roman" w:cs="Times New Roman"/>
                      <w:color w:val="auto"/>
                      <w:spacing w:val="0"/>
                      <w:sz w:val="21"/>
                      <w:szCs w:val="21"/>
                      <w:lang w:eastAsia="zh-CN"/>
                    </w:rPr>
                  </w:pPr>
                  <w:r>
                    <w:rPr>
                      <w:rFonts w:hint="default" w:ascii="Times New Roman" w:hAnsi="Times New Roman" w:eastAsia="宋体" w:cs="Times New Roman"/>
                      <w:color w:val="auto"/>
                      <w:spacing w:val="0"/>
                      <w:kern w:val="0"/>
                      <w:sz w:val="21"/>
                      <w:szCs w:val="21"/>
                      <w:lang w:val="en-US" w:eastAsia="zh-CN"/>
                    </w:rPr>
                    <w:t>废抹布、废劳保手套</w:t>
                  </w:r>
                </w:p>
              </w:tc>
              <w:tc>
                <w:tcPr>
                  <w:tcW w:w="567" w:type="dxa"/>
                  <w:noWrap w:val="0"/>
                  <w:vAlign w:val="center"/>
                </w:tcPr>
                <w:p w14:paraId="0D1E5AF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495" w:type="dxa"/>
                  <w:noWrap w:val="0"/>
                  <w:vAlign w:val="center"/>
                </w:tcPr>
                <w:p w14:paraId="5388D50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rPr>
                    <w:t>HW</w:t>
                  </w:r>
                  <w:r>
                    <w:rPr>
                      <w:rFonts w:hint="default" w:ascii="Times New Roman" w:hAnsi="Times New Roman" w:eastAsia="宋体" w:cs="Times New Roman"/>
                      <w:color w:val="auto"/>
                      <w:spacing w:val="0"/>
                      <w:sz w:val="21"/>
                      <w:szCs w:val="21"/>
                      <w:lang w:val="en-US" w:eastAsia="zh-CN"/>
                    </w:rPr>
                    <w:t>49</w:t>
                  </w:r>
                </w:p>
                <w:p w14:paraId="3D3D7FA8">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rPr>
                    <w:t>900-</w:t>
                  </w:r>
                  <w:r>
                    <w:rPr>
                      <w:rFonts w:hint="default" w:ascii="Times New Roman" w:hAnsi="Times New Roman" w:eastAsia="宋体" w:cs="Times New Roman"/>
                      <w:color w:val="auto"/>
                      <w:spacing w:val="0"/>
                      <w:sz w:val="21"/>
                      <w:szCs w:val="21"/>
                      <w:lang w:val="en-US" w:eastAsia="zh-CN"/>
                    </w:rPr>
                    <w:t>041</w:t>
                  </w:r>
                  <w:r>
                    <w:rPr>
                      <w:rFonts w:hint="default" w:ascii="Times New Roman" w:hAnsi="Times New Roman" w:eastAsia="宋体" w:cs="Times New Roman"/>
                      <w:color w:val="auto"/>
                      <w:spacing w:val="0"/>
                      <w:sz w:val="21"/>
                      <w:szCs w:val="21"/>
                    </w:rPr>
                    <w:t>-</w:t>
                  </w:r>
                  <w:r>
                    <w:rPr>
                      <w:rFonts w:hint="default" w:ascii="Times New Roman" w:hAnsi="Times New Roman" w:eastAsia="宋体" w:cs="Times New Roman"/>
                      <w:color w:val="auto"/>
                      <w:spacing w:val="0"/>
                      <w:sz w:val="21"/>
                      <w:szCs w:val="21"/>
                      <w:lang w:val="en-US" w:eastAsia="zh-CN"/>
                    </w:rPr>
                    <w:t>49）</w:t>
                  </w:r>
                </w:p>
              </w:tc>
              <w:tc>
                <w:tcPr>
                  <w:tcW w:w="398" w:type="dxa"/>
                  <w:noWrap w:val="0"/>
                  <w:vAlign w:val="center"/>
                </w:tcPr>
                <w:p w14:paraId="44B0F67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T/In</w:t>
                  </w:r>
                </w:p>
              </w:tc>
              <w:tc>
                <w:tcPr>
                  <w:tcW w:w="588" w:type="dxa"/>
                  <w:noWrap w:val="0"/>
                  <w:vAlign w:val="center"/>
                </w:tcPr>
                <w:p w14:paraId="38550449">
                  <w:pPr>
                    <w:pStyle w:val="20"/>
                    <w:tabs>
                      <w:tab w:val="left" w:pos="0"/>
                    </w:tabs>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0.01</w:t>
                  </w:r>
                </w:p>
              </w:tc>
              <w:tc>
                <w:tcPr>
                  <w:tcW w:w="710" w:type="dxa"/>
                  <w:noWrap w:val="0"/>
                  <w:vAlign w:val="center"/>
                </w:tcPr>
                <w:p w14:paraId="4FF3E6F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设备</w:t>
                  </w:r>
                </w:p>
                <w:p w14:paraId="7351E21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维护</w:t>
                  </w:r>
                </w:p>
              </w:tc>
              <w:tc>
                <w:tcPr>
                  <w:tcW w:w="405" w:type="dxa"/>
                  <w:noWrap w:val="0"/>
                  <w:vAlign w:val="center"/>
                </w:tcPr>
                <w:p w14:paraId="5222E2A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固态</w:t>
                  </w:r>
                </w:p>
              </w:tc>
              <w:tc>
                <w:tcPr>
                  <w:tcW w:w="727" w:type="dxa"/>
                  <w:noWrap w:val="0"/>
                  <w:vAlign w:val="center"/>
                </w:tcPr>
                <w:p w14:paraId="068F55A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含矿物油</w:t>
                  </w:r>
                </w:p>
              </w:tc>
              <w:tc>
                <w:tcPr>
                  <w:tcW w:w="727" w:type="dxa"/>
                  <w:noWrap w:val="0"/>
                  <w:vAlign w:val="center"/>
                </w:tcPr>
                <w:p w14:paraId="23069D5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含矿物油</w:t>
                  </w:r>
                </w:p>
              </w:tc>
              <w:tc>
                <w:tcPr>
                  <w:tcW w:w="637" w:type="dxa"/>
                  <w:shd w:val="clear" w:color="auto" w:fill="auto"/>
                  <w:noWrap w:val="0"/>
                  <w:vAlign w:val="center"/>
                </w:tcPr>
                <w:p w14:paraId="5FC8CC4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间断</w:t>
                  </w:r>
                </w:p>
              </w:tc>
              <w:tc>
                <w:tcPr>
                  <w:tcW w:w="1269" w:type="dxa"/>
                  <w:vMerge w:val="restart"/>
                  <w:noWrap w:val="0"/>
                  <w:vAlign w:val="center"/>
                </w:tcPr>
                <w:p w14:paraId="2502FC4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收集后交由环卫部门处理</w:t>
                  </w:r>
                </w:p>
              </w:tc>
            </w:tr>
            <w:tr w14:paraId="53FDB4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42" w:type="dxa"/>
                  <w:noWrap w:val="0"/>
                  <w:vAlign w:val="center"/>
                </w:tcPr>
                <w:p w14:paraId="635D81A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w:t>
                  </w:r>
                </w:p>
                <w:p w14:paraId="13F6949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垃圾</w:t>
                  </w:r>
                </w:p>
              </w:tc>
              <w:tc>
                <w:tcPr>
                  <w:tcW w:w="567" w:type="dxa"/>
                  <w:noWrap w:val="0"/>
                  <w:vAlign w:val="center"/>
                </w:tcPr>
                <w:p w14:paraId="61F7D7A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生活垃圾</w:t>
                  </w:r>
                </w:p>
              </w:tc>
              <w:tc>
                <w:tcPr>
                  <w:tcW w:w="1495" w:type="dxa"/>
                  <w:noWrap w:val="0"/>
                  <w:vAlign w:val="center"/>
                </w:tcPr>
                <w:p w14:paraId="4D4ACC53">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SW61（900-002-S61）</w:t>
                  </w:r>
                </w:p>
              </w:tc>
              <w:tc>
                <w:tcPr>
                  <w:tcW w:w="398" w:type="dxa"/>
                  <w:noWrap w:val="0"/>
                  <w:vAlign w:val="center"/>
                </w:tcPr>
                <w:p w14:paraId="6ACEFC3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w:t>
                  </w:r>
                </w:p>
              </w:tc>
              <w:tc>
                <w:tcPr>
                  <w:tcW w:w="588" w:type="dxa"/>
                  <w:noWrap w:val="0"/>
                  <w:vAlign w:val="center"/>
                </w:tcPr>
                <w:p w14:paraId="146432B2">
                  <w:pPr>
                    <w:pStyle w:val="73"/>
                    <w:jc w:val="center"/>
                    <w:rPr>
                      <w:rFonts w:hint="default" w:ascii="Times New Roman" w:hAnsi="Times New Roman" w:eastAsia="宋体" w:cs="Times New Roman"/>
                      <w:color w:val="auto"/>
                      <w:sz w:val="21"/>
                      <w:szCs w:val="21"/>
                      <w:lang w:val="en-US" w:eastAsia="zh-CN"/>
                    </w:rPr>
                  </w:pPr>
                  <w:r>
                    <w:rPr>
                      <w:rFonts w:hint="eastAsia"/>
                      <w:color w:val="auto"/>
                      <w:lang w:val="en-US" w:eastAsia="zh-CN"/>
                    </w:rPr>
                    <w:t>4.95</w:t>
                  </w:r>
                </w:p>
              </w:tc>
              <w:tc>
                <w:tcPr>
                  <w:tcW w:w="710" w:type="dxa"/>
                  <w:noWrap w:val="0"/>
                  <w:vAlign w:val="center"/>
                </w:tcPr>
                <w:p w14:paraId="5B0BA927">
                  <w:pPr>
                    <w:pStyle w:val="20"/>
                    <w:widowControl w:val="0"/>
                    <w:tabs>
                      <w:tab w:val="left" w:pos="0"/>
                    </w:tabs>
                    <w:spacing w:before="0" w:beforeAutospacing="0" w:after="0" w:afterAutospacing="0" w:line="240" w:lineRule="auto"/>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日常</w:t>
                  </w:r>
                </w:p>
                <w:p w14:paraId="51D2EA9A">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eastAsia" w:ascii="Times New Roman" w:hAnsi="Times New Roman" w:cs="Times New Roman"/>
                      <w:color w:val="auto"/>
                      <w:sz w:val="21"/>
                      <w:szCs w:val="21"/>
                      <w:lang w:val="en-US" w:eastAsia="zh-CN"/>
                    </w:rPr>
                    <w:t>生活</w:t>
                  </w:r>
                </w:p>
              </w:tc>
              <w:tc>
                <w:tcPr>
                  <w:tcW w:w="405" w:type="dxa"/>
                  <w:noWrap w:val="0"/>
                  <w:vAlign w:val="center"/>
                </w:tcPr>
                <w:p w14:paraId="22FAFE6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7CC24ABF">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w:t>
                  </w:r>
                </w:p>
              </w:tc>
              <w:tc>
                <w:tcPr>
                  <w:tcW w:w="727" w:type="dxa"/>
                  <w:noWrap w:val="0"/>
                  <w:vAlign w:val="center"/>
                </w:tcPr>
                <w:p w14:paraId="70476A56">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37" w:type="dxa"/>
                  <w:noWrap w:val="0"/>
                  <w:vAlign w:val="center"/>
                </w:tcPr>
                <w:p w14:paraId="03BFCE34">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lang w:val="en-US" w:eastAsia="zh-CN"/>
                    </w:rPr>
                    <w:t>/</w:t>
                  </w:r>
                </w:p>
              </w:tc>
              <w:tc>
                <w:tcPr>
                  <w:tcW w:w="1269" w:type="dxa"/>
                  <w:vMerge w:val="continue"/>
                  <w:noWrap w:val="0"/>
                  <w:vAlign w:val="center"/>
                </w:tcPr>
                <w:p w14:paraId="58AD8857">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p>
              </w:tc>
            </w:tr>
            <w:bookmarkEnd w:id="47"/>
            <w:bookmarkEnd w:id="48"/>
          </w:tbl>
          <w:p w14:paraId="42E445D3">
            <w:pPr>
              <w:pStyle w:val="62"/>
              <w:numPr>
                <w:ilvl w:val="2"/>
                <w:numId w:val="7"/>
              </w:numPr>
              <w:ind w:left="210"/>
              <w:rPr>
                <w:rFonts w:ascii="Times New Roman" w:hAnsi="Times New Roman" w:cs="Times New Roman"/>
                <w:color w:val="auto"/>
                <w:sz w:val="24"/>
                <w:szCs w:val="24"/>
              </w:rPr>
            </w:pPr>
          </w:p>
          <w:p w14:paraId="54D49713">
            <w:pPr>
              <w:pStyle w:val="62"/>
              <w:numPr>
                <w:ilvl w:val="-1"/>
                <w:numId w:val="0"/>
              </w:numPr>
              <w:ind w:left="210" w:firstLine="0"/>
              <w:rPr>
                <w:rFonts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4.4.2</w:t>
            </w:r>
            <w:r>
              <w:rPr>
                <w:rFonts w:ascii="Times New Roman" w:hAnsi="Times New Roman" w:cs="Times New Roman"/>
                <w:color w:val="auto"/>
                <w:sz w:val="24"/>
                <w:szCs w:val="24"/>
              </w:rPr>
              <w:t>环境</w:t>
            </w:r>
            <w:r>
              <w:rPr>
                <w:rFonts w:hint="eastAsia" w:ascii="Times New Roman" w:hAnsi="Times New Roman" w:cs="Times New Roman"/>
                <w:color w:val="auto"/>
                <w:sz w:val="24"/>
                <w:szCs w:val="24"/>
              </w:rPr>
              <w:t>影响分析</w:t>
            </w:r>
          </w:p>
          <w:p w14:paraId="722A3B3B">
            <w:pPr>
              <w:pStyle w:val="55"/>
              <w:ind w:firstLine="422"/>
              <w:rPr>
                <w:b/>
                <w:bCs/>
                <w:color w:val="auto"/>
                <w:sz w:val="24"/>
                <w:szCs w:val="24"/>
              </w:rPr>
            </w:pPr>
            <w:r>
              <w:rPr>
                <w:rFonts w:hint="eastAsia"/>
                <w:b/>
                <w:bCs/>
                <w:color w:val="auto"/>
                <w:sz w:val="24"/>
                <w:szCs w:val="24"/>
              </w:rPr>
              <w:t>（1）一般固体废物影响分析</w:t>
            </w:r>
          </w:p>
          <w:p w14:paraId="7576DE0E">
            <w:pPr>
              <w:pStyle w:val="55"/>
              <w:rPr>
                <w:color w:val="auto"/>
                <w:sz w:val="24"/>
                <w:szCs w:val="24"/>
              </w:rPr>
            </w:pPr>
            <w:r>
              <w:rPr>
                <w:rFonts w:hint="eastAsia"/>
                <w:color w:val="auto"/>
                <w:sz w:val="24"/>
                <w:szCs w:val="24"/>
              </w:rPr>
              <w:t>废包装</w:t>
            </w:r>
            <w:r>
              <w:rPr>
                <w:rFonts w:hint="eastAsia"/>
                <w:color w:val="auto"/>
                <w:sz w:val="24"/>
                <w:szCs w:val="24"/>
                <w:lang w:eastAsia="zh-CN"/>
              </w:rPr>
              <w:t>材料</w:t>
            </w:r>
            <w:r>
              <w:rPr>
                <w:rFonts w:hint="eastAsia"/>
                <w:color w:val="auto"/>
                <w:sz w:val="24"/>
                <w:szCs w:val="24"/>
              </w:rPr>
              <w:t>、收集</w:t>
            </w:r>
            <w:r>
              <w:rPr>
                <w:rFonts w:hint="eastAsia"/>
                <w:color w:val="auto"/>
                <w:sz w:val="24"/>
                <w:szCs w:val="24"/>
                <w:lang w:eastAsia="zh-CN"/>
              </w:rPr>
              <w:t>的</w:t>
            </w:r>
            <w:r>
              <w:rPr>
                <w:rFonts w:hint="eastAsia"/>
                <w:color w:val="auto"/>
                <w:sz w:val="24"/>
                <w:szCs w:val="24"/>
              </w:rPr>
              <w:t>粉尘等暂存于一般</w:t>
            </w:r>
            <w:r>
              <w:rPr>
                <w:rFonts w:hint="eastAsia"/>
                <w:iCs/>
                <w:color w:val="auto"/>
                <w:sz w:val="24"/>
                <w:szCs w:val="24"/>
              </w:rPr>
              <w:t>工业</w:t>
            </w:r>
            <w:r>
              <w:rPr>
                <w:rFonts w:hint="eastAsia"/>
                <w:color w:val="auto"/>
                <w:sz w:val="24"/>
                <w:szCs w:val="24"/>
              </w:rPr>
              <w:t>固废暂存间内，外售进行综合利用</w:t>
            </w:r>
          </w:p>
          <w:p w14:paraId="494832CD">
            <w:pPr>
              <w:pStyle w:val="55"/>
              <w:rPr>
                <w:color w:val="auto"/>
                <w:sz w:val="24"/>
                <w:szCs w:val="24"/>
              </w:rPr>
            </w:pPr>
            <w:r>
              <w:rPr>
                <w:rFonts w:hint="eastAsia"/>
                <w:color w:val="auto"/>
                <w:sz w:val="24"/>
                <w:szCs w:val="24"/>
              </w:rPr>
              <w:t>只要企业在日常运营过程中加强固废的储运管理，以上一般</w:t>
            </w:r>
            <w:r>
              <w:rPr>
                <w:rFonts w:hint="eastAsia"/>
                <w:iCs/>
                <w:color w:val="auto"/>
                <w:sz w:val="24"/>
                <w:szCs w:val="24"/>
              </w:rPr>
              <w:t>工业</w:t>
            </w:r>
            <w:r>
              <w:rPr>
                <w:rFonts w:hint="eastAsia"/>
                <w:color w:val="auto"/>
                <w:sz w:val="24"/>
                <w:szCs w:val="24"/>
              </w:rPr>
              <w:t>固废均可以做到综合利用，不会对周围环境产生影响。</w:t>
            </w:r>
          </w:p>
          <w:p w14:paraId="2BA58015">
            <w:pPr>
              <w:pStyle w:val="55"/>
              <w:ind w:firstLine="422"/>
              <w:rPr>
                <w:b/>
                <w:bCs/>
                <w:color w:val="auto"/>
                <w:sz w:val="24"/>
                <w:szCs w:val="24"/>
              </w:rPr>
            </w:pPr>
            <w:r>
              <w:rPr>
                <w:rFonts w:hint="eastAsia"/>
                <w:b/>
                <w:bCs/>
                <w:color w:val="auto"/>
                <w:sz w:val="24"/>
                <w:szCs w:val="24"/>
              </w:rPr>
              <w:t>（2）生活垃圾</w:t>
            </w:r>
          </w:p>
          <w:p w14:paraId="2B031669">
            <w:pPr>
              <w:pStyle w:val="55"/>
              <w:rPr>
                <w:rFonts w:hint="eastAsia"/>
                <w:color w:val="auto"/>
                <w:sz w:val="24"/>
                <w:szCs w:val="24"/>
              </w:rPr>
            </w:pPr>
            <w:r>
              <w:rPr>
                <w:rFonts w:hint="eastAsia"/>
                <w:color w:val="auto"/>
                <w:sz w:val="24"/>
                <w:szCs w:val="24"/>
              </w:rPr>
              <w:t>生活垃圾垃圾桶进行暂存，每天由环卫部门派专车进行清运，对环境产生影响较小。</w:t>
            </w:r>
          </w:p>
          <w:p w14:paraId="4A673338">
            <w:pPr>
              <w:pStyle w:val="55"/>
              <w:ind w:firstLine="422"/>
              <w:rPr>
                <w:b/>
                <w:bCs/>
                <w:color w:val="auto"/>
                <w:sz w:val="24"/>
                <w:szCs w:val="24"/>
              </w:rPr>
            </w:pPr>
            <w:r>
              <w:rPr>
                <w:rFonts w:hint="eastAsia"/>
                <w:b/>
                <w:bCs/>
                <w:color w:val="auto"/>
                <w:sz w:val="24"/>
                <w:szCs w:val="24"/>
              </w:rPr>
              <w:t>（3）危险废物影响分析</w:t>
            </w:r>
          </w:p>
          <w:p w14:paraId="29BEF2E5">
            <w:pPr>
              <w:pStyle w:val="55"/>
              <w:rPr>
                <w:color w:val="auto"/>
                <w:sz w:val="24"/>
                <w:szCs w:val="24"/>
              </w:rPr>
            </w:pPr>
            <w:r>
              <w:rPr>
                <w:rFonts w:hint="eastAsia"/>
                <w:color w:val="auto"/>
                <w:sz w:val="24"/>
                <w:szCs w:val="24"/>
              </w:rPr>
              <w:t>本项目危险废物处置方案的总体思路是：危险废物一律按《中华人民共和国固体废物污染环境防治法》有关规定要求，在厂区危险废物暂存间暂存后，交给有危险废物处理资质的单位进行无害化处理。</w:t>
            </w:r>
          </w:p>
          <w:p w14:paraId="1B513EB5">
            <w:pPr>
              <w:pStyle w:val="55"/>
              <w:rPr>
                <w:rFonts w:hint="eastAsia"/>
                <w:color w:val="auto"/>
                <w:sz w:val="24"/>
                <w:szCs w:val="24"/>
              </w:rPr>
            </w:pPr>
            <w:r>
              <w:rPr>
                <w:rFonts w:hint="eastAsia"/>
                <w:color w:val="auto"/>
                <w:sz w:val="24"/>
                <w:szCs w:val="24"/>
              </w:rPr>
              <w:t>本项目产生的危险废物具有一定的毒性，若防护不当或任意排放，将会引起二次污染，对周围环境造成一定的影响，故对危险废物贮存过程中的防护是十分必要的。本评价要求企业在危险废物收集、贮存过程中要严格执行</w:t>
            </w:r>
            <w:r>
              <w:rPr>
                <w:rFonts w:hint="default"/>
                <w:color w:val="auto"/>
                <w:sz w:val="24"/>
                <w:szCs w:val="24"/>
              </w:rPr>
              <w:t>《危险废物贮存污染控制标准》</w:t>
            </w:r>
            <w:r>
              <w:rPr>
                <w:rFonts w:hint="eastAsia"/>
                <w:color w:val="auto"/>
                <w:sz w:val="24"/>
                <w:szCs w:val="24"/>
                <w:lang w:eastAsia="zh-CN"/>
              </w:rPr>
              <w:t>（</w:t>
            </w:r>
            <w:r>
              <w:rPr>
                <w:rFonts w:hint="eastAsia"/>
                <w:color w:val="auto"/>
                <w:sz w:val="24"/>
                <w:szCs w:val="24"/>
              </w:rPr>
              <w:t>GB 18597</w:t>
            </w:r>
            <w:r>
              <w:rPr>
                <w:rFonts w:hint="eastAsia"/>
                <w:color w:val="auto"/>
                <w:sz w:val="24"/>
                <w:szCs w:val="24"/>
                <w:lang w:val="en-US" w:eastAsia="zh-CN"/>
              </w:rPr>
              <w:t>-</w:t>
            </w:r>
            <w:r>
              <w:rPr>
                <w:rFonts w:hint="eastAsia"/>
                <w:color w:val="auto"/>
                <w:sz w:val="24"/>
                <w:szCs w:val="24"/>
              </w:rPr>
              <w:t>2023</w:t>
            </w:r>
            <w:r>
              <w:rPr>
                <w:rFonts w:hint="eastAsia"/>
                <w:color w:val="auto"/>
                <w:sz w:val="24"/>
                <w:szCs w:val="24"/>
                <w:lang w:eastAsia="zh-CN"/>
              </w:rPr>
              <w:t>）</w:t>
            </w:r>
            <w:r>
              <w:rPr>
                <w:rFonts w:hint="default"/>
                <w:color w:val="auto"/>
                <w:sz w:val="24"/>
                <w:szCs w:val="24"/>
                <w:lang w:val="en-GB" w:eastAsia="zh-CN"/>
              </w:rPr>
              <w:t>要求</w:t>
            </w:r>
            <w:r>
              <w:rPr>
                <w:rFonts w:hint="eastAsia"/>
                <w:color w:val="auto"/>
                <w:sz w:val="24"/>
                <w:szCs w:val="24"/>
              </w:rPr>
              <w:t>及《危险废物收集、贮存、运输技术规范》（HJ 2025-2012）中相关要求，并制定严密的防护、防渗措施，避免发生事故，做好危险废物的全过程监督管理。在此基础上，本项目危险废物在危废暂存间暂存对环境影响不大。</w:t>
            </w:r>
          </w:p>
          <w:p w14:paraId="3A2FB7CE">
            <w:pPr>
              <w:pStyle w:val="55"/>
              <w:rPr>
                <w:rFonts w:hint="eastAsia"/>
                <w:color w:val="auto"/>
                <w:sz w:val="24"/>
                <w:szCs w:val="24"/>
              </w:rPr>
            </w:pPr>
          </w:p>
          <w:p w14:paraId="7EDCF916">
            <w:pPr>
              <w:pStyle w:val="62"/>
              <w:numPr>
                <w:ilvl w:val="2"/>
                <w:numId w:val="7"/>
              </w:numPr>
              <w:ind w:left="210"/>
              <w:rPr>
                <w:rFonts w:ascii="Times New Roman" w:hAnsi="Times New Roman" w:cs="Times New Roman"/>
                <w:color w:val="auto"/>
                <w:sz w:val="24"/>
                <w:szCs w:val="24"/>
              </w:rPr>
            </w:pPr>
            <w:r>
              <w:rPr>
                <w:rFonts w:ascii="Times New Roman" w:hAnsi="Times New Roman" w:cs="Times New Roman"/>
                <w:color w:val="auto"/>
                <w:sz w:val="24"/>
                <w:szCs w:val="24"/>
              </w:rPr>
              <w:t>环境管理要求</w:t>
            </w:r>
          </w:p>
          <w:p w14:paraId="7A614E24">
            <w:pPr>
              <w:pStyle w:val="55"/>
              <w:ind w:firstLine="422"/>
              <w:rPr>
                <w:b/>
                <w:bCs/>
                <w:color w:val="auto"/>
                <w:sz w:val="24"/>
                <w:szCs w:val="24"/>
              </w:rPr>
            </w:pPr>
            <w:r>
              <w:rPr>
                <w:b/>
                <w:bCs/>
                <w:color w:val="auto"/>
                <w:sz w:val="24"/>
                <w:szCs w:val="24"/>
              </w:rPr>
              <w:t>（1）生活垃圾</w:t>
            </w:r>
          </w:p>
          <w:p w14:paraId="41445585">
            <w:pPr>
              <w:pStyle w:val="55"/>
              <w:rPr>
                <w:color w:val="auto"/>
                <w:sz w:val="24"/>
                <w:szCs w:val="24"/>
              </w:rPr>
            </w:pPr>
            <w:r>
              <w:rPr>
                <w:color w:val="auto"/>
                <w:sz w:val="24"/>
                <w:szCs w:val="24"/>
              </w:rPr>
              <w:t>生活垃圾属于非工业固废，在厂房内设置若干个保洁容器，企业收集后交由环卫部门统一清运。</w:t>
            </w:r>
          </w:p>
          <w:p w14:paraId="48219C93">
            <w:pPr>
              <w:pStyle w:val="55"/>
              <w:ind w:firstLine="422"/>
              <w:rPr>
                <w:b/>
                <w:bCs/>
                <w:color w:val="auto"/>
                <w:sz w:val="24"/>
                <w:szCs w:val="24"/>
              </w:rPr>
            </w:pPr>
            <w:r>
              <w:rPr>
                <w:b/>
                <w:bCs/>
                <w:color w:val="auto"/>
                <w:sz w:val="24"/>
                <w:szCs w:val="24"/>
              </w:rPr>
              <w:t>（2）一般工业固废</w:t>
            </w:r>
          </w:p>
          <w:p w14:paraId="6A93F3CF">
            <w:pPr>
              <w:pStyle w:val="55"/>
              <w:rPr>
                <w:color w:val="auto"/>
                <w:sz w:val="24"/>
                <w:szCs w:val="24"/>
              </w:rPr>
            </w:pPr>
            <w:r>
              <w:rPr>
                <w:color w:val="auto"/>
                <w:sz w:val="24"/>
                <w:szCs w:val="24"/>
              </w:rPr>
              <w:t>本</w:t>
            </w:r>
            <w:r>
              <w:rPr>
                <w:rFonts w:hint="eastAsia"/>
                <w:color w:val="auto"/>
                <w:sz w:val="24"/>
                <w:szCs w:val="24"/>
              </w:rPr>
              <w:t>项目</w:t>
            </w:r>
            <w:r>
              <w:rPr>
                <w:color w:val="auto"/>
                <w:sz w:val="24"/>
                <w:szCs w:val="24"/>
              </w:rPr>
              <w:t>产生的一般工业固废主要有</w:t>
            </w:r>
            <w:r>
              <w:rPr>
                <w:rFonts w:hint="eastAsia"/>
                <w:color w:val="auto"/>
                <w:sz w:val="24"/>
                <w:szCs w:val="24"/>
              </w:rPr>
              <w:t>废包装袋、</w:t>
            </w:r>
            <w:r>
              <w:rPr>
                <w:color w:val="auto"/>
                <w:sz w:val="24"/>
                <w:szCs w:val="24"/>
              </w:rPr>
              <w:t>除尘器收集的粉尘，集中收集后外售给物资回收部门综合利用。</w:t>
            </w:r>
          </w:p>
          <w:p w14:paraId="746B1013">
            <w:pPr>
              <w:pStyle w:val="55"/>
              <w:rPr>
                <w:color w:val="auto"/>
                <w:sz w:val="24"/>
                <w:szCs w:val="24"/>
              </w:rPr>
            </w:pPr>
            <w:r>
              <w:rPr>
                <w:color w:val="auto"/>
                <w:sz w:val="24"/>
                <w:szCs w:val="24"/>
              </w:rPr>
              <w:t>一般工业固废不能露天堆放，对暂时不利用或者不能利用的采用库房、包装工具（包装袋等）贮存，其贮存过程应满足相应防渗漏、防雨淋、防扬尘等环境保护要求。因此，建设单位应在车间内划定一定区域作为一般</w:t>
            </w:r>
            <w:r>
              <w:rPr>
                <w:rFonts w:hint="eastAsia"/>
                <w:iCs/>
                <w:color w:val="auto"/>
                <w:sz w:val="24"/>
                <w:szCs w:val="24"/>
              </w:rPr>
              <w:t>工业</w:t>
            </w:r>
            <w:r>
              <w:rPr>
                <w:color w:val="auto"/>
                <w:sz w:val="24"/>
                <w:szCs w:val="24"/>
              </w:rPr>
              <w:t>固废分类贮存场所。</w:t>
            </w:r>
          </w:p>
          <w:p w14:paraId="7CFFA7E2">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color w:val="auto"/>
                <w:sz w:val="24"/>
                <w:szCs w:val="24"/>
              </w:rPr>
            </w:pPr>
            <w:r>
              <w:rPr>
                <w:rFonts w:hint="eastAsia" w:ascii="Times New Roman" w:hAnsi="Times New Roman" w:cs="Times New Roman"/>
                <w:b/>
                <w:bCs/>
                <w:color w:val="auto"/>
                <w:sz w:val="24"/>
                <w:szCs w:val="24"/>
                <w:lang w:val="en-US" w:eastAsia="zh-CN"/>
              </w:rPr>
              <w:t xml:space="preserve">表4.4-3  </w:t>
            </w:r>
            <w:r>
              <w:rPr>
                <w:rFonts w:ascii="Times New Roman" w:hAnsi="Times New Roman" w:cs="Times New Roman"/>
                <w:b/>
                <w:bCs/>
                <w:color w:val="auto"/>
                <w:sz w:val="24"/>
                <w:szCs w:val="24"/>
              </w:rPr>
              <w:t>一般</w:t>
            </w:r>
            <w:r>
              <w:rPr>
                <w:rFonts w:hint="eastAsia"/>
                <w:b/>
                <w:bCs/>
                <w:iCs/>
                <w:color w:val="auto"/>
                <w:sz w:val="24"/>
                <w:szCs w:val="24"/>
              </w:rPr>
              <w:t>工业</w:t>
            </w:r>
            <w:r>
              <w:rPr>
                <w:rFonts w:ascii="Times New Roman" w:hAnsi="Times New Roman" w:cs="Times New Roman"/>
                <w:b/>
                <w:bCs/>
                <w:color w:val="auto"/>
                <w:sz w:val="24"/>
                <w:szCs w:val="24"/>
              </w:rPr>
              <w:t>固体废物分类暂存设施设置要求</w:t>
            </w:r>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502"/>
              <w:gridCol w:w="1957"/>
              <w:gridCol w:w="1426"/>
              <w:gridCol w:w="531"/>
              <w:gridCol w:w="691"/>
              <w:gridCol w:w="573"/>
              <w:gridCol w:w="573"/>
              <w:gridCol w:w="2224"/>
            </w:tblGrid>
            <w:tr w14:paraId="6A4D5A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340" w:hRule="atLeast"/>
                <w:jc w:val="center"/>
              </w:trPr>
              <w:tc>
                <w:tcPr>
                  <w:tcW w:w="296" w:type="pct"/>
                  <w:noWrap w:val="0"/>
                  <w:vAlign w:val="center"/>
                </w:tcPr>
                <w:p w14:paraId="53D03C26">
                  <w:pPr>
                    <w:pStyle w:val="73"/>
                    <w:rPr>
                      <w:color w:val="auto"/>
                    </w:rPr>
                  </w:pPr>
                  <w:r>
                    <w:rPr>
                      <w:color w:val="auto"/>
                    </w:rPr>
                    <w:t>序号</w:t>
                  </w:r>
                </w:p>
              </w:tc>
              <w:tc>
                <w:tcPr>
                  <w:tcW w:w="1154" w:type="pct"/>
                  <w:noWrap w:val="0"/>
                  <w:vAlign w:val="center"/>
                </w:tcPr>
                <w:p w14:paraId="1852DDC6">
                  <w:pPr>
                    <w:pStyle w:val="73"/>
                    <w:rPr>
                      <w:color w:val="auto"/>
                    </w:rPr>
                  </w:pPr>
                  <w:r>
                    <w:rPr>
                      <w:color w:val="auto"/>
                    </w:rPr>
                    <w:t>项目</w:t>
                  </w:r>
                </w:p>
              </w:tc>
              <w:tc>
                <w:tcPr>
                  <w:tcW w:w="841" w:type="pct"/>
                  <w:noWrap w:val="0"/>
                  <w:vAlign w:val="center"/>
                </w:tcPr>
                <w:p w14:paraId="61CD1229">
                  <w:pPr>
                    <w:pStyle w:val="73"/>
                    <w:rPr>
                      <w:color w:val="auto"/>
                    </w:rPr>
                  </w:pPr>
                  <w:r>
                    <w:rPr>
                      <w:color w:val="auto"/>
                    </w:rPr>
                    <w:t>贮存场所（设施）名称</w:t>
                  </w:r>
                </w:p>
              </w:tc>
              <w:tc>
                <w:tcPr>
                  <w:tcW w:w="313" w:type="pct"/>
                  <w:noWrap w:val="0"/>
                  <w:vAlign w:val="center"/>
                </w:tcPr>
                <w:p w14:paraId="6182CAC4">
                  <w:pPr>
                    <w:pStyle w:val="73"/>
                    <w:rPr>
                      <w:color w:val="auto"/>
                      <w:highlight w:val="none"/>
                    </w:rPr>
                  </w:pPr>
                  <w:r>
                    <w:rPr>
                      <w:color w:val="auto"/>
                      <w:highlight w:val="none"/>
                    </w:rPr>
                    <w:t>占地面积</w:t>
                  </w:r>
                </w:p>
              </w:tc>
              <w:tc>
                <w:tcPr>
                  <w:tcW w:w="407" w:type="pct"/>
                  <w:noWrap w:val="0"/>
                  <w:vAlign w:val="center"/>
                </w:tcPr>
                <w:p w14:paraId="3A2F0ACA">
                  <w:pPr>
                    <w:pStyle w:val="73"/>
                    <w:rPr>
                      <w:color w:val="auto"/>
                    </w:rPr>
                  </w:pPr>
                  <w:r>
                    <w:rPr>
                      <w:color w:val="auto"/>
                    </w:rPr>
                    <w:t>最大</w:t>
                  </w:r>
                </w:p>
                <w:p w14:paraId="4BE44777">
                  <w:pPr>
                    <w:pStyle w:val="73"/>
                    <w:rPr>
                      <w:color w:val="auto"/>
                    </w:rPr>
                  </w:pPr>
                  <w:r>
                    <w:rPr>
                      <w:color w:val="auto"/>
                    </w:rPr>
                    <w:t>存量</w:t>
                  </w:r>
                </w:p>
              </w:tc>
              <w:tc>
                <w:tcPr>
                  <w:tcW w:w="337" w:type="pct"/>
                  <w:noWrap w:val="0"/>
                  <w:vAlign w:val="center"/>
                </w:tcPr>
                <w:p w14:paraId="3F7FC528">
                  <w:pPr>
                    <w:pStyle w:val="73"/>
                    <w:rPr>
                      <w:color w:val="auto"/>
                    </w:rPr>
                  </w:pPr>
                  <w:r>
                    <w:rPr>
                      <w:color w:val="auto"/>
                    </w:rPr>
                    <w:t>暂存</w:t>
                  </w:r>
                </w:p>
                <w:p w14:paraId="79A12B78">
                  <w:pPr>
                    <w:pStyle w:val="73"/>
                    <w:rPr>
                      <w:color w:val="auto"/>
                    </w:rPr>
                  </w:pPr>
                  <w:r>
                    <w:rPr>
                      <w:color w:val="auto"/>
                    </w:rPr>
                    <w:t>周期</w:t>
                  </w:r>
                </w:p>
              </w:tc>
              <w:tc>
                <w:tcPr>
                  <w:tcW w:w="337" w:type="pct"/>
                  <w:noWrap w:val="0"/>
                  <w:vAlign w:val="center"/>
                </w:tcPr>
                <w:p w14:paraId="64F6962A">
                  <w:pPr>
                    <w:pStyle w:val="73"/>
                    <w:rPr>
                      <w:color w:val="auto"/>
                    </w:rPr>
                  </w:pPr>
                  <w:r>
                    <w:rPr>
                      <w:color w:val="auto"/>
                    </w:rPr>
                    <w:t>包装方式</w:t>
                  </w:r>
                </w:p>
              </w:tc>
              <w:tc>
                <w:tcPr>
                  <w:tcW w:w="1311" w:type="pct"/>
                  <w:noWrap w:val="0"/>
                  <w:vAlign w:val="center"/>
                </w:tcPr>
                <w:p w14:paraId="2C1F8F6D">
                  <w:pPr>
                    <w:pStyle w:val="73"/>
                    <w:rPr>
                      <w:color w:val="auto"/>
                    </w:rPr>
                  </w:pPr>
                  <w:r>
                    <w:rPr>
                      <w:color w:val="auto"/>
                    </w:rPr>
                    <w:t>建设要求</w:t>
                  </w:r>
                </w:p>
              </w:tc>
            </w:tr>
            <w:tr w14:paraId="41775B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425" w:hRule="atLeast"/>
                <w:jc w:val="center"/>
              </w:trPr>
              <w:tc>
                <w:tcPr>
                  <w:tcW w:w="296" w:type="pct"/>
                  <w:noWrap w:val="0"/>
                  <w:vAlign w:val="center"/>
                </w:tcPr>
                <w:p w14:paraId="5C9DCCA7">
                  <w:pPr>
                    <w:pStyle w:val="73"/>
                    <w:rPr>
                      <w:color w:val="auto"/>
                    </w:rPr>
                  </w:pPr>
                  <w:r>
                    <w:rPr>
                      <w:color w:val="auto"/>
                    </w:rPr>
                    <w:t>1</w:t>
                  </w:r>
                </w:p>
              </w:tc>
              <w:tc>
                <w:tcPr>
                  <w:tcW w:w="1154" w:type="pct"/>
                  <w:noWrap w:val="0"/>
                  <w:vAlign w:val="center"/>
                </w:tcPr>
                <w:p w14:paraId="3853C1C6">
                  <w:pPr>
                    <w:pStyle w:val="73"/>
                    <w:rPr>
                      <w:rFonts w:hint="eastAsia" w:eastAsia="宋体"/>
                      <w:color w:val="auto"/>
                      <w:lang w:eastAsia="zh-CN"/>
                    </w:rPr>
                  </w:pPr>
                  <w:r>
                    <w:rPr>
                      <w:rFonts w:hint="eastAsia"/>
                      <w:color w:val="auto"/>
                    </w:rPr>
                    <w:t>废包装</w:t>
                  </w:r>
                  <w:r>
                    <w:rPr>
                      <w:rFonts w:hint="eastAsia"/>
                      <w:color w:val="auto"/>
                      <w:lang w:eastAsia="zh-CN"/>
                    </w:rPr>
                    <w:t>材料</w:t>
                  </w:r>
                </w:p>
              </w:tc>
              <w:tc>
                <w:tcPr>
                  <w:tcW w:w="841" w:type="pct"/>
                  <w:vMerge w:val="restart"/>
                  <w:noWrap w:val="0"/>
                  <w:vAlign w:val="center"/>
                </w:tcPr>
                <w:p w14:paraId="6F47FF28">
                  <w:pPr>
                    <w:pStyle w:val="73"/>
                    <w:rPr>
                      <w:color w:val="auto"/>
                    </w:rPr>
                  </w:pPr>
                  <w:r>
                    <w:rPr>
                      <w:color w:val="auto"/>
                    </w:rPr>
                    <w:t>一般工业固废暂存</w:t>
                  </w:r>
                  <w:r>
                    <w:rPr>
                      <w:rFonts w:hint="eastAsia"/>
                      <w:color w:val="auto"/>
                    </w:rPr>
                    <w:t>间</w:t>
                  </w:r>
                </w:p>
              </w:tc>
              <w:tc>
                <w:tcPr>
                  <w:tcW w:w="313" w:type="pct"/>
                  <w:vMerge w:val="restart"/>
                  <w:noWrap w:val="0"/>
                  <w:vAlign w:val="center"/>
                </w:tcPr>
                <w:p w14:paraId="5B3D9DBE">
                  <w:pPr>
                    <w:pStyle w:val="73"/>
                    <w:rPr>
                      <w:color w:val="auto"/>
                      <w:highlight w:val="none"/>
                    </w:rPr>
                  </w:pPr>
                  <w:r>
                    <w:rPr>
                      <w:rFonts w:hint="eastAsia"/>
                      <w:color w:val="auto"/>
                      <w:highlight w:val="none"/>
                      <w:lang w:val="en-US" w:eastAsia="zh-CN"/>
                    </w:rPr>
                    <w:t>20</w:t>
                  </w:r>
                  <w:r>
                    <w:rPr>
                      <w:color w:val="auto"/>
                      <w:highlight w:val="none"/>
                    </w:rPr>
                    <w:t>m</w:t>
                  </w:r>
                  <w:r>
                    <w:rPr>
                      <w:color w:val="auto"/>
                      <w:highlight w:val="none"/>
                      <w:vertAlign w:val="superscript"/>
                    </w:rPr>
                    <w:t>2</w:t>
                  </w:r>
                </w:p>
              </w:tc>
              <w:tc>
                <w:tcPr>
                  <w:tcW w:w="407" w:type="pct"/>
                  <w:vMerge w:val="restart"/>
                  <w:noWrap w:val="0"/>
                  <w:vAlign w:val="center"/>
                </w:tcPr>
                <w:p w14:paraId="63E32FC0">
                  <w:pPr>
                    <w:pStyle w:val="73"/>
                    <w:rPr>
                      <w:color w:val="auto"/>
                    </w:rPr>
                  </w:pPr>
                  <w:r>
                    <w:rPr>
                      <w:rFonts w:hint="eastAsia"/>
                      <w:color w:val="auto"/>
                      <w:lang w:val="en-US" w:eastAsia="zh-CN"/>
                    </w:rPr>
                    <w:t>2.5</w:t>
                  </w:r>
                  <w:r>
                    <w:rPr>
                      <w:color w:val="auto"/>
                    </w:rPr>
                    <w:t>t</w:t>
                  </w:r>
                </w:p>
              </w:tc>
              <w:tc>
                <w:tcPr>
                  <w:tcW w:w="337" w:type="pct"/>
                  <w:vMerge w:val="restart"/>
                  <w:noWrap w:val="0"/>
                  <w:vAlign w:val="center"/>
                </w:tcPr>
                <w:p w14:paraId="4322F86B">
                  <w:pPr>
                    <w:pStyle w:val="73"/>
                    <w:rPr>
                      <w:color w:val="auto"/>
                    </w:rPr>
                  </w:pPr>
                  <w:r>
                    <w:rPr>
                      <w:rFonts w:hint="eastAsia"/>
                      <w:color w:val="auto"/>
                    </w:rPr>
                    <w:t>半年</w:t>
                  </w:r>
                </w:p>
              </w:tc>
              <w:tc>
                <w:tcPr>
                  <w:tcW w:w="337" w:type="pct"/>
                  <w:vMerge w:val="restart"/>
                  <w:noWrap w:val="0"/>
                  <w:vAlign w:val="center"/>
                </w:tcPr>
                <w:p w14:paraId="640743F9">
                  <w:pPr>
                    <w:pStyle w:val="73"/>
                    <w:rPr>
                      <w:color w:val="auto"/>
                    </w:rPr>
                  </w:pPr>
                  <w:r>
                    <w:rPr>
                      <w:color w:val="auto"/>
                    </w:rPr>
                    <w:t>袋装</w:t>
                  </w:r>
                </w:p>
              </w:tc>
              <w:tc>
                <w:tcPr>
                  <w:tcW w:w="1311" w:type="pct"/>
                  <w:vMerge w:val="restart"/>
                  <w:noWrap w:val="0"/>
                  <w:vAlign w:val="center"/>
                </w:tcPr>
                <w:p w14:paraId="1B6A605F">
                  <w:pPr>
                    <w:pStyle w:val="73"/>
                    <w:rPr>
                      <w:color w:val="auto"/>
                    </w:rPr>
                  </w:pPr>
                  <w:r>
                    <w:rPr>
                      <w:color w:val="auto"/>
                    </w:rPr>
                    <w:t>满足相应防渗漏、防雨淋、防扬尘等环境保护要求</w:t>
                  </w:r>
                </w:p>
              </w:tc>
            </w:tr>
            <w:tr w14:paraId="1EA29B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425" w:hRule="atLeast"/>
                <w:jc w:val="center"/>
              </w:trPr>
              <w:tc>
                <w:tcPr>
                  <w:tcW w:w="296" w:type="pct"/>
                  <w:noWrap w:val="0"/>
                  <w:vAlign w:val="center"/>
                </w:tcPr>
                <w:p w14:paraId="40457238">
                  <w:pPr>
                    <w:pStyle w:val="73"/>
                    <w:rPr>
                      <w:color w:val="auto"/>
                    </w:rPr>
                  </w:pPr>
                  <w:r>
                    <w:rPr>
                      <w:color w:val="auto"/>
                    </w:rPr>
                    <w:t>2</w:t>
                  </w:r>
                </w:p>
              </w:tc>
              <w:tc>
                <w:tcPr>
                  <w:tcW w:w="1154" w:type="pct"/>
                  <w:noWrap w:val="0"/>
                  <w:vAlign w:val="center"/>
                </w:tcPr>
                <w:p w14:paraId="167139BE">
                  <w:pPr>
                    <w:pStyle w:val="73"/>
                    <w:rPr>
                      <w:color w:val="auto"/>
                    </w:rPr>
                  </w:pPr>
                  <w:r>
                    <w:rPr>
                      <w:color w:val="auto"/>
                    </w:rPr>
                    <w:t>收集的粉尘</w:t>
                  </w:r>
                </w:p>
              </w:tc>
              <w:tc>
                <w:tcPr>
                  <w:tcW w:w="841" w:type="pct"/>
                  <w:vMerge w:val="continue"/>
                  <w:noWrap w:val="0"/>
                  <w:vAlign w:val="center"/>
                </w:tcPr>
                <w:p w14:paraId="29ADA044">
                  <w:pPr>
                    <w:pStyle w:val="73"/>
                    <w:rPr>
                      <w:color w:val="FF0000"/>
                    </w:rPr>
                  </w:pPr>
                </w:p>
              </w:tc>
              <w:tc>
                <w:tcPr>
                  <w:tcW w:w="313" w:type="pct"/>
                  <w:vMerge w:val="continue"/>
                  <w:noWrap w:val="0"/>
                  <w:vAlign w:val="center"/>
                </w:tcPr>
                <w:p w14:paraId="776AF4B3">
                  <w:pPr>
                    <w:pStyle w:val="73"/>
                    <w:rPr>
                      <w:color w:val="FF0000"/>
                    </w:rPr>
                  </w:pPr>
                </w:p>
              </w:tc>
              <w:tc>
                <w:tcPr>
                  <w:tcW w:w="407" w:type="pct"/>
                  <w:vMerge w:val="continue"/>
                  <w:noWrap w:val="0"/>
                  <w:vAlign w:val="center"/>
                </w:tcPr>
                <w:p w14:paraId="7F3678E7">
                  <w:pPr>
                    <w:pStyle w:val="73"/>
                    <w:rPr>
                      <w:color w:val="FF0000"/>
                    </w:rPr>
                  </w:pPr>
                </w:p>
              </w:tc>
              <w:tc>
                <w:tcPr>
                  <w:tcW w:w="337" w:type="pct"/>
                  <w:vMerge w:val="continue"/>
                  <w:noWrap w:val="0"/>
                  <w:vAlign w:val="center"/>
                </w:tcPr>
                <w:p w14:paraId="53E85ACB">
                  <w:pPr>
                    <w:pStyle w:val="73"/>
                    <w:rPr>
                      <w:color w:val="FF0000"/>
                    </w:rPr>
                  </w:pPr>
                </w:p>
              </w:tc>
              <w:tc>
                <w:tcPr>
                  <w:tcW w:w="337" w:type="pct"/>
                  <w:vMerge w:val="continue"/>
                  <w:noWrap w:val="0"/>
                  <w:vAlign w:val="center"/>
                </w:tcPr>
                <w:p w14:paraId="298E2CC5">
                  <w:pPr>
                    <w:pStyle w:val="73"/>
                    <w:rPr>
                      <w:color w:val="FF0000"/>
                    </w:rPr>
                  </w:pPr>
                </w:p>
              </w:tc>
              <w:tc>
                <w:tcPr>
                  <w:tcW w:w="1311" w:type="pct"/>
                  <w:vMerge w:val="continue"/>
                  <w:noWrap w:val="0"/>
                  <w:vAlign w:val="center"/>
                </w:tcPr>
                <w:p w14:paraId="706DD6C1">
                  <w:pPr>
                    <w:pStyle w:val="73"/>
                    <w:rPr>
                      <w:color w:val="FF0000"/>
                    </w:rPr>
                  </w:pPr>
                </w:p>
              </w:tc>
            </w:tr>
            <w:tr w14:paraId="00C5CF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425" w:hRule="atLeast"/>
                <w:jc w:val="center"/>
              </w:trPr>
              <w:tc>
                <w:tcPr>
                  <w:tcW w:w="296" w:type="pct"/>
                  <w:noWrap w:val="0"/>
                  <w:vAlign w:val="center"/>
                </w:tcPr>
                <w:p w14:paraId="2CCF2B25">
                  <w:pPr>
                    <w:pStyle w:val="73"/>
                    <w:rPr>
                      <w:rFonts w:hint="eastAsia" w:eastAsia="宋体"/>
                      <w:color w:val="auto"/>
                      <w:lang w:val="en-US" w:eastAsia="zh-CN"/>
                    </w:rPr>
                  </w:pPr>
                  <w:r>
                    <w:rPr>
                      <w:rFonts w:hint="eastAsia"/>
                      <w:color w:val="auto"/>
                      <w:lang w:val="en-US" w:eastAsia="zh-CN"/>
                    </w:rPr>
                    <w:t>3</w:t>
                  </w:r>
                </w:p>
              </w:tc>
              <w:tc>
                <w:tcPr>
                  <w:tcW w:w="1154" w:type="pct"/>
                  <w:noWrap w:val="0"/>
                  <w:vAlign w:val="center"/>
                </w:tcPr>
                <w:p w14:paraId="03071595">
                  <w:pPr>
                    <w:pStyle w:val="73"/>
                    <w:rPr>
                      <w:rFonts w:hint="eastAsia" w:eastAsia="宋体"/>
                      <w:color w:val="auto"/>
                      <w:lang w:eastAsia="zh-CN"/>
                    </w:rPr>
                  </w:pPr>
                  <w:r>
                    <w:rPr>
                      <w:rFonts w:hint="eastAsia"/>
                      <w:color w:val="auto"/>
                      <w:lang w:eastAsia="zh-CN"/>
                    </w:rPr>
                    <w:t>废滤袋</w:t>
                  </w:r>
                </w:p>
              </w:tc>
              <w:tc>
                <w:tcPr>
                  <w:tcW w:w="841" w:type="pct"/>
                  <w:vMerge w:val="continue"/>
                  <w:noWrap w:val="0"/>
                  <w:vAlign w:val="center"/>
                </w:tcPr>
                <w:p w14:paraId="76234EEA">
                  <w:pPr>
                    <w:pStyle w:val="73"/>
                    <w:rPr>
                      <w:color w:val="FF0000"/>
                    </w:rPr>
                  </w:pPr>
                </w:p>
              </w:tc>
              <w:tc>
                <w:tcPr>
                  <w:tcW w:w="313" w:type="pct"/>
                  <w:vMerge w:val="continue"/>
                  <w:noWrap w:val="0"/>
                  <w:vAlign w:val="center"/>
                </w:tcPr>
                <w:p w14:paraId="5E2BAE41">
                  <w:pPr>
                    <w:pStyle w:val="73"/>
                    <w:rPr>
                      <w:color w:val="FF0000"/>
                    </w:rPr>
                  </w:pPr>
                </w:p>
              </w:tc>
              <w:tc>
                <w:tcPr>
                  <w:tcW w:w="407" w:type="pct"/>
                  <w:vMerge w:val="continue"/>
                  <w:noWrap w:val="0"/>
                  <w:vAlign w:val="center"/>
                </w:tcPr>
                <w:p w14:paraId="6060DED4">
                  <w:pPr>
                    <w:pStyle w:val="73"/>
                    <w:rPr>
                      <w:color w:val="FF0000"/>
                    </w:rPr>
                  </w:pPr>
                </w:p>
              </w:tc>
              <w:tc>
                <w:tcPr>
                  <w:tcW w:w="337" w:type="pct"/>
                  <w:vMerge w:val="continue"/>
                  <w:noWrap w:val="0"/>
                  <w:vAlign w:val="center"/>
                </w:tcPr>
                <w:p w14:paraId="082C035B">
                  <w:pPr>
                    <w:pStyle w:val="73"/>
                    <w:rPr>
                      <w:color w:val="FF0000"/>
                    </w:rPr>
                  </w:pPr>
                </w:p>
              </w:tc>
              <w:tc>
                <w:tcPr>
                  <w:tcW w:w="337" w:type="pct"/>
                  <w:vMerge w:val="continue"/>
                  <w:noWrap w:val="0"/>
                  <w:vAlign w:val="center"/>
                </w:tcPr>
                <w:p w14:paraId="0FE4DA37">
                  <w:pPr>
                    <w:pStyle w:val="73"/>
                    <w:rPr>
                      <w:color w:val="FF0000"/>
                    </w:rPr>
                  </w:pPr>
                </w:p>
              </w:tc>
              <w:tc>
                <w:tcPr>
                  <w:tcW w:w="1311" w:type="pct"/>
                  <w:vMerge w:val="continue"/>
                  <w:noWrap w:val="0"/>
                  <w:vAlign w:val="center"/>
                </w:tcPr>
                <w:p w14:paraId="2C0E24AD">
                  <w:pPr>
                    <w:pStyle w:val="73"/>
                    <w:rPr>
                      <w:color w:val="FF0000"/>
                    </w:rPr>
                  </w:pPr>
                </w:p>
              </w:tc>
            </w:tr>
          </w:tbl>
          <w:p w14:paraId="53F756BF">
            <w:pPr>
              <w:pStyle w:val="55"/>
              <w:spacing w:before="0" w:beforeLines="0"/>
              <w:ind w:firstLine="422"/>
              <w:rPr>
                <w:b/>
                <w:bCs/>
                <w:color w:val="auto"/>
                <w:sz w:val="24"/>
                <w:szCs w:val="24"/>
              </w:rPr>
            </w:pPr>
            <w:r>
              <w:rPr>
                <w:b/>
                <w:bCs/>
                <w:color w:val="auto"/>
                <w:sz w:val="24"/>
                <w:szCs w:val="24"/>
              </w:rPr>
              <w:t>（3）危险废物</w:t>
            </w:r>
          </w:p>
          <w:p w14:paraId="15B1AB91">
            <w:pPr>
              <w:pStyle w:val="55"/>
              <w:spacing w:beforeLines="0"/>
              <w:rPr>
                <w:color w:val="auto"/>
                <w:sz w:val="24"/>
                <w:szCs w:val="24"/>
              </w:rPr>
            </w:pPr>
            <w:r>
              <w:rPr>
                <w:color w:val="auto"/>
                <w:sz w:val="24"/>
                <w:szCs w:val="24"/>
              </w:rPr>
              <w:t>为防止储存过程的二次污染，其贮存和转运过程，应严格按</w:t>
            </w:r>
            <w:r>
              <w:rPr>
                <w:rFonts w:hint="default"/>
                <w:color w:val="auto"/>
                <w:sz w:val="24"/>
                <w:szCs w:val="24"/>
              </w:rPr>
              <w:t>《危险废物贮存污染控制标准》</w:t>
            </w:r>
            <w:r>
              <w:rPr>
                <w:rFonts w:hint="eastAsia"/>
                <w:color w:val="auto"/>
                <w:sz w:val="24"/>
                <w:szCs w:val="24"/>
                <w:lang w:eastAsia="zh-CN"/>
              </w:rPr>
              <w:t>（</w:t>
            </w:r>
            <w:r>
              <w:rPr>
                <w:rFonts w:hint="eastAsia"/>
                <w:color w:val="auto"/>
                <w:sz w:val="24"/>
                <w:szCs w:val="24"/>
              </w:rPr>
              <w:t>GB 18597</w:t>
            </w:r>
            <w:r>
              <w:rPr>
                <w:rFonts w:hint="eastAsia"/>
                <w:color w:val="auto"/>
                <w:sz w:val="24"/>
                <w:szCs w:val="24"/>
                <w:lang w:val="en-US" w:eastAsia="zh-CN"/>
              </w:rPr>
              <w:t>-</w:t>
            </w:r>
            <w:r>
              <w:rPr>
                <w:rFonts w:hint="eastAsia"/>
                <w:color w:val="auto"/>
                <w:sz w:val="24"/>
                <w:szCs w:val="24"/>
              </w:rPr>
              <w:t>2023</w:t>
            </w:r>
            <w:r>
              <w:rPr>
                <w:rFonts w:hint="eastAsia"/>
                <w:color w:val="auto"/>
                <w:sz w:val="24"/>
                <w:szCs w:val="24"/>
                <w:lang w:eastAsia="zh-CN"/>
              </w:rPr>
              <w:t>）</w:t>
            </w:r>
            <w:r>
              <w:rPr>
                <w:rFonts w:hint="default"/>
                <w:color w:val="auto"/>
                <w:sz w:val="24"/>
                <w:szCs w:val="24"/>
                <w:lang w:val="en-GB" w:eastAsia="zh-CN"/>
              </w:rPr>
              <w:t>要求</w:t>
            </w:r>
            <w:r>
              <w:rPr>
                <w:color w:val="auto"/>
                <w:sz w:val="24"/>
                <w:szCs w:val="24"/>
              </w:rPr>
              <w:t>和《危险废物转移联单管理办法》要求执行，设置危险废物暂存设施，并且在明显位置悬挂危险废物标识。</w:t>
            </w:r>
          </w:p>
          <w:p w14:paraId="42AF7E24">
            <w:pPr>
              <w:pStyle w:val="55"/>
              <w:spacing w:beforeLines="0"/>
              <w:rPr>
                <w:color w:val="auto"/>
                <w:sz w:val="24"/>
                <w:szCs w:val="24"/>
              </w:rPr>
            </w:pPr>
            <w:r>
              <w:rPr>
                <w:color w:val="auto"/>
                <w:sz w:val="24"/>
                <w:szCs w:val="24"/>
              </w:rPr>
              <w:t>危险废物贮存场所（设施）设置情况详见</w:t>
            </w:r>
            <w:r>
              <w:rPr>
                <w:color w:val="auto"/>
                <w:sz w:val="24"/>
                <w:szCs w:val="24"/>
              </w:rPr>
              <w:fldChar w:fldCharType="begin"/>
            </w:r>
            <w:r>
              <w:rPr>
                <w:color w:val="auto"/>
                <w:sz w:val="24"/>
                <w:szCs w:val="24"/>
              </w:rPr>
              <w:instrText xml:space="preserve"> REF _Ref70281372 \r \h  \* MERGEFORMAT </w:instrText>
            </w:r>
            <w:r>
              <w:rPr>
                <w:color w:val="auto"/>
                <w:sz w:val="24"/>
                <w:szCs w:val="24"/>
              </w:rPr>
              <w:fldChar w:fldCharType="separate"/>
            </w:r>
            <w:r>
              <w:rPr>
                <w:rFonts w:hint="eastAsia"/>
                <w:color w:val="auto"/>
                <w:sz w:val="24"/>
                <w:szCs w:val="24"/>
              </w:rPr>
              <w:t>表4.4-4</w:t>
            </w:r>
            <w:r>
              <w:rPr>
                <w:color w:val="auto"/>
                <w:sz w:val="24"/>
                <w:szCs w:val="24"/>
              </w:rPr>
              <w:fldChar w:fldCharType="end"/>
            </w:r>
            <w:r>
              <w:rPr>
                <w:color w:val="auto"/>
                <w:sz w:val="24"/>
                <w:szCs w:val="24"/>
              </w:rPr>
              <w:t>。</w:t>
            </w:r>
          </w:p>
          <w:p w14:paraId="244BD26B">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hint="eastAsia" w:ascii="Times New Roman" w:hAnsi="Times New Roman" w:cs="Times New Roman"/>
                <w:b/>
                <w:bCs/>
                <w:color w:val="auto"/>
                <w:sz w:val="24"/>
                <w:szCs w:val="24"/>
                <w:lang w:val="en-US" w:eastAsia="zh-CN"/>
              </w:rPr>
            </w:pPr>
            <w:bookmarkStart w:id="49" w:name="_Ref70281372"/>
          </w:p>
          <w:p w14:paraId="7E3A3B41">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color w:val="auto"/>
                <w:sz w:val="24"/>
                <w:szCs w:val="24"/>
              </w:rPr>
            </w:pPr>
            <w:r>
              <w:rPr>
                <w:rFonts w:hint="eastAsia" w:ascii="Times New Roman" w:hAnsi="Times New Roman" w:cs="Times New Roman"/>
                <w:b/>
                <w:bCs/>
                <w:color w:val="auto"/>
                <w:sz w:val="24"/>
                <w:szCs w:val="24"/>
                <w:lang w:val="en-US" w:eastAsia="zh-CN"/>
              </w:rPr>
              <w:t>表4.4-</w:t>
            </w:r>
            <w:r>
              <w:rPr>
                <w:rFonts w:hint="eastAsia" w:cs="Times New Roman"/>
                <w:b/>
                <w:bCs/>
                <w:color w:val="auto"/>
                <w:sz w:val="24"/>
                <w:szCs w:val="24"/>
                <w:lang w:val="en-US" w:eastAsia="zh-CN"/>
              </w:rPr>
              <w:t>4</w:t>
            </w:r>
            <w:r>
              <w:rPr>
                <w:rFonts w:hint="eastAsia" w:ascii="Times New Roman" w:hAnsi="Times New Roman" w:cs="Times New Roman"/>
                <w:b/>
                <w:bCs/>
                <w:color w:val="auto"/>
                <w:sz w:val="24"/>
                <w:szCs w:val="24"/>
                <w:lang w:val="en-US" w:eastAsia="zh-CN"/>
              </w:rPr>
              <w:t xml:space="preserve">  </w:t>
            </w:r>
            <w:r>
              <w:rPr>
                <w:rFonts w:ascii="Times New Roman" w:hAnsi="Times New Roman" w:cs="Times New Roman"/>
                <w:b/>
                <w:bCs/>
                <w:color w:val="auto"/>
                <w:sz w:val="24"/>
                <w:szCs w:val="24"/>
              </w:rPr>
              <w:t>危险废物分类暂存设施</w:t>
            </w:r>
            <w:bookmarkEnd w:id="49"/>
          </w:p>
          <w:tbl>
            <w:tblPr>
              <w:tblStyle w:val="23"/>
              <w:tblW w:w="8394"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317"/>
              <w:gridCol w:w="990"/>
              <w:gridCol w:w="688"/>
              <w:gridCol w:w="664"/>
              <w:gridCol w:w="891"/>
              <w:gridCol w:w="330"/>
              <w:gridCol w:w="590"/>
              <w:gridCol w:w="610"/>
              <w:gridCol w:w="493"/>
              <w:gridCol w:w="825"/>
              <w:gridCol w:w="1996"/>
            </w:tblGrid>
            <w:tr w14:paraId="21284C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974" w:hRule="atLeast"/>
              </w:trPr>
              <w:tc>
                <w:tcPr>
                  <w:tcW w:w="188" w:type="pct"/>
                  <w:noWrap w:val="0"/>
                  <w:vAlign w:val="center"/>
                </w:tcPr>
                <w:p w14:paraId="19CEF6E2">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序号</w:t>
                  </w:r>
                </w:p>
              </w:tc>
              <w:tc>
                <w:tcPr>
                  <w:tcW w:w="589" w:type="pct"/>
                  <w:noWrap w:val="0"/>
                  <w:vAlign w:val="center"/>
                </w:tcPr>
                <w:p w14:paraId="09E0FFDB">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贮存场所（设施）名称</w:t>
                  </w:r>
                </w:p>
              </w:tc>
              <w:tc>
                <w:tcPr>
                  <w:tcW w:w="409" w:type="pct"/>
                  <w:noWrap w:val="0"/>
                  <w:vAlign w:val="center"/>
                </w:tcPr>
                <w:p w14:paraId="635BA754">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危险废物</w:t>
                  </w:r>
                </w:p>
                <w:p w14:paraId="3FBF7F9D">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名称</w:t>
                  </w:r>
                </w:p>
              </w:tc>
              <w:tc>
                <w:tcPr>
                  <w:tcW w:w="395" w:type="pct"/>
                  <w:noWrap w:val="0"/>
                  <w:vAlign w:val="center"/>
                </w:tcPr>
                <w:p w14:paraId="66BEB2AA">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危险废物</w:t>
                  </w:r>
                </w:p>
                <w:p w14:paraId="354136B2">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类别</w:t>
                  </w:r>
                </w:p>
              </w:tc>
              <w:tc>
                <w:tcPr>
                  <w:tcW w:w="530" w:type="pct"/>
                  <w:noWrap w:val="0"/>
                  <w:vAlign w:val="center"/>
                </w:tcPr>
                <w:p w14:paraId="3AB88A1D">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危险废物代码</w:t>
                  </w:r>
                </w:p>
              </w:tc>
              <w:tc>
                <w:tcPr>
                  <w:tcW w:w="196" w:type="pct"/>
                  <w:noWrap w:val="0"/>
                  <w:vAlign w:val="center"/>
                </w:tcPr>
                <w:p w14:paraId="60916FD5">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位置</w:t>
                  </w:r>
                </w:p>
              </w:tc>
              <w:tc>
                <w:tcPr>
                  <w:tcW w:w="351" w:type="pct"/>
                  <w:noWrap w:val="0"/>
                  <w:vAlign w:val="center"/>
                </w:tcPr>
                <w:p w14:paraId="55D1FE27">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占地</w:t>
                  </w:r>
                </w:p>
                <w:p w14:paraId="2104122E">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面积</w:t>
                  </w:r>
                </w:p>
              </w:tc>
              <w:tc>
                <w:tcPr>
                  <w:tcW w:w="363" w:type="pct"/>
                  <w:noWrap w:val="0"/>
                  <w:vAlign w:val="center"/>
                </w:tcPr>
                <w:p w14:paraId="7EF58068">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贮存</w:t>
                  </w:r>
                </w:p>
                <w:p w14:paraId="41E08856">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方式</w:t>
                  </w:r>
                </w:p>
              </w:tc>
              <w:tc>
                <w:tcPr>
                  <w:tcW w:w="293" w:type="pct"/>
                  <w:noWrap w:val="0"/>
                  <w:vAlign w:val="center"/>
                </w:tcPr>
                <w:p w14:paraId="19A35715">
                  <w:pPr>
                    <w:pStyle w:val="3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贮存</w:t>
                  </w:r>
                </w:p>
                <w:p w14:paraId="41910A24">
                  <w:pPr>
                    <w:pStyle w:val="3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能力</w:t>
                  </w:r>
                </w:p>
              </w:tc>
              <w:tc>
                <w:tcPr>
                  <w:tcW w:w="491" w:type="pct"/>
                  <w:noWrap w:val="0"/>
                  <w:vAlign w:val="center"/>
                </w:tcPr>
                <w:p w14:paraId="1971E481">
                  <w:pPr>
                    <w:pStyle w:val="3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贮存</w:t>
                  </w:r>
                </w:p>
                <w:p w14:paraId="3728CBC8">
                  <w:pPr>
                    <w:pStyle w:val="3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周期</w:t>
                  </w:r>
                  <w:r>
                    <w:rPr>
                      <w:rFonts w:hint="default" w:ascii="Times New Roman" w:hAnsi="Times New Roman" w:eastAsia="宋体" w:cs="Times New Roman"/>
                      <w:color w:val="auto"/>
                      <w:sz w:val="21"/>
                      <w:szCs w:val="21"/>
                      <w:vertAlign w:val="superscript"/>
                    </w:rPr>
                    <w:t>⑴</w:t>
                  </w:r>
                </w:p>
              </w:tc>
              <w:tc>
                <w:tcPr>
                  <w:tcW w:w="1188" w:type="pct"/>
                  <w:noWrap w:val="0"/>
                  <w:vAlign w:val="center"/>
                </w:tcPr>
                <w:p w14:paraId="5B243669">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建设要求</w:t>
                  </w:r>
                </w:p>
              </w:tc>
            </w:tr>
            <w:tr w14:paraId="5383A8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88" w:type="pct"/>
                  <w:noWrap w:val="0"/>
                  <w:vAlign w:val="center"/>
                </w:tcPr>
                <w:p w14:paraId="24384D99">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w:t>
                  </w:r>
                </w:p>
              </w:tc>
              <w:tc>
                <w:tcPr>
                  <w:tcW w:w="589" w:type="pct"/>
                  <w:noWrap w:val="0"/>
                  <w:vAlign w:val="center"/>
                </w:tcPr>
                <w:p w14:paraId="783379D4">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废活性炭</w:t>
                  </w:r>
                  <w:r>
                    <w:rPr>
                      <w:rFonts w:hint="default" w:ascii="Times New Roman" w:hAnsi="Times New Roman" w:eastAsia="宋体" w:cs="Times New Roman"/>
                      <w:color w:val="auto"/>
                      <w:kern w:val="0"/>
                      <w:sz w:val="21"/>
                      <w:szCs w:val="21"/>
                    </w:rPr>
                    <w:t>贮存区</w:t>
                  </w:r>
                </w:p>
              </w:tc>
              <w:tc>
                <w:tcPr>
                  <w:tcW w:w="409" w:type="pct"/>
                  <w:noWrap w:val="0"/>
                  <w:vAlign w:val="center"/>
                </w:tcPr>
                <w:p w14:paraId="3257A42F">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废活性炭</w:t>
                  </w:r>
                </w:p>
              </w:tc>
              <w:tc>
                <w:tcPr>
                  <w:tcW w:w="395" w:type="pct"/>
                  <w:noWrap w:val="0"/>
                  <w:vAlign w:val="center"/>
                </w:tcPr>
                <w:p w14:paraId="1831D5A8">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HW49</w:t>
                  </w:r>
                </w:p>
              </w:tc>
              <w:tc>
                <w:tcPr>
                  <w:tcW w:w="530" w:type="pct"/>
                  <w:noWrap w:val="0"/>
                  <w:vAlign w:val="center"/>
                </w:tcPr>
                <w:p w14:paraId="40B245BD">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900-039-49</w:t>
                  </w:r>
                </w:p>
              </w:tc>
              <w:tc>
                <w:tcPr>
                  <w:tcW w:w="196" w:type="pct"/>
                  <w:vMerge w:val="restart"/>
                  <w:noWrap w:val="0"/>
                  <w:vAlign w:val="center"/>
                </w:tcPr>
                <w:p w14:paraId="794676D0">
                  <w:pPr>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危废暂存间</w:t>
                  </w:r>
                </w:p>
                <w:p w14:paraId="1DEFF771">
                  <w:pPr>
                    <w:jc w:val="center"/>
                    <w:rPr>
                      <w:rFonts w:hint="default" w:ascii="Times New Roman" w:hAnsi="Times New Roman" w:eastAsia="宋体" w:cs="Times New Roman"/>
                      <w:color w:val="auto"/>
                      <w:kern w:val="0"/>
                      <w:sz w:val="21"/>
                      <w:szCs w:val="21"/>
                    </w:rPr>
                  </w:pPr>
                </w:p>
              </w:tc>
              <w:tc>
                <w:tcPr>
                  <w:tcW w:w="351" w:type="pct"/>
                  <w:vMerge w:val="restart"/>
                  <w:noWrap w:val="0"/>
                  <w:vAlign w:val="center"/>
                </w:tcPr>
                <w:p w14:paraId="3B96F8D7">
                  <w:pPr>
                    <w:widowControl/>
                    <w:jc w:val="center"/>
                    <w:rPr>
                      <w:rFonts w:hint="default" w:ascii="Times New Roman" w:hAnsi="Times New Roman" w:eastAsia="宋体" w:cs="Times New Roman"/>
                      <w:color w:val="auto"/>
                      <w:kern w:val="0"/>
                      <w:sz w:val="21"/>
                      <w:szCs w:val="21"/>
                      <w:highlight w:val="none"/>
                    </w:rPr>
                  </w:pPr>
                  <w:r>
                    <w:rPr>
                      <w:rFonts w:hint="eastAsia"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rPr>
                    <w:t>0m</w:t>
                  </w:r>
                  <w:r>
                    <w:rPr>
                      <w:rFonts w:hint="default" w:ascii="Times New Roman" w:hAnsi="Times New Roman" w:eastAsia="宋体" w:cs="Times New Roman"/>
                      <w:color w:val="auto"/>
                      <w:kern w:val="0"/>
                      <w:sz w:val="21"/>
                      <w:szCs w:val="21"/>
                      <w:highlight w:val="none"/>
                      <w:vertAlign w:val="superscript"/>
                    </w:rPr>
                    <w:t>2</w:t>
                  </w:r>
                </w:p>
              </w:tc>
              <w:tc>
                <w:tcPr>
                  <w:tcW w:w="363" w:type="pct"/>
                  <w:vMerge w:val="restart"/>
                  <w:noWrap w:val="0"/>
                  <w:vAlign w:val="center"/>
                </w:tcPr>
                <w:p w14:paraId="2E2CD2B5">
                  <w:pPr>
                    <w:widowControl/>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桶装</w:t>
                  </w:r>
                </w:p>
              </w:tc>
              <w:tc>
                <w:tcPr>
                  <w:tcW w:w="293" w:type="pct"/>
                  <w:vMerge w:val="restart"/>
                  <w:noWrap w:val="0"/>
                  <w:vAlign w:val="center"/>
                </w:tcPr>
                <w:p w14:paraId="4BF08DCA">
                  <w:pPr>
                    <w:pStyle w:val="30"/>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w:t>
                  </w:r>
                  <w:r>
                    <w:rPr>
                      <w:rFonts w:hint="default" w:ascii="Times New Roman" w:hAnsi="Times New Roman" w:eastAsia="宋体" w:cs="Times New Roman"/>
                      <w:color w:val="auto"/>
                      <w:sz w:val="21"/>
                      <w:szCs w:val="21"/>
                    </w:rPr>
                    <w:t>.5t</w:t>
                  </w:r>
                </w:p>
              </w:tc>
              <w:tc>
                <w:tcPr>
                  <w:tcW w:w="491" w:type="pct"/>
                  <w:vMerge w:val="restart"/>
                  <w:noWrap w:val="0"/>
                  <w:vAlign w:val="center"/>
                </w:tcPr>
                <w:p w14:paraId="16DAA71B">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半年</w:t>
                  </w:r>
                </w:p>
              </w:tc>
              <w:tc>
                <w:tcPr>
                  <w:tcW w:w="1188" w:type="pct"/>
                  <w:vMerge w:val="restart"/>
                  <w:noWrap w:val="0"/>
                  <w:vAlign w:val="center"/>
                </w:tcPr>
                <w:p w14:paraId="0A2F9443">
                  <w:pPr>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符合</w:t>
                  </w:r>
                  <w:r>
                    <w:rPr>
                      <w:rFonts w:hint="default" w:ascii="Times New Roman" w:hAnsi="Times New Roman" w:eastAsia="宋体" w:cs="Times New Roman"/>
                      <w:color w:val="auto"/>
                      <w:sz w:val="21"/>
                      <w:szCs w:val="21"/>
                    </w:rPr>
                    <w:t>《危险废物贮存污染控制标准》</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GB 18597</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2023</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GB" w:eastAsia="zh-CN"/>
                    </w:rPr>
                    <w:t>要求。</w:t>
                  </w:r>
                </w:p>
              </w:tc>
            </w:tr>
            <w:tr w14:paraId="71E2D4A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88" w:type="pct"/>
                  <w:vMerge w:val="restart"/>
                  <w:noWrap w:val="0"/>
                  <w:vAlign w:val="center"/>
                </w:tcPr>
                <w:p w14:paraId="45B9AFCA">
                  <w:pPr>
                    <w:widowControl/>
                    <w:jc w:val="center"/>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2</w:t>
                  </w:r>
                </w:p>
              </w:tc>
              <w:tc>
                <w:tcPr>
                  <w:tcW w:w="589" w:type="pct"/>
                  <w:vMerge w:val="restart"/>
                  <w:noWrap w:val="0"/>
                  <w:vAlign w:val="center"/>
                </w:tcPr>
                <w:p w14:paraId="72991FF6">
                  <w:pPr>
                    <w:widowControl/>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w:t>
                  </w:r>
                  <w:r>
                    <w:rPr>
                      <w:rFonts w:hint="eastAsia" w:cs="Times New Roman"/>
                      <w:color w:val="auto"/>
                      <w:sz w:val="21"/>
                      <w:szCs w:val="21"/>
                      <w:lang w:val="en-US" w:eastAsia="zh-CN"/>
                    </w:rPr>
                    <w:t>矿物</w:t>
                  </w:r>
                  <w:r>
                    <w:rPr>
                      <w:rFonts w:hint="default" w:ascii="Times New Roman" w:hAnsi="Times New Roman" w:eastAsia="宋体" w:cs="Times New Roman"/>
                      <w:color w:val="auto"/>
                      <w:sz w:val="21"/>
                      <w:szCs w:val="21"/>
                      <w:lang w:val="en-US" w:eastAsia="zh-CN"/>
                    </w:rPr>
                    <w:t>油</w:t>
                  </w:r>
                </w:p>
                <w:p w14:paraId="1A7C5688">
                  <w:pPr>
                    <w:widowControl/>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rPr>
                    <w:t>贮存区</w:t>
                  </w:r>
                </w:p>
              </w:tc>
              <w:tc>
                <w:tcPr>
                  <w:tcW w:w="409" w:type="pct"/>
                  <w:noWrap w:val="0"/>
                  <w:vAlign w:val="center"/>
                </w:tcPr>
                <w:p w14:paraId="0C8440C6">
                  <w:pPr>
                    <w:widowControl/>
                    <w:jc w:val="center"/>
                    <w:rPr>
                      <w:rFonts w:hint="default" w:ascii="Times New Roman" w:hAnsi="Times New Roman" w:eastAsia="宋体" w:cs="Times New Roman"/>
                      <w:color w:val="auto"/>
                      <w:sz w:val="21"/>
                      <w:szCs w:val="21"/>
                    </w:rPr>
                  </w:pPr>
                  <w:r>
                    <w:rPr>
                      <w:rFonts w:hint="default" w:cs="Times New Roman"/>
                      <w:color w:val="auto"/>
                      <w:sz w:val="21"/>
                      <w:szCs w:val="21"/>
                      <w:lang w:eastAsia="zh-CN"/>
                    </w:rPr>
                    <w:t>废润滑油</w:t>
                  </w:r>
                </w:p>
              </w:tc>
              <w:tc>
                <w:tcPr>
                  <w:tcW w:w="395" w:type="pct"/>
                  <w:noWrap w:val="0"/>
                  <w:vAlign w:val="center"/>
                </w:tcPr>
                <w:p w14:paraId="0A9664A7">
                  <w:pPr>
                    <w:widowControl/>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HW08</w:t>
                  </w:r>
                </w:p>
              </w:tc>
              <w:tc>
                <w:tcPr>
                  <w:tcW w:w="530" w:type="pct"/>
                  <w:noWrap w:val="0"/>
                  <w:vAlign w:val="center"/>
                </w:tcPr>
                <w:p w14:paraId="5009E063">
                  <w:pPr>
                    <w:widowControl/>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900-21</w:t>
                  </w:r>
                  <w:r>
                    <w:rPr>
                      <w:rFonts w:hint="eastAsia" w:cs="Times New Roman"/>
                      <w:color w:val="auto"/>
                      <w:sz w:val="21"/>
                      <w:szCs w:val="21"/>
                      <w:lang w:val="en-US" w:eastAsia="zh-CN"/>
                    </w:rPr>
                    <w:t>4</w:t>
                  </w:r>
                  <w:r>
                    <w:rPr>
                      <w:rFonts w:hint="default" w:ascii="Times New Roman" w:hAnsi="Times New Roman" w:eastAsia="宋体" w:cs="Times New Roman"/>
                      <w:color w:val="auto"/>
                      <w:sz w:val="21"/>
                      <w:szCs w:val="21"/>
                    </w:rPr>
                    <w:t>-08</w:t>
                  </w:r>
                </w:p>
              </w:tc>
              <w:tc>
                <w:tcPr>
                  <w:tcW w:w="196" w:type="pct"/>
                  <w:vMerge w:val="continue"/>
                  <w:noWrap w:val="0"/>
                  <w:vAlign w:val="center"/>
                </w:tcPr>
                <w:p w14:paraId="735E6A5F">
                  <w:pPr>
                    <w:jc w:val="center"/>
                    <w:rPr>
                      <w:rFonts w:hint="default" w:ascii="Times New Roman" w:hAnsi="Times New Roman" w:eastAsia="宋体" w:cs="Times New Roman"/>
                      <w:color w:val="auto"/>
                      <w:kern w:val="0"/>
                      <w:sz w:val="21"/>
                      <w:szCs w:val="21"/>
                    </w:rPr>
                  </w:pPr>
                </w:p>
              </w:tc>
              <w:tc>
                <w:tcPr>
                  <w:tcW w:w="351" w:type="pct"/>
                  <w:vMerge w:val="continue"/>
                  <w:noWrap w:val="0"/>
                  <w:vAlign w:val="center"/>
                </w:tcPr>
                <w:p w14:paraId="11BC6726">
                  <w:pPr>
                    <w:widowControl/>
                    <w:jc w:val="center"/>
                    <w:rPr>
                      <w:rFonts w:hint="eastAsia" w:cs="Times New Roman"/>
                      <w:color w:val="auto"/>
                      <w:kern w:val="0"/>
                      <w:sz w:val="21"/>
                      <w:szCs w:val="21"/>
                      <w:highlight w:val="none"/>
                      <w:lang w:val="en-US" w:eastAsia="zh-CN"/>
                    </w:rPr>
                  </w:pPr>
                </w:p>
              </w:tc>
              <w:tc>
                <w:tcPr>
                  <w:tcW w:w="363" w:type="pct"/>
                  <w:vMerge w:val="continue"/>
                  <w:noWrap w:val="0"/>
                  <w:vAlign w:val="center"/>
                </w:tcPr>
                <w:p w14:paraId="6631A9D0">
                  <w:pPr>
                    <w:widowControl/>
                    <w:jc w:val="center"/>
                    <w:rPr>
                      <w:rFonts w:hint="default" w:ascii="Times New Roman" w:hAnsi="Times New Roman" w:eastAsia="宋体" w:cs="Times New Roman"/>
                      <w:color w:val="auto"/>
                      <w:kern w:val="0"/>
                      <w:sz w:val="21"/>
                      <w:szCs w:val="21"/>
                    </w:rPr>
                  </w:pPr>
                </w:p>
              </w:tc>
              <w:tc>
                <w:tcPr>
                  <w:tcW w:w="293" w:type="pct"/>
                  <w:vMerge w:val="continue"/>
                  <w:noWrap w:val="0"/>
                  <w:vAlign w:val="center"/>
                </w:tcPr>
                <w:p w14:paraId="0D4AB520">
                  <w:pPr>
                    <w:pStyle w:val="30"/>
                    <w:rPr>
                      <w:rFonts w:hint="eastAsia" w:cs="Times New Roman"/>
                      <w:color w:val="auto"/>
                      <w:sz w:val="21"/>
                      <w:szCs w:val="21"/>
                      <w:lang w:val="en-US" w:eastAsia="zh-CN"/>
                    </w:rPr>
                  </w:pPr>
                </w:p>
              </w:tc>
              <w:tc>
                <w:tcPr>
                  <w:tcW w:w="491" w:type="pct"/>
                  <w:vMerge w:val="continue"/>
                  <w:noWrap w:val="0"/>
                  <w:vAlign w:val="center"/>
                </w:tcPr>
                <w:p w14:paraId="7254DF07">
                  <w:pPr>
                    <w:jc w:val="center"/>
                    <w:rPr>
                      <w:rFonts w:hint="default" w:ascii="Times New Roman" w:hAnsi="Times New Roman" w:eastAsia="宋体" w:cs="Times New Roman"/>
                      <w:color w:val="auto"/>
                      <w:kern w:val="0"/>
                      <w:sz w:val="21"/>
                      <w:szCs w:val="21"/>
                    </w:rPr>
                  </w:pPr>
                </w:p>
              </w:tc>
              <w:tc>
                <w:tcPr>
                  <w:tcW w:w="1188" w:type="pct"/>
                  <w:vMerge w:val="continue"/>
                  <w:noWrap w:val="0"/>
                  <w:vAlign w:val="center"/>
                </w:tcPr>
                <w:p w14:paraId="6D09C0B0">
                  <w:pPr>
                    <w:jc w:val="center"/>
                    <w:rPr>
                      <w:rFonts w:hint="default" w:ascii="Times New Roman" w:hAnsi="Times New Roman" w:eastAsia="宋体" w:cs="Times New Roman"/>
                      <w:color w:val="auto"/>
                      <w:kern w:val="0"/>
                      <w:sz w:val="21"/>
                      <w:szCs w:val="21"/>
                    </w:rPr>
                  </w:pPr>
                </w:p>
              </w:tc>
            </w:tr>
            <w:tr w14:paraId="3B5DEE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88" w:type="pct"/>
                  <w:vMerge w:val="continue"/>
                  <w:noWrap w:val="0"/>
                  <w:vAlign w:val="center"/>
                </w:tcPr>
                <w:p w14:paraId="428E2A67">
                  <w:pPr>
                    <w:widowControl/>
                    <w:jc w:val="center"/>
                    <w:rPr>
                      <w:rFonts w:hint="eastAsia" w:cs="Times New Roman"/>
                      <w:color w:val="auto"/>
                      <w:kern w:val="0"/>
                      <w:sz w:val="21"/>
                      <w:szCs w:val="21"/>
                      <w:lang w:val="en-US" w:eastAsia="zh-CN"/>
                    </w:rPr>
                  </w:pPr>
                </w:p>
              </w:tc>
              <w:tc>
                <w:tcPr>
                  <w:tcW w:w="589" w:type="pct"/>
                  <w:vMerge w:val="continue"/>
                  <w:noWrap w:val="0"/>
                  <w:vAlign w:val="center"/>
                </w:tcPr>
                <w:p w14:paraId="496F0E31">
                  <w:pPr>
                    <w:widowControl/>
                    <w:jc w:val="center"/>
                    <w:rPr>
                      <w:rFonts w:hint="default" w:ascii="Times New Roman" w:hAnsi="Times New Roman" w:eastAsia="宋体" w:cs="Times New Roman"/>
                      <w:color w:val="auto"/>
                      <w:kern w:val="0"/>
                      <w:sz w:val="21"/>
                      <w:szCs w:val="21"/>
                    </w:rPr>
                  </w:pPr>
                </w:p>
              </w:tc>
              <w:tc>
                <w:tcPr>
                  <w:tcW w:w="409" w:type="pct"/>
                  <w:noWrap w:val="0"/>
                  <w:vAlign w:val="center"/>
                </w:tcPr>
                <w:p w14:paraId="7C73963B">
                  <w:pPr>
                    <w:widowControl/>
                    <w:jc w:val="center"/>
                    <w:rPr>
                      <w:rFonts w:hint="default" w:cs="Times New Roman"/>
                      <w:color w:val="auto"/>
                      <w:sz w:val="21"/>
                      <w:szCs w:val="21"/>
                      <w:lang w:eastAsia="zh-CN"/>
                    </w:rPr>
                  </w:pPr>
                  <w:r>
                    <w:rPr>
                      <w:rFonts w:hint="default" w:cs="Times New Roman"/>
                      <w:color w:val="auto"/>
                      <w:sz w:val="21"/>
                      <w:szCs w:val="21"/>
                      <w:lang w:eastAsia="zh-CN"/>
                    </w:rPr>
                    <w:t>废液压油</w:t>
                  </w:r>
                </w:p>
              </w:tc>
              <w:tc>
                <w:tcPr>
                  <w:tcW w:w="395" w:type="pct"/>
                  <w:noWrap w:val="0"/>
                  <w:vAlign w:val="center"/>
                </w:tcPr>
                <w:p w14:paraId="47C8F443">
                  <w:pPr>
                    <w:widowControl/>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HW08</w:t>
                  </w:r>
                </w:p>
              </w:tc>
              <w:tc>
                <w:tcPr>
                  <w:tcW w:w="530" w:type="pct"/>
                  <w:noWrap w:val="0"/>
                  <w:vAlign w:val="center"/>
                </w:tcPr>
                <w:p w14:paraId="02638F9F">
                  <w:pPr>
                    <w:widowControl/>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900-21</w:t>
                  </w:r>
                  <w:r>
                    <w:rPr>
                      <w:rFonts w:hint="default" w:ascii="Times New Roman" w:hAnsi="Times New Roman" w:eastAsia="宋体" w:cs="Times New Roman"/>
                      <w:color w:val="auto"/>
                      <w:sz w:val="21"/>
                      <w:szCs w:val="21"/>
                      <w:lang w:val="en-US" w:eastAsia="zh-CN"/>
                    </w:rPr>
                    <w:t>8</w:t>
                  </w:r>
                  <w:r>
                    <w:rPr>
                      <w:rFonts w:hint="default" w:ascii="Times New Roman" w:hAnsi="Times New Roman" w:eastAsia="宋体" w:cs="Times New Roman"/>
                      <w:color w:val="auto"/>
                      <w:sz w:val="21"/>
                      <w:szCs w:val="21"/>
                    </w:rPr>
                    <w:t>-08</w:t>
                  </w:r>
                </w:p>
              </w:tc>
              <w:tc>
                <w:tcPr>
                  <w:tcW w:w="196" w:type="pct"/>
                  <w:vMerge w:val="continue"/>
                  <w:noWrap w:val="0"/>
                  <w:vAlign w:val="center"/>
                </w:tcPr>
                <w:p w14:paraId="3F6AE7BB">
                  <w:pPr>
                    <w:jc w:val="center"/>
                    <w:rPr>
                      <w:rFonts w:hint="default" w:ascii="Times New Roman" w:hAnsi="Times New Roman" w:eastAsia="宋体" w:cs="Times New Roman"/>
                      <w:color w:val="auto"/>
                      <w:kern w:val="0"/>
                      <w:sz w:val="21"/>
                      <w:szCs w:val="21"/>
                    </w:rPr>
                  </w:pPr>
                </w:p>
              </w:tc>
              <w:tc>
                <w:tcPr>
                  <w:tcW w:w="351" w:type="pct"/>
                  <w:vMerge w:val="continue"/>
                  <w:noWrap w:val="0"/>
                  <w:vAlign w:val="center"/>
                </w:tcPr>
                <w:p w14:paraId="44EE80DF">
                  <w:pPr>
                    <w:widowControl/>
                    <w:jc w:val="center"/>
                    <w:rPr>
                      <w:rFonts w:hint="eastAsia" w:cs="Times New Roman"/>
                      <w:color w:val="auto"/>
                      <w:kern w:val="0"/>
                      <w:sz w:val="21"/>
                      <w:szCs w:val="21"/>
                      <w:highlight w:val="none"/>
                      <w:lang w:val="en-US" w:eastAsia="zh-CN"/>
                    </w:rPr>
                  </w:pPr>
                </w:p>
              </w:tc>
              <w:tc>
                <w:tcPr>
                  <w:tcW w:w="363" w:type="pct"/>
                  <w:vMerge w:val="continue"/>
                  <w:noWrap w:val="0"/>
                  <w:vAlign w:val="center"/>
                </w:tcPr>
                <w:p w14:paraId="55B5449B">
                  <w:pPr>
                    <w:widowControl/>
                    <w:jc w:val="center"/>
                    <w:rPr>
                      <w:rFonts w:hint="default" w:ascii="Times New Roman" w:hAnsi="Times New Roman" w:eastAsia="宋体" w:cs="Times New Roman"/>
                      <w:color w:val="auto"/>
                      <w:kern w:val="0"/>
                      <w:sz w:val="21"/>
                      <w:szCs w:val="21"/>
                    </w:rPr>
                  </w:pPr>
                </w:p>
              </w:tc>
              <w:tc>
                <w:tcPr>
                  <w:tcW w:w="293" w:type="pct"/>
                  <w:vMerge w:val="continue"/>
                  <w:noWrap w:val="0"/>
                  <w:vAlign w:val="center"/>
                </w:tcPr>
                <w:p w14:paraId="6DF31065">
                  <w:pPr>
                    <w:pStyle w:val="30"/>
                    <w:rPr>
                      <w:rFonts w:hint="eastAsia" w:cs="Times New Roman"/>
                      <w:color w:val="auto"/>
                      <w:sz w:val="21"/>
                      <w:szCs w:val="21"/>
                      <w:lang w:val="en-US" w:eastAsia="zh-CN"/>
                    </w:rPr>
                  </w:pPr>
                </w:p>
              </w:tc>
              <w:tc>
                <w:tcPr>
                  <w:tcW w:w="491" w:type="pct"/>
                  <w:vMerge w:val="continue"/>
                  <w:noWrap w:val="0"/>
                  <w:vAlign w:val="center"/>
                </w:tcPr>
                <w:p w14:paraId="1556B973">
                  <w:pPr>
                    <w:jc w:val="center"/>
                    <w:rPr>
                      <w:rFonts w:hint="default" w:ascii="Times New Roman" w:hAnsi="Times New Roman" w:eastAsia="宋体" w:cs="Times New Roman"/>
                      <w:color w:val="auto"/>
                      <w:kern w:val="0"/>
                      <w:sz w:val="21"/>
                      <w:szCs w:val="21"/>
                    </w:rPr>
                  </w:pPr>
                </w:p>
              </w:tc>
              <w:tc>
                <w:tcPr>
                  <w:tcW w:w="1188" w:type="pct"/>
                  <w:vMerge w:val="continue"/>
                  <w:noWrap w:val="0"/>
                  <w:vAlign w:val="center"/>
                </w:tcPr>
                <w:p w14:paraId="02D2CE14">
                  <w:pPr>
                    <w:jc w:val="center"/>
                    <w:rPr>
                      <w:rFonts w:hint="default" w:ascii="Times New Roman" w:hAnsi="Times New Roman" w:eastAsia="宋体" w:cs="Times New Roman"/>
                      <w:color w:val="auto"/>
                      <w:kern w:val="0"/>
                      <w:sz w:val="21"/>
                      <w:szCs w:val="21"/>
                    </w:rPr>
                  </w:pPr>
                </w:p>
              </w:tc>
            </w:tr>
            <w:tr w14:paraId="4EAF98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88" w:type="pct"/>
                  <w:vMerge w:val="continue"/>
                  <w:noWrap w:val="0"/>
                  <w:vAlign w:val="center"/>
                </w:tcPr>
                <w:p w14:paraId="0229F677">
                  <w:pPr>
                    <w:widowControl/>
                    <w:jc w:val="center"/>
                    <w:rPr>
                      <w:rFonts w:hint="eastAsia" w:cs="Times New Roman"/>
                      <w:color w:val="auto"/>
                      <w:kern w:val="0"/>
                      <w:sz w:val="21"/>
                      <w:szCs w:val="21"/>
                      <w:lang w:val="en-US" w:eastAsia="zh-CN"/>
                    </w:rPr>
                  </w:pPr>
                </w:p>
              </w:tc>
              <w:tc>
                <w:tcPr>
                  <w:tcW w:w="589" w:type="pct"/>
                  <w:vMerge w:val="continue"/>
                  <w:noWrap w:val="0"/>
                  <w:vAlign w:val="center"/>
                </w:tcPr>
                <w:p w14:paraId="33CA0459">
                  <w:pPr>
                    <w:widowControl/>
                    <w:jc w:val="center"/>
                    <w:rPr>
                      <w:rFonts w:hint="default" w:ascii="Times New Roman" w:hAnsi="Times New Roman" w:eastAsia="宋体" w:cs="Times New Roman"/>
                      <w:color w:val="auto"/>
                      <w:kern w:val="0"/>
                      <w:sz w:val="21"/>
                      <w:szCs w:val="21"/>
                    </w:rPr>
                  </w:pPr>
                </w:p>
              </w:tc>
              <w:tc>
                <w:tcPr>
                  <w:tcW w:w="409" w:type="pct"/>
                  <w:noWrap w:val="0"/>
                  <w:vAlign w:val="center"/>
                </w:tcPr>
                <w:p w14:paraId="105147CF">
                  <w:pPr>
                    <w:widowControl/>
                    <w:jc w:val="center"/>
                    <w:rPr>
                      <w:rFonts w:hint="default" w:cs="Times New Roman"/>
                      <w:color w:val="auto"/>
                      <w:sz w:val="21"/>
                      <w:szCs w:val="21"/>
                      <w:lang w:eastAsia="zh-CN"/>
                    </w:rPr>
                  </w:pPr>
                  <w:r>
                    <w:rPr>
                      <w:rFonts w:hint="default" w:ascii="Times New Roman" w:hAnsi="Times New Roman" w:eastAsia="宋体" w:cs="Times New Roman"/>
                      <w:color w:val="auto"/>
                      <w:spacing w:val="0"/>
                      <w:sz w:val="21"/>
                      <w:szCs w:val="21"/>
                      <w:lang w:eastAsia="zh-CN"/>
                    </w:rPr>
                    <w:t>废润滑油桶及废液压油桶</w:t>
                  </w:r>
                </w:p>
              </w:tc>
              <w:tc>
                <w:tcPr>
                  <w:tcW w:w="395" w:type="pct"/>
                  <w:noWrap w:val="0"/>
                  <w:vAlign w:val="center"/>
                </w:tcPr>
                <w:p w14:paraId="309696FC">
                  <w:pPr>
                    <w:widowControl/>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rPr>
                    <w:t>HW</w:t>
                  </w:r>
                  <w:r>
                    <w:rPr>
                      <w:rFonts w:hint="default" w:ascii="Times New Roman" w:hAnsi="Times New Roman" w:eastAsia="宋体" w:cs="Times New Roman"/>
                      <w:color w:val="auto"/>
                      <w:spacing w:val="0"/>
                      <w:sz w:val="21"/>
                      <w:szCs w:val="21"/>
                      <w:lang w:val="en-US" w:eastAsia="zh-CN"/>
                    </w:rPr>
                    <w:t>49</w:t>
                  </w:r>
                </w:p>
              </w:tc>
              <w:tc>
                <w:tcPr>
                  <w:tcW w:w="530" w:type="pct"/>
                  <w:noWrap w:val="0"/>
                  <w:vAlign w:val="center"/>
                </w:tcPr>
                <w:p w14:paraId="35B41345">
                  <w:pPr>
                    <w:widowControl/>
                    <w:jc w:val="center"/>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900-249-08</w:t>
                  </w:r>
                </w:p>
                <w:p w14:paraId="5A1184D7">
                  <w:pPr>
                    <w:widowControl/>
                    <w:jc w:val="center"/>
                    <w:rPr>
                      <w:rFonts w:hint="default" w:ascii="Times New Roman" w:hAnsi="Times New Roman" w:eastAsia="宋体" w:cs="Times New Roman"/>
                      <w:color w:val="auto"/>
                      <w:sz w:val="21"/>
                      <w:szCs w:val="21"/>
                    </w:rPr>
                  </w:pPr>
                </w:p>
              </w:tc>
              <w:tc>
                <w:tcPr>
                  <w:tcW w:w="196" w:type="pct"/>
                  <w:vMerge w:val="continue"/>
                  <w:noWrap w:val="0"/>
                  <w:vAlign w:val="center"/>
                </w:tcPr>
                <w:p w14:paraId="3586199B">
                  <w:pPr>
                    <w:jc w:val="center"/>
                    <w:rPr>
                      <w:rFonts w:hint="default" w:ascii="Times New Roman" w:hAnsi="Times New Roman" w:eastAsia="宋体" w:cs="Times New Roman"/>
                      <w:color w:val="auto"/>
                      <w:kern w:val="0"/>
                      <w:sz w:val="21"/>
                      <w:szCs w:val="21"/>
                    </w:rPr>
                  </w:pPr>
                </w:p>
              </w:tc>
              <w:tc>
                <w:tcPr>
                  <w:tcW w:w="351" w:type="pct"/>
                  <w:vMerge w:val="continue"/>
                  <w:noWrap w:val="0"/>
                  <w:vAlign w:val="center"/>
                </w:tcPr>
                <w:p w14:paraId="16C78124">
                  <w:pPr>
                    <w:widowControl/>
                    <w:jc w:val="center"/>
                    <w:rPr>
                      <w:rFonts w:hint="eastAsia" w:cs="Times New Roman"/>
                      <w:color w:val="auto"/>
                      <w:kern w:val="0"/>
                      <w:sz w:val="21"/>
                      <w:szCs w:val="21"/>
                      <w:highlight w:val="none"/>
                      <w:lang w:val="en-US" w:eastAsia="zh-CN"/>
                    </w:rPr>
                  </w:pPr>
                </w:p>
              </w:tc>
              <w:tc>
                <w:tcPr>
                  <w:tcW w:w="363" w:type="pct"/>
                  <w:vMerge w:val="continue"/>
                  <w:noWrap w:val="0"/>
                  <w:vAlign w:val="center"/>
                </w:tcPr>
                <w:p w14:paraId="0DF5907C">
                  <w:pPr>
                    <w:widowControl/>
                    <w:jc w:val="center"/>
                    <w:rPr>
                      <w:rFonts w:hint="default" w:ascii="Times New Roman" w:hAnsi="Times New Roman" w:eastAsia="宋体" w:cs="Times New Roman"/>
                      <w:color w:val="auto"/>
                      <w:kern w:val="0"/>
                      <w:sz w:val="21"/>
                      <w:szCs w:val="21"/>
                    </w:rPr>
                  </w:pPr>
                </w:p>
              </w:tc>
              <w:tc>
                <w:tcPr>
                  <w:tcW w:w="293" w:type="pct"/>
                  <w:vMerge w:val="continue"/>
                  <w:noWrap w:val="0"/>
                  <w:vAlign w:val="center"/>
                </w:tcPr>
                <w:p w14:paraId="22A93808">
                  <w:pPr>
                    <w:pStyle w:val="30"/>
                    <w:rPr>
                      <w:rFonts w:hint="eastAsia" w:cs="Times New Roman"/>
                      <w:color w:val="auto"/>
                      <w:sz w:val="21"/>
                      <w:szCs w:val="21"/>
                      <w:lang w:val="en-US" w:eastAsia="zh-CN"/>
                    </w:rPr>
                  </w:pPr>
                </w:p>
              </w:tc>
              <w:tc>
                <w:tcPr>
                  <w:tcW w:w="491" w:type="pct"/>
                  <w:vMerge w:val="continue"/>
                  <w:noWrap w:val="0"/>
                  <w:vAlign w:val="center"/>
                </w:tcPr>
                <w:p w14:paraId="27425A2F">
                  <w:pPr>
                    <w:jc w:val="center"/>
                    <w:rPr>
                      <w:rFonts w:hint="default" w:ascii="Times New Roman" w:hAnsi="Times New Roman" w:eastAsia="宋体" w:cs="Times New Roman"/>
                      <w:color w:val="auto"/>
                      <w:kern w:val="0"/>
                      <w:sz w:val="21"/>
                      <w:szCs w:val="21"/>
                    </w:rPr>
                  </w:pPr>
                </w:p>
              </w:tc>
              <w:tc>
                <w:tcPr>
                  <w:tcW w:w="1188" w:type="pct"/>
                  <w:vMerge w:val="continue"/>
                  <w:noWrap w:val="0"/>
                  <w:vAlign w:val="center"/>
                </w:tcPr>
                <w:p w14:paraId="212BD9C4">
                  <w:pPr>
                    <w:jc w:val="center"/>
                    <w:rPr>
                      <w:rFonts w:hint="default" w:ascii="Times New Roman" w:hAnsi="Times New Roman" w:eastAsia="宋体" w:cs="Times New Roman"/>
                      <w:color w:val="auto"/>
                      <w:kern w:val="0"/>
                      <w:sz w:val="21"/>
                      <w:szCs w:val="21"/>
                    </w:rPr>
                  </w:pPr>
                </w:p>
              </w:tc>
            </w:tr>
            <w:tr w14:paraId="7896BA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5000" w:type="pct"/>
                  <w:gridSpan w:val="11"/>
                  <w:noWrap w:val="0"/>
                  <w:vAlign w:val="center"/>
                </w:tcPr>
                <w:p w14:paraId="2DA6A53C">
                  <w:pPr>
                    <w:widowControl/>
                    <w:jc w:val="left"/>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color w:val="auto"/>
                      <w:kern w:val="0"/>
                      <w:sz w:val="21"/>
                      <w:szCs w:val="21"/>
                    </w:rPr>
                    <w:t>注：⑴暂存设施能够满足的危险废物最大贮存时长</w:t>
                  </w:r>
                  <w:r>
                    <w:rPr>
                      <w:rFonts w:hint="default" w:ascii="Times New Roman" w:hAnsi="Times New Roman" w:eastAsia="宋体" w:cs="Times New Roman"/>
                      <w:b/>
                      <w:color w:val="auto"/>
                      <w:kern w:val="0"/>
                      <w:sz w:val="21"/>
                      <w:szCs w:val="21"/>
                    </w:rPr>
                    <w:t>。</w:t>
                  </w:r>
                </w:p>
              </w:tc>
            </w:tr>
          </w:tbl>
          <w:p w14:paraId="46AE2820">
            <w:pPr>
              <w:pStyle w:val="55"/>
              <w:ind w:firstLine="422"/>
              <w:rPr>
                <w:b/>
                <w:bCs/>
                <w:color w:val="auto"/>
                <w:sz w:val="24"/>
                <w:szCs w:val="24"/>
              </w:rPr>
            </w:pPr>
            <w:r>
              <w:rPr>
                <w:b/>
                <w:bCs/>
                <w:color w:val="auto"/>
                <w:sz w:val="24"/>
                <w:szCs w:val="24"/>
              </w:rPr>
              <w:t>危险废物鉴别、暂存、转移应注意事项：</w:t>
            </w:r>
          </w:p>
          <w:p w14:paraId="11872CBB">
            <w:pPr>
              <w:pStyle w:val="55"/>
              <w:rPr>
                <w:color w:val="auto"/>
                <w:sz w:val="24"/>
                <w:szCs w:val="24"/>
              </w:rPr>
            </w:pPr>
            <w:r>
              <w:rPr>
                <w:color w:val="auto"/>
                <w:sz w:val="24"/>
                <w:szCs w:val="24"/>
              </w:rPr>
              <w:fldChar w:fldCharType="begin"/>
            </w:r>
            <w:r>
              <w:rPr>
                <w:color w:val="auto"/>
                <w:sz w:val="24"/>
                <w:szCs w:val="24"/>
              </w:rPr>
              <w:instrText xml:space="preserve"> </w:instrText>
            </w:r>
            <w:r>
              <w:rPr>
                <w:rFonts w:hint="eastAsia"/>
                <w:color w:val="auto"/>
                <w:sz w:val="24"/>
                <w:szCs w:val="24"/>
              </w:rPr>
              <w:instrText xml:space="preserve">= 1 \* GB3</w:instrText>
            </w:r>
            <w:r>
              <w:rPr>
                <w:color w:val="auto"/>
                <w:sz w:val="24"/>
                <w:szCs w:val="24"/>
              </w:rPr>
              <w:instrText xml:space="preserve"> </w:instrText>
            </w:r>
            <w:r>
              <w:rPr>
                <w:color w:val="auto"/>
                <w:sz w:val="24"/>
                <w:szCs w:val="24"/>
              </w:rPr>
              <w:fldChar w:fldCharType="separate"/>
            </w:r>
            <w:r>
              <w:rPr>
                <w:rFonts w:hint="eastAsia"/>
                <w:color w:val="auto"/>
                <w:sz w:val="24"/>
                <w:szCs w:val="24"/>
              </w:rPr>
              <w:t>①</w:t>
            </w:r>
            <w:r>
              <w:rPr>
                <w:color w:val="auto"/>
                <w:sz w:val="24"/>
                <w:szCs w:val="24"/>
              </w:rPr>
              <w:fldChar w:fldCharType="end"/>
            </w:r>
            <w:r>
              <w:rPr>
                <w:color w:val="auto"/>
                <w:sz w:val="24"/>
                <w:szCs w:val="24"/>
              </w:rPr>
              <w:t>危险废物收集、暂存时应按腐蚀性、毒性、易燃性、反应性等危险特性对危险废物进行分类包装并设置相应的标志及标签。危险废物特性应根据其产生源特性及GB5085.1.7、HJ/T298进行鉴别。</w:t>
            </w:r>
          </w:p>
          <w:p w14:paraId="6B3CE073">
            <w:pPr>
              <w:pStyle w:val="55"/>
              <w:rPr>
                <w:color w:val="auto"/>
                <w:sz w:val="24"/>
                <w:szCs w:val="24"/>
              </w:rPr>
            </w:pPr>
            <w:r>
              <w:rPr>
                <w:color w:val="auto"/>
                <w:sz w:val="24"/>
                <w:szCs w:val="24"/>
              </w:rPr>
              <w:fldChar w:fldCharType="begin"/>
            </w:r>
            <w:r>
              <w:rPr>
                <w:color w:val="auto"/>
                <w:sz w:val="24"/>
                <w:szCs w:val="24"/>
              </w:rPr>
              <w:instrText xml:space="preserve"> </w:instrText>
            </w:r>
            <w:r>
              <w:rPr>
                <w:rFonts w:hint="eastAsia"/>
                <w:color w:val="auto"/>
                <w:sz w:val="24"/>
                <w:szCs w:val="24"/>
              </w:rPr>
              <w:instrText xml:space="preserve">= 2 \* GB3</w:instrText>
            </w:r>
            <w:r>
              <w:rPr>
                <w:color w:val="auto"/>
                <w:sz w:val="24"/>
                <w:szCs w:val="24"/>
              </w:rPr>
              <w:instrText xml:space="preserve"> </w:instrText>
            </w:r>
            <w:r>
              <w:rPr>
                <w:color w:val="auto"/>
                <w:sz w:val="24"/>
                <w:szCs w:val="24"/>
              </w:rPr>
              <w:fldChar w:fldCharType="separate"/>
            </w:r>
            <w:r>
              <w:rPr>
                <w:rFonts w:hint="eastAsia"/>
                <w:color w:val="auto"/>
                <w:sz w:val="24"/>
                <w:szCs w:val="24"/>
              </w:rPr>
              <w:t>②</w:t>
            </w:r>
            <w:r>
              <w:rPr>
                <w:color w:val="auto"/>
                <w:sz w:val="24"/>
                <w:szCs w:val="24"/>
              </w:rPr>
              <w:fldChar w:fldCharType="end"/>
            </w:r>
            <w:r>
              <w:rPr>
                <w:color w:val="auto"/>
                <w:sz w:val="24"/>
                <w:szCs w:val="24"/>
              </w:rPr>
              <w:t>危险废物应使用符合国家标准的容器盛装危险废物。贮存容器必须具有耐腐蚀、耐压、密封和不与所贮存的废物发生反应等特性。贮存容器应保证完好无损并具有明显标志。</w:t>
            </w:r>
          </w:p>
          <w:p w14:paraId="6899D00F">
            <w:pPr>
              <w:pStyle w:val="55"/>
              <w:rPr>
                <w:color w:val="auto"/>
                <w:sz w:val="24"/>
                <w:szCs w:val="24"/>
              </w:rPr>
            </w:pPr>
            <w:r>
              <w:rPr>
                <w:color w:val="auto"/>
                <w:sz w:val="24"/>
                <w:szCs w:val="24"/>
              </w:rPr>
              <w:fldChar w:fldCharType="begin"/>
            </w:r>
            <w:r>
              <w:rPr>
                <w:color w:val="auto"/>
                <w:sz w:val="24"/>
                <w:szCs w:val="24"/>
              </w:rPr>
              <w:instrText xml:space="preserve"> </w:instrText>
            </w:r>
            <w:r>
              <w:rPr>
                <w:rFonts w:hint="eastAsia"/>
                <w:color w:val="auto"/>
                <w:sz w:val="24"/>
                <w:szCs w:val="24"/>
              </w:rPr>
              <w:instrText xml:space="preserve">= 3 \* GB3</w:instrText>
            </w:r>
            <w:r>
              <w:rPr>
                <w:color w:val="auto"/>
                <w:sz w:val="24"/>
                <w:szCs w:val="24"/>
              </w:rPr>
              <w:instrText xml:space="preserve"> </w:instrText>
            </w:r>
            <w:r>
              <w:rPr>
                <w:color w:val="auto"/>
                <w:sz w:val="24"/>
                <w:szCs w:val="24"/>
              </w:rPr>
              <w:fldChar w:fldCharType="separate"/>
            </w:r>
            <w:r>
              <w:rPr>
                <w:rFonts w:hint="eastAsia"/>
                <w:color w:val="auto"/>
                <w:sz w:val="24"/>
                <w:szCs w:val="24"/>
              </w:rPr>
              <w:t>③</w:t>
            </w:r>
            <w:r>
              <w:rPr>
                <w:color w:val="auto"/>
                <w:sz w:val="24"/>
                <w:szCs w:val="24"/>
              </w:rPr>
              <w:fldChar w:fldCharType="end"/>
            </w:r>
            <w:r>
              <w:rPr>
                <w:color w:val="auto"/>
                <w:sz w:val="24"/>
                <w:szCs w:val="24"/>
              </w:rPr>
              <w:t>危险废物应分类贮存于专用贮存设施内，危险废物贮存设施应满足以下要求：</w:t>
            </w:r>
          </w:p>
          <w:p w14:paraId="66BF5AA4">
            <w:pPr>
              <w:pStyle w:val="55"/>
              <w:rPr>
                <w:color w:val="auto"/>
                <w:sz w:val="24"/>
                <w:szCs w:val="24"/>
              </w:rPr>
            </w:pPr>
            <w:r>
              <w:rPr>
                <w:color w:val="auto"/>
                <w:sz w:val="24"/>
                <w:szCs w:val="24"/>
              </w:rPr>
              <w:t>a.危险废物存储场所应按照</w:t>
            </w:r>
            <w:r>
              <w:rPr>
                <w:rFonts w:hint="default"/>
                <w:color w:val="auto"/>
                <w:sz w:val="24"/>
                <w:szCs w:val="24"/>
              </w:rPr>
              <w:t>《危险废物贮存污染控制标准》</w:t>
            </w:r>
            <w:r>
              <w:rPr>
                <w:rFonts w:hint="eastAsia"/>
                <w:color w:val="auto"/>
                <w:sz w:val="24"/>
                <w:szCs w:val="24"/>
                <w:lang w:eastAsia="zh-CN"/>
              </w:rPr>
              <w:t>（</w:t>
            </w:r>
            <w:r>
              <w:rPr>
                <w:rFonts w:hint="eastAsia"/>
                <w:color w:val="auto"/>
                <w:sz w:val="24"/>
                <w:szCs w:val="24"/>
              </w:rPr>
              <w:t>GB 18597</w:t>
            </w:r>
            <w:r>
              <w:rPr>
                <w:rFonts w:hint="eastAsia"/>
                <w:color w:val="auto"/>
                <w:sz w:val="24"/>
                <w:szCs w:val="24"/>
                <w:lang w:val="en-US" w:eastAsia="zh-CN"/>
              </w:rPr>
              <w:t>-</w:t>
            </w:r>
            <w:r>
              <w:rPr>
                <w:rFonts w:hint="eastAsia"/>
                <w:color w:val="auto"/>
                <w:sz w:val="24"/>
                <w:szCs w:val="24"/>
              </w:rPr>
              <w:t>2023</w:t>
            </w:r>
            <w:r>
              <w:rPr>
                <w:rFonts w:hint="eastAsia"/>
                <w:color w:val="auto"/>
                <w:sz w:val="24"/>
                <w:szCs w:val="24"/>
                <w:lang w:eastAsia="zh-CN"/>
              </w:rPr>
              <w:t>）</w:t>
            </w:r>
            <w:r>
              <w:rPr>
                <w:rFonts w:hint="default"/>
                <w:color w:val="auto"/>
                <w:sz w:val="24"/>
                <w:szCs w:val="24"/>
                <w:lang w:val="en-GB" w:eastAsia="zh-CN"/>
              </w:rPr>
              <w:t>要求</w:t>
            </w:r>
            <w:r>
              <w:rPr>
                <w:color w:val="auto"/>
                <w:sz w:val="24"/>
                <w:szCs w:val="24"/>
              </w:rPr>
              <w:t>的规定进行设置，规模应满足转运周期的需要。必须有符合《环境保护图形标志－固体废物贮存(处置)场》(GB 15562.2-1995)的专用标志；</w:t>
            </w:r>
          </w:p>
          <w:p w14:paraId="1A54A207">
            <w:pPr>
              <w:pStyle w:val="55"/>
              <w:rPr>
                <w:color w:val="auto"/>
                <w:sz w:val="24"/>
                <w:szCs w:val="24"/>
              </w:rPr>
            </w:pPr>
            <w:r>
              <w:rPr>
                <w:color w:val="auto"/>
                <w:sz w:val="24"/>
                <w:szCs w:val="24"/>
              </w:rPr>
              <w:t>b.不相容的危险废物必须分开存放，并设有隔离间隔断；</w:t>
            </w:r>
          </w:p>
          <w:p w14:paraId="5E1D01FB">
            <w:pPr>
              <w:pStyle w:val="55"/>
              <w:rPr>
                <w:color w:val="auto"/>
                <w:sz w:val="24"/>
                <w:szCs w:val="24"/>
              </w:rPr>
            </w:pPr>
            <w:r>
              <w:rPr>
                <w:color w:val="auto"/>
                <w:sz w:val="24"/>
                <w:szCs w:val="24"/>
              </w:rPr>
              <w:t>c.应建有堵截泄漏的裙角，地面与裙角要用兼顾防渗的材料建造，建筑材料必须与危险废物相容；</w:t>
            </w:r>
          </w:p>
          <w:p w14:paraId="16C8D238">
            <w:pPr>
              <w:pStyle w:val="55"/>
              <w:rPr>
                <w:color w:val="auto"/>
                <w:sz w:val="24"/>
                <w:szCs w:val="24"/>
              </w:rPr>
            </w:pPr>
            <w:r>
              <w:rPr>
                <w:color w:val="auto"/>
                <w:sz w:val="24"/>
                <w:szCs w:val="24"/>
              </w:rPr>
              <w:t>d.必须有泄漏液体收集装置及气体导出口或净化装置；</w:t>
            </w:r>
          </w:p>
          <w:p w14:paraId="4CF41760">
            <w:pPr>
              <w:pStyle w:val="55"/>
              <w:rPr>
                <w:color w:val="auto"/>
                <w:sz w:val="24"/>
                <w:szCs w:val="24"/>
              </w:rPr>
            </w:pPr>
            <w:r>
              <w:rPr>
                <w:color w:val="auto"/>
                <w:sz w:val="24"/>
                <w:szCs w:val="24"/>
              </w:rPr>
              <w:t>e.应有安全照明和观察窗口，并应设有应急防护设施；</w:t>
            </w:r>
          </w:p>
          <w:p w14:paraId="5EC4A044">
            <w:pPr>
              <w:pStyle w:val="55"/>
              <w:rPr>
                <w:color w:val="auto"/>
                <w:sz w:val="24"/>
                <w:szCs w:val="24"/>
              </w:rPr>
            </w:pPr>
            <w:r>
              <w:rPr>
                <w:color w:val="auto"/>
                <w:sz w:val="24"/>
                <w:szCs w:val="24"/>
              </w:rPr>
              <w:t>f.应有隔离设施、报警装置和防风、防晒、防雨、防渗设施以及消防设施；</w:t>
            </w:r>
          </w:p>
          <w:p w14:paraId="76865731">
            <w:pPr>
              <w:pStyle w:val="55"/>
              <w:rPr>
                <w:color w:val="auto"/>
                <w:sz w:val="24"/>
                <w:szCs w:val="24"/>
              </w:rPr>
            </w:pPr>
            <w:r>
              <w:rPr>
                <w:color w:val="auto"/>
                <w:sz w:val="24"/>
                <w:szCs w:val="24"/>
              </w:rPr>
              <w:t>g.墙面、棚面应防吸附，用于存放装载液体、半固体危险废物容器的地方，必须有耐腐蚀的硬化地面，且表面无裂隙。</w:t>
            </w:r>
          </w:p>
          <w:p w14:paraId="09EC7DE2">
            <w:pPr>
              <w:pStyle w:val="55"/>
              <w:rPr>
                <w:color w:val="auto"/>
                <w:sz w:val="24"/>
                <w:szCs w:val="24"/>
              </w:rPr>
            </w:pPr>
            <w:r>
              <w:rPr>
                <w:color w:val="auto"/>
                <w:sz w:val="24"/>
                <w:szCs w:val="24"/>
              </w:rPr>
              <w:fldChar w:fldCharType="begin"/>
            </w:r>
            <w:r>
              <w:rPr>
                <w:color w:val="auto"/>
                <w:sz w:val="24"/>
                <w:szCs w:val="24"/>
              </w:rPr>
              <w:instrText xml:space="preserve"> </w:instrText>
            </w:r>
            <w:r>
              <w:rPr>
                <w:rFonts w:hint="eastAsia"/>
                <w:color w:val="auto"/>
                <w:sz w:val="24"/>
                <w:szCs w:val="24"/>
              </w:rPr>
              <w:instrText xml:space="preserve">= 4 \* GB3</w:instrText>
            </w:r>
            <w:r>
              <w:rPr>
                <w:color w:val="auto"/>
                <w:sz w:val="24"/>
                <w:szCs w:val="24"/>
              </w:rPr>
              <w:instrText xml:space="preserve"> </w:instrText>
            </w:r>
            <w:r>
              <w:rPr>
                <w:color w:val="auto"/>
                <w:sz w:val="24"/>
                <w:szCs w:val="24"/>
              </w:rPr>
              <w:fldChar w:fldCharType="separate"/>
            </w:r>
            <w:r>
              <w:rPr>
                <w:rFonts w:hint="eastAsia"/>
                <w:color w:val="auto"/>
                <w:sz w:val="24"/>
                <w:szCs w:val="24"/>
              </w:rPr>
              <w:t>④</w:t>
            </w:r>
            <w:r>
              <w:rPr>
                <w:color w:val="auto"/>
                <w:sz w:val="24"/>
                <w:szCs w:val="24"/>
              </w:rPr>
              <w:fldChar w:fldCharType="end"/>
            </w:r>
            <w:r>
              <w:rPr>
                <w:color w:val="auto"/>
                <w:sz w:val="24"/>
                <w:szCs w:val="24"/>
              </w:rPr>
              <w:t>由专人负责危废的日常收集和管理，对任何进出临时贮存所的危废都要记录在案，做好危险废物排放量及处置记录。</w:t>
            </w:r>
          </w:p>
          <w:p w14:paraId="2346C96A">
            <w:pPr>
              <w:pStyle w:val="55"/>
              <w:rPr>
                <w:color w:val="auto"/>
                <w:sz w:val="24"/>
                <w:szCs w:val="24"/>
              </w:rPr>
            </w:pPr>
            <w:r>
              <w:rPr>
                <w:color w:val="auto"/>
                <w:sz w:val="24"/>
                <w:szCs w:val="24"/>
              </w:rPr>
              <w:fldChar w:fldCharType="begin"/>
            </w:r>
            <w:r>
              <w:rPr>
                <w:color w:val="auto"/>
                <w:sz w:val="24"/>
                <w:szCs w:val="24"/>
              </w:rPr>
              <w:instrText xml:space="preserve"> </w:instrText>
            </w:r>
            <w:r>
              <w:rPr>
                <w:rFonts w:hint="eastAsia"/>
                <w:color w:val="auto"/>
                <w:sz w:val="24"/>
                <w:szCs w:val="24"/>
              </w:rPr>
              <w:instrText xml:space="preserve">= 5 \* GB3</w:instrText>
            </w:r>
            <w:r>
              <w:rPr>
                <w:color w:val="auto"/>
                <w:sz w:val="24"/>
                <w:szCs w:val="24"/>
              </w:rPr>
              <w:instrText xml:space="preserve"> </w:instrText>
            </w:r>
            <w:r>
              <w:rPr>
                <w:color w:val="auto"/>
                <w:sz w:val="24"/>
                <w:szCs w:val="24"/>
              </w:rPr>
              <w:fldChar w:fldCharType="separate"/>
            </w:r>
            <w:r>
              <w:rPr>
                <w:rFonts w:hint="eastAsia"/>
                <w:color w:val="auto"/>
                <w:sz w:val="24"/>
                <w:szCs w:val="24"/>
              </w:rPr>
              <w:t>⑤</w:t>
            </w:r>
            <w:r>
              <w:rPr>
                <w:color w:val="auto"/>
                <w:sz w:val="24"/>
                <w:szCs w:val="24"/>
              </w:rPr>
              <w:fldChar w:fldCharType="end"/>
            </w:r>
            <w:r>
              <w:rPr>
                <w:color w:val="auto"/>
                <w:sz w:val="24"/>
                <w:szCs w:val="24"/>
              </w:rPr>
              <w:t>危险废物运输应由持有危险废物经营许可证的单位按照其许可证的经营范围组织实施，承担危险废物运输的单位应获得交通运输部门颁发的危险货物运输资质。</w:t>
            </w:r>
          </w:p>
          <w:p w14:paraId="58A6EBA0">
            <w:pPr>
              <w:pStyle w:val="55"/>
              <w:rPr>
                <w:color w:val="auto"/>
                <w:sz w:val="24"/>
                <w:szCs w:val="24"/>
              </w:rPr>
            </w:pPr>
            <w:r>
              <w:rPr>
                <w:color w:val="auto"/>
                <w:sz w:val="24"/>
                <w:szCs w:val="24"/>
              </w:rPr>
              <w:t>另外，危险废物处置或利用单位必须具备相应的能力和资质，不允许将危险废物出售给没有加工或使用能力的单位和个人，废物处理之前需要对其生产技术、设备、加工处理能力进行考察，保证不会产生二次污染，废物处理之后还要进行跟踪，以便及时得到反馈信息并处理遗留问题。</w:t>
            </w:r>
          </w:p>
          <w:p w14:paraId="390A50CF">
            <w:pPr>
              <w:pStyle w:val="55"/>
              <w:ind w:left="0" w:leftChars="0" w:firstLine="0" w:firstLineChars="0"/>
              <w:rPr>
                <w:rFonts w:ascii="Times New Roman" w:hAnsi="Times New Roman" w:eastAsia="宋体" w:cs="Times New Roman"/>
                <w:b/>
                <w:bCs/>
                <w:color w:val="auto"/>
                <w:kern w:val="2"/>
                <w:sz w:val="24"/>
                <w:szCs w:val="24"/>
                <w:lang w:val="en-US" w:eastAsia="zh-CN" w:bidi="ar-SA"/>
              </w:rPr>
            </w:pPr>
            <w:r>
              <w:rPr>
                <w:rFonts w:ascii="Times New Roman" w:hAnsi="Times New Roman" w:eastAsia="宋体" w:cs="Times New Roman"/>
                <w:b/>
                <w:bCs/>
                <w:color w:val="auto"/>
                <w:kern w:val="2"/>
                <w:sz w:val="24"/>
                <w:szCs w:val="24"/>
                <w:lang w:val="en-US" w:eastAsia="zh-CN" w:bidi="ar-SA"/>
              </w:rPr>
              <w:t>4.</w:t>
            </w:r>
            <w:r>
              <w:rPr>
                <w:rFonts w:hint="eastAsia" w:ascii="Times New Roman" w:hAnsi="Times New Roman" w:eastAsia="宋体" w:cs="Times New Roman"/>
                <w:b/>
                <w:bCs/>
                <w:color w:val="auto"/>
                <w:kern w:val="2"/>
                <w:sz w:val="24"/>
                <w:szCs w:val="24"/>
                <w:lang w:val="en-US" w:eastAsia="zh-CN" w:bidi="ar-SA"/>
              </w:rPr>
              <w:t>5</w:t>
            </w:r>
            <w:r>
              <w:rPr>
                <w:rFonts w:ascii="Times New Roman" w:hAnsi="Times New Roman" w:eastAsia="宋体" w:cs="Times New Roman"/>
                <w:b/>
                <w:bCs/>
                <w:color w:val="auto"/>
                <w:kern w:val="2"/>
                <w:sz w:val="24"/>
                <w:szCs w:val="24"/>
                <w:lang w:val="en-US" w:eastAsia="zh-CN" w:bidi="ar-SA"/>
              </w:rPr>
              <w:t>地下水、土壤环境</w:t>
            </w:r>
          </w:p>
          <w:p w14:paraId="548FCE6B">
            <w:pPr>
              <w:pStyle w:val="20"/>
              <w:widowControl w:val="0"/>
              <w:tabs>
                <w:tab w:val="left" w:pos="0"/>
              </w:tabs>
              <w:spacing w:before="0" w:beforeAutospacing="0" w:after="0" w:afterAutospacing="0"/>
              <w:ind w:firstLine="480" w:firstLineChars="200"/>
              <w:jc w:val="both"/>
              <w:rPr>
                <w:rFonts w:ascii="Times New Roman" w:hAnsi="Times New Roman"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（1）</w:t>
            </w:r>
            <w:r>
              <w:rPr>
                <w:rFonts w:hint="eastAsia" w:ascii="Times New Roman" w:hAnsi="Times New Roman" w:eastAsia="宋体" w:cs="Times New Roman"/>
                <w:color w:val="auto"/>
                <w:kern w:val="2"/>
                <w:sz w:val="24"/>
                <w:szCs w:val="24"/>
                <w:lang w:val="en-US" w:eastAsia="zh-CN" w:bidi="ar-SA"/>
              </w:rPr>
              <w:t>防渗措施</w:t>
            </w:r>
          </w:p>
          <w:p w14:paraId="05DB6120">
            <w:pPr>
              <w:widowControl/>
              <w:ind w:firstLine="480" w:firstLineChars="200"/>
              <w:jc w:val="left"/>
              <w:rPr>
                <w:rFonts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根据本项目厂区可能泄漏至地面区域污染物的性</w:t>
            </w:r>
            <w:r>
              <w:rPr>
                <w:rFonts w:ascii="Times New Roman" w:hAnsi="Times New Roman" w:eastAsia="宋体" w:cs="Times New Roman"/>
                <w:color w:val="auto"/>
                <w:kern w:val="2"/>
                <w:sz w:val="24"/>
                <w:szCs w:val="24"/>
                <w:lang w:val="en-US" w:eastAsia="zh-CN" w:bidi="ar-SA"/>
              </w:rPr>
              <w:t>质和生产单元的构筑方式，合理进行防渗区域划分，将厂区划分为</w:t>
            </w:r>
            <w:r>
              <w:rPr>
                <w:rFonts w:hint="eastAsia" w:ascii="Times New Roman" w:hAnsi="Times New Roman" w:eastAsia="宋体" w:cs="Times New Roman"/>
                <w:color w:val="auto"/>
                <w:kern w:val="2"/>
                <w:sz w:val="24"/>
                <w:szCs w:val="24"/>
                <w:lang w:val="en-US" w:eastAsia="zh-CN" w:bidi="ar-SA"/>
              </w:rPr>
              <w:t>简单</w:t>
            </w:r>
            <w:r>
              <w:rPr>
                <w:rFonts w:ascii="Times New Roman" w:hAnsi="Times New Roman" w:eastAsia="宋体" w:cs="Times New Roman"/>
                <w:color w:val="auto"/>
                <w:kern w:val="2"/>
                <w:sz w:val="24"/>
                <w:szCs w:val="24"/>
                <w:lang w:val="en-US" w:eastAsia="zh-CN" w:bidi="ar-SA"/>
              </w:rPr>
              <w:t>防渗、一般</w:t>
            </w:r>
            <w:r>
              <w:rPr>
                <w:rFonts w:hint="eastAsia" w:ascii="Times New Roman" w:hAnsi="Times New Roman" w:eastAsia="宋体" w:cs="Times New Roman"/>
                <w:color w:val="auto"/>
                <w:kern w:val="2"/>
                <w:sz w:val="24"/>
                <w:szCs w:val="24"/>
                <w:lang w:val="en-US" w:eastAsia="zh-CN" w:bidi="ar-SA"/>
              </w:rPr>
              <w:t>防渗、重点防渗</w:t>
            </w:r>
            <w:r>
              <w:rPr>
                <w:rFonts w:ascii="Times New Roman" w:hAnsi="Times New Roman" w:eastAsia="宋体" w:cs="Times New Roman"/>
                <w:color w:val="auto"/>
                <w:kern w:val="2"/>
                <w:sz w:val="24"/>
                <w:szCs w:val="24"/>
                <w:lang w:val="en-US" w:eastAsia="zh-CN" w:bidi="ar-SA"/>
              </w:rPr>
              <w:t>，针对不同的区域提出相应的防渗要求。结合项目的特点，项目防渗防治分区见表4-</w:t>
            </w:r>
            <w:r>
              <w:rPr>
                <w:rFonts w:hint="eastAsia" w:ascii="Times New Roman" w:hAnsi="Times New Roman" w:eastAsia="宋体" w:cs="Times New Roman"/>
                <w:color w:val="auto"/>
                <w:kern w:val="2"/>
                <w:sz w:val="24"/>
                <w:szCs w:val="24"/>
                <w:lang w:val="en-US" w:eastAsia="zh-CN" w:bidi="ar-SA"/>
              </w:rPr>
              <w:t>20</w:t>
            </w:r>
            <w:r>
              <w:rPr>
                <w:rFonts w:ascii="Times New Roman" w:hAnsi="Times New Roman" w:eastAsia="宋体" w:cs="Times New Roman"/>
                <w:color w:val="auto"/>
                <w:kern w:val="2"/>
                <w:sz w:val="24"/>
                <w:szCs w:val="24"/>
                <w:lang w:val="en-US" w:eastAsia="zh-CN" w:bidi="ar-SA"/>
              </w:rPr>
              <w:t>。</w:t>
            </w:r>
          </w:p>
          <w:p w14:paraId="2233D21D">
            <w:pPr>
              <w:keepNext w:val="0"/>
              <w:keepLines w:val="0"/>
              <w:pageBreakBefore w:val="0"/>
              <w:widowControl w:val="0"/>
              <w:numPr>
                <w:ilvl w:val="0"/>
                <w:numId w:val="0"/>
              </w:numPr>
              <w:tabs>
                <w:tab w:val="left" w:pos="482"/>
              </w:tabs>
              <w:kinsoku/>
              <w:wordWrap/>
              <w:overflowPunct/>
              <w:topLinePunct w:val="0"/>
              <w:autoSpaceDE/>
              <w:autoSpaceDN/>
              <w:bidi w:val="0"/>
              <w:adjustRightInd/>
              <w:snapToGrid/>
              <w:spacing w:line="240" w:lineRule="auto"/>
              <w:ind w:leftChars="0"/>
              <w:jc w:val="center"/>
              <w:textAlignment w:val="auto"/>
              <w:rPr>
                <w:rFonts w:ascii="Times New Roman" w:hAnsi="Times New Roman" w:eastAsia="宋体" w:cs="Times New Roman"/>
                <w:b/>
                <w:bCs/>
                <w:color w:val="auto"/>
                <w:kern w:val="0"/>
                <w:sz w:val="24"/>
                <w:szCs w:val="24"/>
                <w:lang w:val="en-GB" w:eastAsia="zh-CN" w:bidi="ar-SA"/>
              </w:rPr>
            </w:pPr>
            <w:r>
              <w:rPr>
                <w:rFonts w:hint="eastAsia" w:ascii="Times New Roman" w:hAnsi="Times New Roman" w:eastAsia="宋体" w:cs="Times New Roman"/>
                <w:b/>
                <w:bCs/>
                <w:color w:val="auto"/>
                <w:kern w:val="0"/>
                <w:sz w:val="24"/>
                <w:szCs w:val="24"/>
                <w:lang w:val="en-GB" w:eastAsia="zh-CN" w:bidi="ar-SA"/>
              </w:rPr>
              <w:t>表</w:t>
            </w:r>
            <w:r>
              <w:rPr>
                <w:rFonts w:hint="eastAsia" w:ascii="Times New Roman" w:hAnsi="Times New Roman" w:eastAsia="宋体" w:cs="Times New Roman"/>
                <w:b/>
                <w:bCs/>
                <w:color w:val="auto"/>
                <w:kern w:val="0"/>
                <w:sz w:val="24"/>
                <w:szCs w:val="24"/>
                <w:lang w:val="en-US" w:eastAsia="zh-CN" w:bidi="ar-SA"/>
              </w:rPr>
              <w:t xml:space="preserve">4.5-1 </w:t>
            </w:r>
            <w:r>
              <w:rPr>
                <w:rFonts w:ascii="Times New Roman" w:hAnsi="Times New Roman" w:eastAsia="宋体" w:cs="Times New Roman"/>
                <w:b/>
                <w:bCs/>
                <w:color w:val="auto"/>
                <w:kern w:val="0"/>
                <w:sz w:val="24"/>
                <w:szCs w:val="24"/>
                <w:lang w:val="en-GB" w:eastAsia="zh-CN" w:bidi="ar-SA"/>
              </w:rPr>
              <w:t>分区防渗情况一览表</w:t>
            </w:r>
          </w:p>
          <w:tbl>
            <w:tblPr>
              <w:tblStyle w:val="23"/>
              <w:tblW w:w="5000" w:type="pct"/>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2119"/>
              <w:gridCol w:w="2119"/>
              <w:gridCol w:w="2119"/>
              <w:gridCol w:w="2120"/>
            </w:tblGrid>
            <w:tr w14:paraId="3E9F5E79">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2724" w:type="dxa"/>
                  <w:tcBorders>
                    <w:top w:val="single" w:color="000000" w:sz="12" w:space="0"/>
                  </w:tcBorders>
                  <w:noWrap w:val="0"/>
                  <w:vAlign w:val="center"/>
                </w:tcPr>
                <w:p w14:paraId="34D6E3B3">
                  <w:pPr>
                    <w:widowControl/>
                    <w:adjustRightInd w:val="0"/>
                    <w:snapToGrid w:val="0"/>
                    <w:spacing w:line="240" w:lineRule="auto"/>
                    <w:jc w:val="center"/>
                    <w:rPr>
                      <w:color w:val="auto"/>
                      <w:sz w:val="21"/>
                      <w:szCs w:val="21"/>
                      <w:lang w:bidi="ar"/>
                    </w:rPr>
                  </w:pPr>
                  <w:r>
                    <w:rPr>
                      <w:color w:val="auto"/>
                      <w:sz w:val="21"/>
                      <w:szCs w:val="21"/>
                      <w:lang w:bidi="ar"/>
                    </w:rPr>
                    <w:t>项目</w:t>
                  </w:r>
                </w:p>
              </w:tc>
              <w:tc>
                <w:tcPr>
                  <w:tcW w:w="2724" w:type="dxa"/>
                  <w:tcBorders>
                    <w:top w:val="single" w:color="000000" w:sz="12" w:space="0"/>
                  </w:tcBorders>
                  <w:noWrap w:val="0"/>
                  <w:vAlign w:val="center"/>
                </w:tcPr>
                <w:p w14:paraId="47C5D9A5">
                  <w:pPr>
                    <w:widowControl/>
                    <w:adjustRightInd w:val="0"/>
                    <w:snapToGrid w:val="0"/>
                    <w:spacing w:line="240" w:lineRule="auto"/>
                    <w:jc w:val="center"/>
                    <w:rPr>
                      <w:color w:val="auto"/>
                      <w:sz w:val="21"/>
                      <w:szCs w:val="21"/>
                      <w:lang w:bidi="ar"/>
                    </w:rPr>
                  </w:pPr>
                  <w:r>
                    <w:rPr>
                      <w:color w:val="auto"/>
                      <w:sz w:val="21"/>
                      <w:szCs w:val="21"/>
                      <w:lang w:bidi="ar"/>
                    </w:rPr>
                    <w:t>简单防渗区</w:t>
                  </w:r>
                </w:p>
              </w:tc>
              <w:tc>
                <w:tcPr>
                  <w:tcW w:w="2724" w:type="dxa"/>
                  <w:tcBorders>
                    <w:top w:val="single" w:color="000000" w:sz="12" w:space="0"/>
                  </w:tcBorders>
                  <w:noWrap w:val="0"/>
                  <w:vAlign w:val="center"/>
                </w:tcPr>
                <w:p w14:paraId="1E4E6425">
                  <w:pPr>
                    <w:widowControl/>
                    <w:adjustRightInd w:val="0"/>
                    <w:snapToGrid w:val="0"/>
                    <w:spacing w:line="240" w:lineRule="auto"/>
                    <w:jc w:val="center"/>
                    <w:rPr>
                      <w:color w:val="auto"/>
                      <w:sz w:val="21"/>
                      <w:szCs w:val="21"/>
                      <w:lang w:bidi="ar"/>
                    </w:rPr>
                  </w:pPr>
                  <w:r>
                    <w:rPr>
                      <w:color w:val="auto"/>
                      <w:sz w:val="21"/>
                      <w:szCs w:val="21"/>
                      <w:lang w:bidi="ar"/>
                    </w:rPr>
                    <w:t>一般防渗区</w:t>
                  </w:r>
                </w:p>
              </w:tc>
              <w:tc>
                <w:tcPr>
                  <w:tcW w:w="2724" w:type="dxa"/>
                  <w:tcBorders>
                    <w:top w:val="single" w:color="000000" w:sz="12" w:space="0"/>
                  </w:tcBorders>
                  <w:noWrap w:val="0"/>
                  <w:vAlign w:val="center"/>
                </w:tcPr>
                <w:p w14:paraId="6E782A29">
                  <w:pPr>
                    <w:widowControl/>
                    <w:adjustRightInd w:val="0"/>
                    <w:snapToGrid w:val="0"/>
                    <w:spacing w:line="240" w:lineRule="auto"/>
                    <w:jc w:val="center"/>
                    <w:rPr>
                      <w:rFonts w:hint="eastAsia" w:eastAsia="宋体"/>
                      <w:color w:val="auto"/>
                      <w:sz w:val="21"/>
                      <w:szCs w:val="21"/>
                      <w:lang w:eastAsia="zh-CN" w:bidi="ar"/>
                    </w:rPr>
                  </w:pPr>
                  <w:r>
                    <w:rPr>
                      <w:rFonts w:hint="eastAsia"/>
                      <w:color w:val="auto"/>
                      <w:sz w:val="21"/>
                      <w:szCs w:val="21"/>
                      <w:lang w:eastAsia="zh-CN" w:bidi="ar"/>
                    </w:rPr>
                    <w:t>重点防渗区</w:t>
                  </w:r>
                </w:p>
              </w:tc>
            </w:tr>
            <w:tr w14:paraId="1FC97A15">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2724" w:type="dxa"/>
                  <w:noWrap w:val="0"/>
                  <w:vAlign w:val="center"/>
                </w:tcPr>
                <w:p w14:paraId="7D81D6A9">
                  <w:pPr>
                    <w:widowControl/>
                    <w:adjustRightInd w:val="0"/>
                    <w:snapToGrid w:val="0"/>
                    <w:spacing w:line="240" w:lineRule="auto"/>
                    <w:jc w:val="center"/>
                    <w:rPr>
                      <w:color w:val="auto"/>
                      <w:sz w:val="21"/>
                      <w:szCs w:val="21"/>
                      <w:lang w:bidi="ar"/>
                    </w:rPr>
                  </w:pPr>
                  <w:r>
                    <w:rPr>
                      <w:rFonts w:hint="eastAsia"/>
                      <w:color w:val="auto"/>
                      <w:sz w:val="21"/>
                      <w:szCs w:val="21"/>
                      <w:lang w:bidi="ar"/>
                    </w:rPr>
                    <w:t>生产区</w:t>
                  </w:r>
                </w:p>
              </w:tc>
              <w:tc>
                <w:tcPr>
                  <w:tcW w:w="2724" w:type="dxa"/>
                  <w:noWrap w:val="0"/>
                  <w:vAlign w:val="center"/>
                </w:tcPr>
                <w:p w14:paraId="22E51349">
                  <w:pPr>
                    <w:widowControl/>
                    <w:adjustRightInd w:val="0"/>
                    <w:snapToGrid w:val="0"/>
                    <w:spacing w:line="240" w:lineRule="auto"/>
                    <w:jc w:val="center"/>
                    <w:rPr>
                      <w:color w:val="auto"/>
                      <w:sz w:val="21"/>
                      <w:szCs w:val="21"/>
                      <w:lang w:bidi="ar"/>
                    </w:rPr>
                  </w:pPr>
                </w:p>
              </w:tc>
              <w:tc>
                <w:tcPr>
                  <w:tcW w:w="2724" w:type="dxa"/>
                  <w:noWrap w:val="0"/>
                  <w:vAlign w:val="center"/>
                </w:tcPr>
                <w:p w14:paraId="7969B1F3">
                  <w:pPr>
                    <w:widowControl/>
                    <w:adjustRightInd w:val="0"/>
                    <w:snapToGrid w:val="0"/>
                    <w:spacing w:line="240" w:lineRule="auto"/>
                    <w:jc w:val="center"/>
                    <w:rPr>
                      <w:color w:val="auto"/>
                      <w:sz w:val="21"/>
                      <w:szCs w:val="21"/>
                      <w:lang w:bidi="ar"/>
                    </w:rPr>
                  </w:pPr>
                  <w:r>
                    <w:rPr>
                      <w:color w:val="auto"/>
                      <w:sz w:val="21"/>
                      <w:szCs w:val="21"/>
                      <w:lang w:bidi="ar"/>
                    </w:rPr>
                    <w:t>√</w:t>
                  </w:r>
                </w:p>
              </w:tc>
              <w:tc>
                <w:tcPr>
                  <w:tcW w:w="2724" w:type="dxa"/>
                  <w:noWrap w:val="0"/>
                  <w:vAlign w:val="center"/>
                </w:tcPr>
                <w:p w14:paraId="17D5A584">
                  <w:pPr>
                    <w:widowControl/>
                    <w:adjustRightInd w:val="0"/>
                    <w:snapToGrid w:val="0"/>
                    <w:spacing w:line="240" w:lineRule="auto"/>
                    <w:jc w:val="center"/>
                    <w:rPr>
                      <w:color w:val="auto"/>
                      <w:sz w:val="21"/>
                      <w:szCs w:val="21"/>
                      <w:lang w:bidi="ar"/>
                    </w:rPr>
                  </w:pPr>
                </w:p>
              </w:tc>
            </w:tr>
            <w:tr w14:paraId="72E2B370">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2724" w:type="dxa"/>
                  <w:noWrap w:val="0"/>
                  <w:vAlign w:val="center"/>
                </w:tcPr>
                <w:p w14:paraId="457DFD5C">
                  <w:pPr>
                    <w:widowControl/>
                    <w:adjustRightInd w:val="0"/>
                    <w:snapToGrid w:val="0"/>
                    <w:spacing w:line="240" w:lineRule="auto"/>
                    <w:jc w:val="center"/>
                    <w:rPr>
                      <w:rFonts w:hint="eastAsia"/>
                      <w:color w:val="auto"/>
                      <w:sz w:val="21"/>
                      <w:szCs w:val="21"/>
                      <w:lang w:bidi="ar"/>
                    </w:rPr>
                  </w:pPr>
                  <w:r>
                    <w:rPr>
                      <w:rFonts w:hint="eastAsia"/>
                      <w:color w:val="auto"/>
                      <w:sz w:val="21"/>
                      <w:szCs w:val="21"/>
                      <w:lang w:bidi="ar"/>
                    </w:rPr>
                    <w:t>成品区</w:t>
                  </w:r>
                </w:p>
              </w:tc>
              <w:tc>
                <w:tcPr>
                  <w:tcW w:w="2724" w:type="dxa"/>
                  <w:noWrap w:val="0"/>
                  <w:vAlign w:val="center"/>
                </w:tcPr>
                <w:p w14:paraId="55A99329">
                  <w:pPr>
                    <w:widowControl/>
                    <w:adjustRightInd w:val="0"/>
                    <w:snapToGrid w:val="0"/>
                    <w:spacing w:line="240" w:lineRule="auto"/>
                    <w:jc w:val="center"/>
                    <w:rPr>
                      <w:color w:val="auto"/>
                      <w:sz w:val="21"/>
                      <w:szCs w:val="21"/>
                      <w:lang w:bidi="ar"/>
                    </w:rPr>
                  </w:pPr>
                </w:p>
              </w:tc>
              <w:tc>
                <w:tcPr>
                  <w:tcW w:w="2724" w:type="dxa"/>
                  <w:noWrap w:val="0"/>
                  <w:vAlign w:val="center"/>
                </w:tcPr>
                <w:p w14:paraId="03AD01C8">
                  <w:pPr>
                    <w:widowControl/>
                    <w:adjustRightInd w:val="0"/>
                    <w:snapToGrid w:val="0"/>
                    <w:spacing w:line="240" w:lineRule="auto"/>
                    <w:jc w:val="center"/>
                    <w:rPr>
                      <w:color w:val="auto"/>
                      <w:sz w:val="21"/>
                      <w:szCs w:val="21"/>
                      <w:lang w:bidi="ar"/>
                    </w:rPr>
                  </w:pPr>
                  <w:r>
                    <w:rPr>
                      <w:color w:val="auto"/>
                      <w:sz w:val="21"/>
                      <w:szCs w:val="21"/>
                      <w:lang w:bidi="ar"/>
                    </w:rPr>
                    <w:t>√</w:t>
                  </w:r>
                </w:p>
              </w:tc>
              <w:tc>
                <w:tcPr>
                  <w:tcW w:w="2724" w:type="dxa"/>
                  <w:noWrap w:val="0"/>
                  <w:vAlign w:val="center"/>
                </w:tcPr>
                <w:p w14:paraId="049DB586">
                  <w:pPr>
                    <w:widowControl/>
                    <w:adjustRightInd w:val="0"/>
                    <w:snapToGrid w:val="0"/>
                    <w:spacing w:line="240" w:lineRule="auto"/>
                    <w:jc w:val="center"/>
                    <w:rPr>
                      <w:color w:val="auto"/>
                      <w:sz w:val="21"/>
                      <w:szCs w:val="21"/>
                      <w:lang w:bidi="ar"/>
                    </w:rPr>
                  </w:pPr>
                </w:p>
              </w:tc>
            </w:tr>
            <w:tr w14:paraId="22CD89C9">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2724" w:type="dxa"/>
                  <w:noWrap w:val="0"/>
                  <w:vAlign w:val="center"/>
                </w:tcPr>
                <w:p w14:paraId="59BA1E6B">
                  <w:pPr>
                    <w:widowControl/>
                    <w:adjustRightInd w:val="0"/>
                    <w:snapToGrid w:val="0"/>
                    <w:spacing w:line="240" w:lineRule="auto"/>
                    <w:jc w:val="center"/>
                    <w:rPr>
                      <w:rFonts w:hint="eastAsia"/>
                      <w:color w:val="auto"/>
                      <w:sz w:val="21"/>
                      <w:szCs w:val="21"/>
                      <w:lang w:bidi="ar"/>
                    </w:rPr>
                  </w:pPr>
                  <w:r>
                    <w:rPr>
                      <w:rFonts w:hint="eastAsia"/>
                      <w:color w:val="auto"/>
                      <w:sz w:val="21"/>
                      <w:szCs w:val="21"/>
                      <w:lang w:bidi="ar"/>
                    </w:rPr>
                    <w:t>原料</w:t>
                  </w:r>
                  <w:r>
                    <w:rPr>
                      <w:color w:val="auto"/>
                      <w:sz w:val="21"/>
                      <w:szCs w:val="21"/>
                      <w:lang w:bidi="ar"/>
                    </w:rPr>
                    <w:t>仓库</w:t>
                  </w:r>
                </w:p>
              </w:tc>
              <w:tc>
                <w:tcPr>
                  <w:tcW w:w="2724" w:type="dxa"/>
                  <w:noWrap w:val="0"/>
                  <w:vAlign w:val="center"/>
                </w:tcPr>
                <w:p w14:paraId="39A76440">
                  <w:pPr>
                    <w:widowControl/>
                    <w:adjustRightInd w:val="0"/>
                    <w:snapToGrid w:val="0"/>
                    <w:spacing w:line="240" w:lineRule="auto"/>
                    <w:jc w:val="center"/>
                    <w:rPr>
                      <w:color w:val="auto"/>
                      <w:sz w:val="21"/>
                      <w:szCs w:val="21"/>
                      <w:lang w:bidi="ar"/>
                    </w:rPr>
                  </w:pPr>
                </w:p>
              </w:tc>
              <w:tc>
                <w:tcPr>
                  <w:tcW w:w="2724" w:type="dxa"/>
                  <w:noWrap w:val="0"/>
                  <w:vAlign w:val="center"/>
                </w:tcPr>
                <w:p w14:paraId="6B2B065C">
                  <w:pPr>
                    <w:widowControl/>
                    <w:adjustRightInd w:val="0"/>
                    <w:snapToGrid w:val="0"/>
                    <w:spacing w:line="240" w:lineRule="auto"/>
                    <w:jc w:val="center"/>
                    <w:rPr>
                      <w:color w:val="auto"/>
                      <w:sz w:val="21"/>
                      <w:szCs w:val="21"/>
                      <w:lang w:bidi="ar"/>
                    </w:rPr>
                  </w:pPr>
                  <w:r>
                    <w:rPr>
                      <w:color w:val="auto"/>
                      <w:sz w:val="21"/>
                      <w:szCs w:val="21"/>
                      <w:lang w:bidi="ar"/>
                    </w:rPr>
                    <w:t>√</w:t>
                  </w:r>
                </w:p>
              </w:tc>
              <w:tc>
                <w:tcPr>
                  <w:tcW w:w="2724" w:type="dxa"/>
                  <w:noWrap w:val="0"/>
                  <w:vAlign w:val="center"/>
                </w:tcPr>
                <w:p w14:paraId="6AC3EC2F">
                  <w:pPr>
                    <w:widowControl/>
                    <w:adjustRightInd w:val="0"/>
                    <w:snapToGrid w:val="0"/>
                    <w:spacing w:line="240" w:lineRule="auto"/>
                    <w:jc w:val="center"/>
                    <w:rPr>
                      <w:color w:val="auto"/>
                      <w:sz w:val="21"/>
                      <w:szCs w:val="21"/>
                      <w:lang w:bidi="ar"/>
                    </w:rPr>
                  </w:pPr>
                </w:p>
              </w:tc>
            </w:tr>
            <w:tr w14:paraId="14A20779">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2724" w:type="dxa"/>
                  <w:noWrap w:val="0"/>
                  <w:vAlign w:val="center"/>
                </w:tcPr>
                <w:p w14:paraId="34A7EEFB">
                  <w:pPr>
                    <w:widowControl/>
                    <w:adjustRightInd w:val="0"/>
                    <w:snapToGrid w:val="0"/>
                    <w:spacing w:line="240" w:lineRule="auto"/>
                    <w:jc w:val="center"/>
                    <w:rPr>
                      <w:rFonts w:hint="eastAsia" w:eastAsia="宋体"/>
                      <w:color w:val="auto"/>
                      <w:sz w:val="21"/>
                      <w:szCs w:val="21"/>
                      <w:lang w:eastAsia="zh-CN" w:bidi="ar"/>
                    </w:rPr>
                  </w:pPr>
                  <w:r>
                    <w:rPr>
                      <w:rFonts w:hint="eastAsia"/>
                      <w:color w:val="auto"/>
                      <w:sz w:val="21"/>
                      <w:szCs w:val="21"/>
                      <w:lang w:eastAsia="zh-CN" w:bidi="ar"/>
                    </w:rPr>
                    <w:t>危废暂存间</w:t>
                  </w:r>
                </w:p>
              </w:tc>
              <w:tc>
                <w:tcPr>
                  <w:tcW w:w="2724" w:type="dxa"/>
                  <w:noWrap w:val="0"/>
                  <w:vAlign w:val="center"/>
                </w:tcPr>
                <w:p w14:paraId="6C187658">
                  <w:pPr>
                    <w:widowControl/>
                    <w:adjustRightInd w:val="0"/>
                    <w:snapToGrid w:val="0"/>
                    <w:spacing w:line="240" w:lineRule="auto"/>
                    <w:jc w:val="center"/>
                    <w:rPr>
                      <w:color w:val="auto"/>
                      <w:sz w:val="21"/>
                      <w:szCs w:val="21"/>
                      <w:lang w:bidi="ar"/>
                    </w:rPr>
                  </w:pPr>
                </w:p>
              </w:tc>
              <w:tc>
                <w:tcPr>
                  <w:tcW w:w="2724" w:type="dxa"/>
                  <w:noWrap w:val="0"/>
                  <w:vAlign w:val="center"/>
                </w:tcPr>
                <w:p w14:paraId="1355D454">
                  <w:pPr>
                    <w:widowControl/>
                    <w:adjustRightInd w:val="0"/>
                    <w:snapToGrid w:val="0"/>
                    <w:spacing w:line="240" w:lineRule="auto"/>
                    <w:jc w:val="center"/>
                    <w:rPr>
                      <w:color w:val="auto"/>
                      <w:sz w:val="21"/>
                      <w:szCs w:val="21"/>
                      <w:lang w:bidi="ar"/>
                    </w:rPr>
                  </w:pPr>
                </w:p>
              </w:tc>
              <w:tc>
                <w:tcPr>
                  <w:tcW w:w="2724" w:type="dxa"/>
                  <w:noWrap w:val="0"/>
                  <w:vAlign w:val="center"/>
                </w:tcPr>
                <w:p w14:paraId="2B3F8722">
                  <w:pPr>
                    <w:widowControl/>
                    <w:adjustRightInd w:val="0"/>
                    <w:snapToGrid w:val="0"/>
                    <w:spacing w:line="240" w:lineRule="auto"/>
                    <w:jc w:val="center"/>
                    <w:rPr>
                      <w:color w:val="auto"/>
                      <w:sz w:val="21"/>
                      <w:szCs w:val="21"/>
                      <w:lang w:bidi="ar"/>
                    </w:rPr>
                  </w:pPr>
                  <w:r>
                    <w:rPr>
                      <w:color w:val="auto"/>
                      <w:sz w:val="21"/>
                      <w:szCs w:val="21"/>
                      <w:lang w:bidi="ar"/>
                    </w:rPr>
                    <w:t>√</w:t>
                  </w:r>
                </w:p>
              </w:tc>
            </w:tr>
            <w:tr w14:paraId="7D0EB002">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1" w:hRule="atLeast"/>
                <w:jc w:val="center"/>
              </w:trPr>
              <w:tc>
                <w:tcPr>
                  <w:tcW w:w="2724" w:type="dxa"/>
                  <w:tcBorders>
                    <w:bottom w:val="single" w:color="auto" w:sz="12" w:space="0"/>
                  </w:tcBorders>
                  <w:noWrap w:val="0"/>
                  <w:vAlign w:val="center"/>
                </w:tcPr>
                <w:p w14:paraId="5701AB02">
                  <w:pPr>
                    <w:widowControl/>
                    <w:adjustRightInd w:val="0"/>
                    <w:snapToGrid w:val="0"/>
                    <w:spacing w:line="240" w:lineRule="auto"/>
                    <w:jc w:val="center"/>
                    <w:rPr>
                      <w:rFonts w:hint="eastAsia"/>
                      <w:color w:val="auto"/>
                      <w:sz w:val="21"/>
                      <w:szCs w:val="21"/>
                      <w:lang w:bidi="ar"/>
                    </w:rPr>
                  </w:pPr>
                  <w:r>
                    <w:rPr>
                      <w:rFonts w:hint="eastAsia"/>
                      <w:color w:val="auto"/>
                      <w:sz w:val="21"/>
                      <w:szCs w:val="21"/>
                      <w:lang w:bidi="ar"/>
                    </w:rPr>
                    <w:t>一般固废间</w:t>
                  </w:r>
                </w:p>
              </w:tc>
              <w:tc>
                <w:tcPr>
                  <w:tcW w:w="2724" w:type="dxa"/>
                  <w:tcBorders>
                    <w:bottom w:val="single" w:color="auto" w:sz="12" w:space="0"/>
                  </w:tcBorders>
                  <w:noWrap w:val="0"/>
                  <w:vAlign w:val="center"/>
                </w:tcPr>
                <w:p w14:paraId="5988DEB1">
                  <w:pPr>
                    <w:widowControl/>
                    <w:adjustRightInd w:val="0"/>
                    <w:snapToGrid w:val="0"/>
                    <w:spacing w:line="240" w:lineRule="auto"/>
                    <w:jc w:val="center"/>
                    <w:rPr>
                      <w:color w:val="auto"/>
                      <w:sz w:val="21"/>
                      <w:szCs w:val="21"/>
                      <w:lang w:bidi="ar"/>
                    </w:rPr>
                  </w:pPr>
                </w:p>
              </w:tc>
              <w:tc>
                <w:tcPr>
                  <w:tcW w:w="2724" w:type="dxa"/>
                  <w:tcBorders>
                    <w:bottom w:val="single" w:color="auto" w:sz="12" w:space="0"/>
                  </w:tcBorders>
                  <w:noWrap w:val="0"/>
                  <w:vAlign w:val="center"/>
                </w:tcPr>
                <w:p w14:paraId="120B647A">
                  <w:pPr>
                    <w:widowControl/>
                    <w:adjustRightInd w:val="0"/>
                    <w:snapToGrid w:val="0"/>
                    <w:spacing w:line="240" w:lineRule="auto"/>
                    <w:jc w:val="center"/>
                    <w:rPr>
                      <w:color w:val="auto"/>
                      <w:sz w:val="21"/>
                      <w:szCs w:val="21"/>
                      <w:lang w:bidi="ar"/>
                    </w:rPr>
                  </w:pPr>
                  <w:r>
                    <w:rPr>
                      <w:color w:val="auto"/>
                      <w:sz w:val="21"/>
                      <w:szCs w:val="21"/>
                      <w:lang w:bidi="ar"/>
                    </w:rPr>
                    <w:t>√</w:t>
                  </w:r>
                </w:p>
              </w:tc>
              <w:tc>
                <w:tcPr>
                  <w:tcW w:w="2724" w:type="dxa"/>
                  <w:tcBorders>
                    <w:bottom w:val="single" w:color="auto" w:sz="12" w:space="0"/>
                  </w:tcBorders>
                  <w:noWrap w:val="0"/>
                  <w:vAlign w:val="center"/>
                </w:tcPr>
                <w:p w14:paraId="157F9467">
                  <w:pPr>
                    <w:widowControl/>
                    <w:adjustRightInd w:val="0"/>
                    <w:snapToGrid w:val="0"/>
                    <w:spacing w:line="240" w:lineRule="auto"/>
                    <w:jc w:val="center"/>
                    <w:rPr>
                      <w:color w:val="auto"/>
                      <w:sz w:val="21"/>
                      <w:szCs w:val="21"/>
                      <w:lang w:bidi="ar"/>
                    </w:rPr>
                  </w:pPr>
                </w:p>
              </w:tc>
            </w:tr>
          </w:tbl>
          <w:p w14:paraId="23646038">
            <w:pPr>
              <w:widowControl/>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（2）防渗要求</w:t>
            </w:r>
          </w:p>
          <w:p w14:paraId="2B8CFD06">
            <w:pPr>
              <w:widowControl/>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重点污染区防渗要求：根据《环境影响评价技术导则</w:t>
            </w:r>
            <w:r>
              <w:rPr>
                <w:rFonts w:hint="eastAsia" w:cs="Times New Roman"/>
                <w:color w:val="auto"/>
                <w:kern w:val="2"/>
                <w:sz w:val="24"/>
                <w:szCs w:val="24"/>
                <w:lang w:val="en-US" w:eastAsia="zh-CN" w:bidi="ar-SA"/>
              </w:rPr>
              <w:t xml:space="preserve"> </w:t>
            </w:r>
            <w:r>
              <w:rPr>
                <w:rFonts w:hint="default" w:ascii="Times New Roman" w:hAnsi="Times New Roman" w:eastAsia="宋体" w:cs="Times New Roman"/>
                <w:color w:val="auto"/>
                <w:kern w:val="2"/>
                <w:sz w:val="24"/>
                <w:szCs w:val="24"/>
                <w:lang w:val="en-US" w:eastAsia="zh-CN" w:bidi="ar-SA"/>
              </w:rPr>
              <w:t xml:space="preserve">地下水环境》 </w:t>
            </w: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HJ610-2016</w:t>
            </w: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的要求，重点防治区的防渗性能应等效黏土防渗层≥6.0m，渗透系数≤1.0×10</w:t>
            </w:r>
            <w:r>
              <w:rPr>
                <w:rFonts w:hint="default" w:ascii="Times New Roman" w:hAnsi="Times New Roman" w:eastAsia="宋体" w:cs="Times New Roman"/>
                <w:color w:val="auto"/>
                <w:kern w:val="2"/>
                <w:sz w:val="24"/>
                <w:szCs w:val="24"/>
                <w:vertAlign w:val="superscript"/>
                <w:lang w:val="en-US" w:eastAsia="zh-CN" w:bidi="ar-SA"/>
              </w:rPr>
              <w:t>-7</w:t>
            </w:r>
            <w:r>
              <w:rPr>
                <w:rFonts w:hint="default" w:ascii="Times New Roman" w:hAnsi="Times New Roman" w:eastAsia="宋体" w:cs="Times New Roman"/>
                <w:color w:val="auto"/>
                <w:kern w:val="2"/>
                <w:sz w:val="24"/>
                <w:szCs w:val="24"/>
                <w:lang w:val="en-US" w:eastAsia="zh-CN" w:bidi="ar-SA"/>
              </w:rPr>
              <w:t>cm/s。危险废物暂存场重点防渗区应按照《危险废物污染防治技术政策》及《危险废物贮存污染控制标准》</w:t>
            </w: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GB 18597-2023</w:t>
            </w:r>
            <w:r>
              <w:rPr>
                <w:rFonts w:hint="eastAsia"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危险废物处理的相关标准、法律法规的要求；</w:t>
            </w:r>
          </w:p>
          <w:p w14:paraId="779576A6">
            <w:pPr>
              <w:widowControl/>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一般污染区防渗要求：根据《环境影响评价技术导则地下水环境》(HJ610-2016)，一般防渗区的防渗性能等效黏土防渗层≥1.5m，渗透系数≤1.0×10</w:t>
            </w:r>
            <w:r>
              <w:rPr>
                <w:rFonts w:hint="eastAsia" w:ascii="Times New Roman" w:hAnsi="Times New Roman" w:eastAsia="宋体" w:cs="Times New Roman"/>
                <w:color w:val="auto"/>
                <w:kern w:val="2"/>
                <w:sz w:val="24"/>
                <w:szCs w:val="24"/>
                <w:vertAlign w:val="superscript"/>
                <w:lang w:val="en-US" w:eastAsia="zh-CN" w:bidi="ar-SA"/>
              </w:rPr>
              <w:t>-7</w:t>
            </w:r>
            <w:r>
              <w:rPr>
                <w:rFonts w:hint="eastAsia" w:ascii="Times New Roman" w:hAnsi="Times New Roman" w:eastAsia="宋体" w:cs="Times New Roman"/>
                <w:color w:val="auto"/>
                <w:kern w:val="2"/>
                <w:sz w:val="24"/>
                <w:szCs w:val="24"/>
                <w:lang w:val="en-US" w:eastAsia="zh-CN" w:bidi="ar-SA"/>
              </w:rPr>
              <w:t>cm/s。一般工业固体废物暂存场一般防渗区应按照《一般工业固体废物贮存和填埋污染控制标准》（GB18599-2020）要求设计，且具有防雨、防渗、防风、防日晒的功能。</w:t>
            </w:r>
          </w:p>
          <w:p w14:paraId="62F0409B">
            <w:pPr>
              <w:widowControl/>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简单污染区防渗要求：一般硬化。</w:t>
            </w:r>
          </w:p>
          <w:p w14:paraId="54925CAC">
            <w:pPr>
              <w:widowControl/>
              <w:ind w:firstLine="480" w:firstLineChars="20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（3）监控措施</w:t>
            </w:r>
          </w:p>
          <w:p w14:paraId="58690621">
            <w:pPr>
              <w:widowControl/>
              <w:ind w:firstLine="480" w:firstLineChars="200"/>
              <w:jc w:val="left"/>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①建立健全环境管理和监测制度，保证各环保设施正常运转，同时强化风险防范意识，如遇环保设施不能正常运转，应立即停产检修；</w:t>
            </w:r>
          </w:p>
          <w:p w14:paraId="0F6B0316">
            <w:pPr>
              <w:widowControl/>
              <w:ind w:firstLine="480" w:firstLineChars="200"/>
              <w:jc w:val="left"/>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②</w:t>
            </w:r>
            <w:r>
              <w:rPr>
                <w:rFonts w:hint="eastAsia" w:ascii="Times New Roman" w:hAnsi="Times New Roman" w:eastAsia="宋体" w:cs="Times New Roman"/>
                <w:color w:val="auto"/>
                <w:kern w:val="2"/>
                <w:sz w:val="24"/>
                <w:szCs w:val="24"/>
                <w:lang w:val="en-US" w:eastAsia="zh-CN" w:bidi="ar-SA"/>
              </w:rPr>
              <w:t>在今后的生产活动中，做好设备的维护、检修，杜绝跑、冒、滴、漏现象。同时，加强污染物产生主要环节的收集治理，加强厂区的安全防护、环境风险防范措施，以便及时发现事故隐患，及时采取有效的应对措施。</w:t>
            </w:r>
          </w:p>
          <w:p w14:paraId="166FC72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③</w:t>
            </w:r>
            <w:r>
              <w:rPr>
                <w:rFonts w:hint="eastAsia" w:ascii="Times New Roman" w:hAnsi="Times New Roman" w:eastAsia="宋体" w:cs="Times New Roman"/>
                <w:color w:val="auto"/>
                <w:kern w:val="2"/>
                <w:sz w:val="24"/>
                <w:szCs w:val="24"/>
                <w:lang w:val="en-US" w:eastAsia="zh-CN" w:bidi="ar-SA"/>
              </w:rPr>
              <w:t>项目生产经营用地的用途变更或者在其土地使用权收回、转让前，应当由土地使用权人按照规定进行土壤污染状况调查。</w:t>
            </w:r>
          </w:p>
          <w:p w14:paraId="45FDA057">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360" w:lineRule="auto"/>
              <w:textAlignment w:val="auto"/>
              <w:rPr>
                <w:rFonts w:ascii="Times New Roman" w:hAnsi="Times New Roman" w:eastAsia="宋体" w:cs="Times New Roman"/>
                <w:b/>
                <w:bCs/>
                <w:color w:val="auto"/>
                <w:kern w:val="2"/>
                <w:sz w:val="24"/>
                <w:szCs w:val="24"/>
                <w:lang w:val="en-US" w:eastAsia="zh-CN" w:bidi="ar-SA"/>
              </w:rPr>
            </w:pPr>
            <w:bookmarkStart w:id="50" w:name="_Toc1080"/>
            <w:r>
              <w:rPr>
                <w:rFonts w:ascii="Times New Roman" w:hAnsi="Times New Roman" w:eastAsia="宋体" w:cs="Times New Roman"/>
                <w:b/>
                <w:bCs/>
                <w:color w:val="auto"/>
                <w:kern w:val="2"/>
                <w:sz w:val="24"/>
                <w:szCs w:val="24"/>
                <w:lang w:val="en-US" w:eastAsia="zh-CN" w:bidi="ar-SA"/>
              </w:rPr>
              <w:t>4.</w:t>
            </w:r>
            <w:r>
              <w:rPr>
                <w:rFonts w:hint="eastAsia" w:ascii="Times New Roman" w:hAnsi="Times New Roman" w:eastAsia="宋体" w:cs="Times New Roman"/>
                <w:b/>
                <w:bCs/>
                <w:color w:val="auto"/>
                <w:kern w:val="2"/>
                <w:sz w:val="24"/>
                <w:szCs w:val="24"/>
                <w:lang w:val="en-US" w:eastAsia="zh-CN" w:bidi="ar-SA"/>
              </w:rPr>
              <w:t>6</w:t>
            </w:r>
            <w:r>
              <w:rPr>
                <w:rFonts w:ascii="Times New Roman" w:hAnsi="Times New Roman" w:eastAsia="宋体" w:cs="Times New Roman"/>
                <w:b/>
                <w:bCs/>
                <w:color w:val="auto"/>
                <w:kern w:val="2"/>
                <w:sz w:val="24"/>
                <w:szCs w:val="24"/>
                <w:lang w:val="en-US" w:eastAsia="zh-CN" w:bidi="ar-SA"/>
              </w:rPr>
              <w:t>环境风险分析</w:t>
            </w:r>
            <w:bookmarkEnd w:id="50"/>
          </w:p>
          <w:p w14:paraId="508AAB8C">
            <w:pPr>
              <w:keepNext w:val="0"/>
              <w:keepLines w:val="0"/>
              <w:pageBreakBefore w:val="0"/>
              <w:widowControl w:val="0"/>
              <w:kinsoku/>
              <w:wordWrap/>
              <w:overflowPunct/>
              <w:topLinePunct w:val="0"/>
              <w:autoSpaceDE/>
              <w:autoSpaceDN/>
              <w:bidi w:val="0"/>
              <w:adjustRightInd w:val="0"/>
              <w:snapToGrid w:val="0"/>
              <w:textAlignment w:val="auto"/>
              <w:rPr>
                <w:rFonts w:ascii="Times New Roman" w:hAnsi="Times New Roman" w:eastAsia="宋体" w:cs="Times New Roman"/>
                <w:b/>
                <w:bCs/>
                <w:color w:val="auto"/>
                <w:kern w:val="0"/>
                <w:sz w:val="24"/>
                <w:szCs w:val="24"/>
                <w:lang w:val="en-US" w:eastAsia="zh-CN" w:bidi="ar-SA"/>
              </w:rPr>
            </w:pPr>
            <w:r>
              <w:rPr>
                <w:rFonts w:ascii="Times New Roman" w:hAnsi="Times New Roman" w:eastAsia="宋体" w:cs="Times New Roman"/>
                <w:b/>
                <w:bCs/>
                <w:color w:val="auto"/>
                <w:kern w:val="0"/>
                <w:sz w:val="24"/>
                <w:szCs w:val="24"/>
                <w:lang w:val="en-US" w:eastAsia="zh-CN" w:bidi="ar-SA"/>
              </w:rPr>
              <w:t>4.</w:t>
            </w:r>
            <w:r>
              <w:rPr>
                <w:rFonts w:hint="eastAsia" w:ascii="Times New Roman" w:hAnsi="Times New Roman" w:eastAsia="宋体" w:cs="Times New Roman"/>
                <w:b/>
                <w:bCs/>
                <w:color w:val="auto"/>
                <w:kern w:val="0"/>
                <w:sz w:val="24"/>
                <w:szCs w:val="24"/>
                <w:lang w:val="en-US" w:eastAsia="zh-CN" w:bidi="ar-SA"/>
              </w:rPr>
              <w:t>6</w:t>
            </w:r>
            <w:r>
              <w:rPr>
                <w:rFonts w:ascii="Times New Roman" w:hAnsi="Times New Roman" w:eastAsia="宋体" w:cs="Times New Roman"/>
                <w:b/>
                <w:bCs/>
                <w:color w:val="auto"/>
                <w:kern w:val="0"/>
                <w:sz w:val="24"/>
                <w:szCs w:val="24"/>
                <w:lang w:val="en-US" w:eastAsia="zh-CN" w:bidi="ar-SA"/>
              </w:rPr>
              <w:t>.1评价依据</w:t>
            </w:r>
          </w:p>
          <w:p w14:paraId="1D1605AD">
            <w:pPr>
              <w:pStyle w:val="20"/>
              <w:widowControl w:val="0"/>
              <w:tabs>
                <w:tab w:val="left" w:pos="0"/>
              </w:tabs>
              <w:spacing w:before="0" w:beforeAutospacing="0" w:after="0" w:afterAutospacing="0"/>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（1）风险调查</w:t>
            </w:r>
          </w:p>
          <w:p w14:paraId="1FBEB5B1">
            <w:pPr>
              <w:pStyle w:val="20"/>
              <w:widowControl w:val="0"/>
              <w:tabs>
                <w:tab w:val="left" w:pos="0"/>
              </w:tabs>
              <w:spacing w:before="0" w:beforeAutospacing="0" w:after="0" w:afterAutospacing="0"/>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通过对本项目所涉及的主要物质进行危险性识别，同时结合《建设项目环境风险评价技术导则》(H169-2018) 附录B及《危险化学品重大危险源辨识》（GB18218-2018）中规定的重点关注的危险物质及临界量表中涉及的物质进行判定，本项目涉及环境事件风险物质主要是废润滑油、废液压油、润滑油、液压油。</w:t>
            </w:r>
          </w:p>
          <w:p w14:paraId="307D261F">
            <w:pPr>
              <w:adjustRightInd w:val="0"/>
              <w:snapToGrid w:val="0"/>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（2）风险潜势初判</w:t>
            </w:r>
          </w:p>
          <w:p w14:paraId="14835313">
            <w:pPr>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建设项目环境风险评价技术导则》(HJ169-2018)中附录C，计算所涉及的每种危险物质在厂界内的最大存在总量与其在附录B中对应临界量的比值Q。当只涉及一种危险物质时，计算该物质的数量与其临界量比值，即为Q：当存在多种危险物质时，则按下式计算物质总量与其临界量比值(Q)：</w:t>
            </w:r>
          </w:p>
          <w:p w14:paraId="74D76523">
            <w:pPr>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drawing>
                <wp:inline distT="0" distB="0" distL="114300" distR="114300">
                  <wp:extent cx="2009775" cy="219075"/>
                  <wp:effectExtent l="0" t="0" r="952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6"/>
                          <a:stretch>
                            <a:fillRect/>
                          </a:stretch>
                        </pic:blipFill>
                        <pic:spPr>
                          <a:xfrm>
                            <a:off x="0" y="0"/>
                            <a:ext cx="2009775" cy="219075"/>
                          </a:xfrm>
                          <a:prstGeom prst="rect">
                            <a:avLst/>
                          </a:prstGeom>
                          <a:noFill/>
                          <a:ln>
                            <a:noFill/>
                          </a:ln>
                        </pic:spPr>
                      </pic:pic>
                    </a:graphicData>
                  </a:graphic>
                </wp:inline>
              </w:drawing>
            </w:r>
          </w:p>
          <w:p w14:paraId="68BB0941">
            <w:pPr>
              <w:ind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式中：q1，q2</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qn—每种危险物质的最大存在总量，t，</w:t>
            </w:r>
          </w:p>
          <w:p w14:paraId="2C056AB0">
            <w:pPr>
              <w:ind w:firstLine="1200" w:firstLineChars="5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Q1，Q2</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Qn— 每种危险物质的临界量，t。</w:t>
            </w:r>
          </w:p>
          <w:p w14:paraId="68C61BD8">
            <w:pPr>
              <w:ind w:firstLine="1200" w:firstLineChars="5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当Q&lt;1时，该项目环境风险潜势为Ⅰ</w:t>
            </w:r>
          </w:p>
          <w:p w14:paraId="35681D4D">
            <w:pPr>
              <w:ind w:firstLine="1200" w:firstLineChars="5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当Q≥1时，将Q值划分为：(1)1≤Q&lt;10；(2)10≤Q&lt;100；(3)Q≥100。</w:t>
            </w:r>
          </w:p>
          <w:p w14:paraId="7A334C00">
            <w:pPr>
              <w:pStyle w:val="100"/>
              <w:spacing w:line="360" w:lineRule="auto"/>
              <w:ind w:firstLine="48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项目危险物质数量与临界量比值（Q）辨识结果见表4.6-1。</w:t>
            </w:r>
          </w:p>
          <w:p w14:paraId="438118C5">
            <w:pPr>
              <w:pStyle w:val="133"/>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bCs/>
                <w:color w:val="auto"/>
                <w:kern w:val="0"/>
                <w:sz w:val="24"/>
                <w:szCs w:val="24"/>
                <w:lang w:val="en-US" w:eastAsia="zh-CN" w:bidi="ar-SA"/>
              </w:rPr>
            </w:pPr>
            <w:r>
              <w:rPr>
                <w:rFonts w:hint="eastAsia" w:ascii="Times New Roman" w:hAnsi="Times New Roman" w:eastAsia="宋体" w:cs="Times New Roman"/>
                <w:b/>
                <w:bCs/>
                <w:color w:val="auto"/>
                <w:kern w:val="0"/>
                <w:sz w:val="24"/>
                <w:szCs w:val="24"/>
                <w:lang w:val="en-US" w:eastAsia="zh-CN" w:bidi="ar-SA"/>
              </w:rPr>
              <w:t>表4.6-1 项目涉及危险物质存在量及其临界值量表</w:t>
            </w:r>
          </w:p>
          <w:tbl>
            <w:tblPr>
              <w:tblStyle w:val="23"/>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2029"/>
              <w:gridCol w:w="1635"/>
              <w:gridCol w:w="1365"/>
              <w:gridCol w:w="1530"/>
              <w:gridCol w:w="1259"/>
            </w:tblGrid>
            <w:tr w14:paraId="3AB7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6" w:type="dxa"/>
                  <w:tcBorders>
                    <w:top w:val="single" w:color="auto" w:sz="12" w:space="0"/>
                  </w:tcBorders>
                  <w:noWrap w:val="0"/>
                  <w:vAlign w:val="center"/>
                </w:tcPr>
                <w:p w14:paraId="25A01379">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2029" w:type="dxa"/>
                  <w:tcBorders>
                    <w:top w:val="single" w:color="auto" w:sz="12" w:space="0"/>
                  </w:tcBorders>
                  <w:noWrap w:val="0"/>
                  <w:vAlign w:val="center"/>
                </w:tcPr>
                <w:p w14:paraId="3137F92F">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风险物质</w:t>
                  </w:r>
                </w:p>
              </w:tc>
              <w:tc>
                <w:tcPr>
                  <w:tcW w:w="1635" w:type="dxa"/>
                  <w:tcBorders>
                    <w:top w:val="single" w:color="auto" w:sz="12" w:space="0"/>
                  </w:tcBorders>
                  <w:noWrap w:val="0"/>
                  <w:vAlign w:val="center"/>
                </w:tcPr>
                <w:p w14:paraId="0B10AC62">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最大储存量（t）</w:t>
                  </w:r>
                </w:p>
              </w:tc>
              <w:tc>
                <w:tcPr>
                  <w:tcW w:w="1365" w:type="dxa"/>
                  <w:tcBorders>
                    <w:top w:val="single" w:color="auto" w:sz="12" w:space="0"/>
                  </w:tcBorders>
                  <w:noWrap w:val="0"/>
                  <w:vAlign w:val="center"/>
                </w:tcPr>
                <w:p w14:paraId="3B5F1FDF">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临界量（t）</w:t>
                  </w:r>
                </w:p>
              </w:tc>
              <w:tc>
                <w:tcPr>
                  <w:tcW w:w="1530" w:type="dxa"/>
                  <w:tcBorders>
                    <w:top w:val="single" w:color="auto" w:sz="12" w:space="0"/>
                  </w:tcBorders>
                  <w:noWrap w:val="0"/>
                  <w:vAlign w:val="center"/>
                </w:tcPr>
                <w:p w14:paraId="5557D4DB">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存储位置</w:t>
                  </w:r>
                </w:p>
              </w:tc>
              <w:tc>
                <w:tcPr>
                  <w:tcW w:w="1259" w:type="dxa"/>
                  <w:tcBorders>
                    <w:top w:val="single" w:color="auto" w:sz="12" w:space="0"/>
                    <w:right w:val="nil"/>
                  </w:tcBorders>
                  <w:noWrap w:val="0"/>
                  <w:vAlign w:val="center"/>
                </w:tcPr>
                <w:p w14:paraId="2B314964">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Q值</w:t>
                  </w:r>
                </w:p>
              </w:tc>
            </w:tr>
            <w:tr w14:paraId="6B7C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6" w:type="dxa"/>
                  <w:tcBorders>
                    <w:left w:val="nil"/>
                  </w:tcBorders>
                  <w:noWrap w:val="0"/>
                  <w:vAlign w:val="center"/>
                </w:tcPr>
                <w:p w14:paraId="63D05019">
                  <w:pPr>
                    <w:spacing w:line="240" w:lineRule="auto"/>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1</w:t>
                  </w:r>
                </w:p>
              </w:tc>
              <w:tc>
                <w:tcPr>
                  <w:tcW w:w="2029" w:type="dxa"/>
                  <w:noWrap w:val="0"/>
                  <w:vAlign w:val="center"/>
                </w:tcPr>
                <w:p w14:paraId="564D5971">
                  <w:pPr>
                    <w:spacing w:line="240" w:lineRule="auto"/>
                    <w:jc w:val="center"/>
                    <w:rPr>
                      <w:rFonts w:hint="default" w:ascii="Times New Roman" w:hAnsi="Times New Roman" w:eastAsia="宋体" w:cs="Times New Roman"/>
                      <w:color w:val="auto"/>
                      <w:sz w:val="21"/>
                      <w:szCs w:val="21"/>
                      <w:lang w:eastAsia="zh-CN"/>
                    </w:rPr>
                  </w:pPr>
                  <w:r>
                    <w:rPr>
                      <w:rFonts w:hint="eastAsia" w:cs="Times New Roman"/>
                      <w:color w:val="auto"/>
                      <w:sz w:val="21"/>
                      <w:szCs w:val="21"/>
                      <w:lang w:eastAsia="zh-CN"/>
                    </w:rPr>
                    <w:t>废润滑油、废液压油</w:t>
                  </w:r>
                </w:p>
              </w:tc>
              <w:tc>
                <w:tcPr>
                  <w:tcW w:w="1635" w:type="dxa"/>
                  <w:noWrap w:val="0"/>
                  <w:vAlign w:val="center"/>
                </w:tcPr>
                <w:p w14:paraId="6C1C8F01">
                  <w:pPr>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0.</w:t>
                  </w:r>
                  <w:r>
                    <w:rPr>
                      <w:rFonts w:hint="default" w:ascii="Times New Roman" w:hAnsi="Times New Roman" w:eastAsia="宋体" w:cs="Times New Roman"/>
                      <w:color w:val="auto"/>
                      <w:sz w:val="21"/>
                      <w:szCs w:val="21"/>
                      <w:lang w:val="en-US" w:eastAsia="zh-CN"/>
                    </w:rPr>
                    <w:t>2</w:t>
                  </w:r>
                </w:p>
              </w:tc>
              <w:tc>
                <w:tcPr>
                  <w:tcW w:w="1365" w:type="dxa"/>
                  <w:vMerge w:val="restart"/>
                  <w:noWrap w:val="0"/>
                  <w:vAlign w:val="center"/>
                </w:tcPr>
                <w:p w14:paraId="01A6A409">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50</w:t>
                  </w:r>
                  <w:r>
                    <w:rPr>
                      <w:rFonts w:hint="default" w:ascii="Times New Roman" w:hAnsi="Times New Roman" w:eastAsia="宋体" w:cs="Times New Roman"/>
                      <w:color w:val="auto"/>
                      <w:sz w:val="21"/>
                      <w:szCs w:val="21"/>
                      <w:lang w:val="en-US" w:eastAsia="zh-CN"/>
                    </w:rPr>
                    <w:t>0</w:t>
                  </w:r>
                </w:p>
              </w:tc>
              <w:tc>
                <w:tcPr>
                  <w:tcW w:w="1530" w:type="dxa"/>
                  <w:vMerge w:val="restart"/>
                  <w:noWrap w:val="0"/>
                  <w:vAlign w:val="center"/>
                </w:tcPr>
                <w:p w14:paraId="37545790">
                  <w:pPr>
                    <w:spacing w:line="240" w:lineRule="auto"/>
                    <w:jc w:val="center"/>
                    <w:rPr>
                      <w:rFonts w:hint="default" w:ascii="Times New Roman" w:hAnsi="Times New Roman" w:eastAsia="宋体" w:cs="Times New Roman"/>
                      <w:color w:val="auto"/>
                      <w:sz w:val="21"/>
                      <w:szCs w:val="21"/>
                    </w:rPr>
                  </w:pPr>
                  <w:r>
                    <w:rPr>
                      <w:rFonts w:hint="eastAsia"/>
                      <w:color w:val="auto"/>
                      <w:lang w:eastAsia="zh-CN"/>
                    </w:rPr>
                    <w:t>危废暂存间</w:t>
                  </w:r>
                </w:p>
              </w:tc>
              <w:tc>
                <w:tcPr>
                  <w:tcW w:w="1259" w:type="dxa"/>
                  <w:tcBorders>
                    <w:right w:val="nil"/>
                  </w:tcBorders>
                  <w:noWrap w:val="0"/>
                  <w:vAlign w:val="center"/>
                </w:tcPr>
                <w:p w14:paraId="36B563BA">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0.00008</w:t>
                  </w:r>
                </w:p>
              </w:tc>
            </w:tr>
            <w:tr w14:paraId="0E1D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6" w:type="dxa"/>
                  <w:tcBorders>
                    <w:left w:val="nil"/>
                  </w:tcBorders>
                  <w:noWrap w:val="0"/>
                  <w:vAlign w:val="center"/>
                </w:tcPr>
                <w:p w14:paraId="1E425590">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p>
              </w:tc>
              <w:tc>
                <w:tcPr>
                  <w:tcW w:w="2029" w:type="dxa"/>
                  <w:noWrap w:val="0"/>
                  <w:vAlign w:val="center"/>
                </w:tcPr>
                <w:p w14:paraId="4CC8FD57">
                  <w:pPr>
                    <w:spacing w:line="240" w:lineRule="auto"/>
                    <w:jc w:val="center"/>
                    <w:rPr>
                      <w:rFonts w:hint="default" w:ascii="Times New Roman" w:hAnsi="Times New Roman" w:eastAsia="宋体" w:cs="Times New Roman"/>
                      <w:color w:val="auto"/>
                      <w:sz w:val="21"/>
                      <w:szCs w:val="21"/>
                      <w:lang w:eastAsia="zh-CN"/>
                    </w:rPr>
                  </w:pPr>
                  <w:r>
                    <w:rPr>
                      <w:rFonts w:hint="eastAsia"/>
                      <w:color w:val="auto"/>
                      <w:lang w:val="en-US" w:eastAsia="zh-CN"/>
                    </w:rPr>
                    <w:t>润滑油、液压油</w:t>
                  </w:r>
                </w:p>
              </w:tc>
              <w:tc>
                <w:tcPr>
                  <w:tcW w:w="1635" w:type="dxa"/>
                  <w:noWrap w:val="0"/>
                  <w:vAlign w:val="center"/>
                </w:tcPr>
                <w:p w14:paraId="1A8A2F5E">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0.3</w:t>
                  </w:r>
                </w:p>
              </w:tc>
              <w:tc>
                <w:tcPr>
                  <w:tcW w:w="1365" w:type="dxa"/>
                  <w:vMerge w:val="continue"/>
                  <w:noWrap w:val="0"/>
                  <w:vAlign w:val="center"/>
                </w:tcPr>
                <w:p w14:paraId="1BBF5309">
                  <w:pPr>
                    <w:spacing w:line="240" w:lineRule="auto"/>
                    <w:jc w:val="center"/>
                    <w:rPr>
                      <w:rFonts w:hint="default" w:ascii="Times New Roman" w:hAnsi="Times New Roman" w:eastAsia="宋体" w:cs="Times New Roman"/>
                      <w:color w:val="auto"/>
                      <w:sz w:val="21"/>
                      <w:szCs w:val="21"/>
                      <w:lang w:val="en-US" w:eastAsia="zh-CN"/>
                    </w:rPr>
                  </w:pPr>
                </w:p>
              </w:tc>
              <w:tc>
                <w:tcPr>
                  <w:tcW w:w="1530" w:type="dxa"/>
                  <w:vMerge w:val="continue"/>
                  <w:noWrap w:val="0"/>
                  <w:vAlign w:val="center"/>
                </w:tcPr>
                <w:p w14:paraId="2E6D604B">
                  <w:pPr>
                    <w:spacing w:line="240" w:lineRule="auto"/>
                    <w:jc w:val="center"/>
                    <w:rPr>
                      <w:color w:val="auto"/>
                    </w:rPr>
                  </w:pPr>
                </w:p>
              </w:tc>
              <w:tc>
                <w:tcPr>
                  <w:tcW w:w="1259" w:type="dxa"/>
                  <w:tcBorders>
                    <w:right w:val="nil"/>
                  </w:tcBorders>
                  <w:noWrap w:val="0"/>
                  <w:vAlign w:val="center"/>
                </w:tcPr>
                <w:p w14:paraId="6C769786">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0.00012</w:t>
                  </w:r>
                </w:p>
              </w:tc>
            </w:tr>
            <w:tr w14:paraId="769D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45" w:type="dxa"/>
                  <w:gridSpan w:val="5"/>
                  <w:tcBorders>
                    <w:left w:val="nil"/>
                  </w:tcBorders>
                  <w:noWrap w:val="0"/>
                  <w:vAlign w:val="center"/>
                </w:tcPr>
                <w:p w14:paraId="66A1CE2A">
                  <w:pPr>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合计</w:t>
                  </w:r>
                </w:p>
              </w:tc>
              <w:tc>
                <w:tcPr>
                  <w:tcW w:w="1259" w:type="dxa"/>
                  <w:tcBorders>
                    <w:right w:val="nil"/>
                  </w:tcBorders>
                  <w:noWrap w:val="0"/>
                  <w:vAlign w:val="center"/>
                </w:tcPr>
                <w:p w14:paraId="71B077EC">
                  <w:pPr>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0.000</w:t>
                  </w:r>
                  <w:r>
                    <w:rPr>
                      <w:rFonts w:hint="eastAsia" w:cs="Times New Roman"/>
                      <w:color w:val="auto"/>
                      <w:sz w:val="21"/>
                      <w:szCs w:val="21"/>
                      <w:lang w:val="en-US" w:eastAsia="zh-CN"/>
                    </w:rPr>
                    <w:t>2</w:t>
                  </w:r>
                </w:p>
              </w:tc>
            </w:tr>
          </w:tbl>
          <w:p w14:paraId="12AFD6F1">
            <w:pPr>
              <w:pStyle w:val="100"/>
              <w:spacing w:line="360" w:lineRule="auto"/>
              <w:ind w:firstLine="48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根据上表危险物质数量与临界量比值（Q）辨识结果，本项目Q=</w:t>
            </w:r>
            <w:r>
              <w:rPr>
                <w:rFonts w:hint="default" w:ascii="Times New Roman" w:hAnsi="Times New Roman" w:eastAsia="宋体" w:cs="Times New Roman"/>
                <w:color w:val="auto"/>
                <w:kern w:val="2"/>
                <w:sz w:val="24"/>
                <w:szCs w:val="24"/>
                <w:lang w:val="en-US" w:eastAsia="zh-CN" w:bidi="ar-SA"/>
              </w:rPr>
              <w:t>0.00008</w:t>
            </w:r>
            <w:r>
              <w:rPr>
                <w:rFonts w:hint="eastAsia" w:ascii="Times New Roman" w:hAnsi="Times New Roman" w:eastAsia="宋体" w:cs="Times New Roman"/>
                <w:color w:val="auto"/>
                <w:kern w:val="2"/>
                <w:sz w:val="24"/>
                <w:szCs w:val="24"/>
                <w:lang w:val="en-US" w:eastAsia="zh-CN" w:bidi="ar-SA"/>
              </w:rPr>
              <w:t>。根据《建设项目环境风险评价技术导则》（HJ169-2018）附录C，当Q＜1时，该项目环境风险潜势为Ⅰ，无需进行P、E值的计算，评价等级为“简单分析”，则本项目Q=</w:t>
            </w:r>
            <w:r>
              <w:rPr>
                <w:rFonts w:hint="default" w:ascii="Times New Roman" w:hAnsi="Times New Roman" w:eastAsia="宋体" w:cs="Times New Roman"/>
                <w:color w:val="auto"/>
                <w:kern w:val="2"/>
                <w:sz w:val="24"/>
                <w:szCs w:val="24"/>
                <w:lang w:val="en-US" w:eastAsia="zh-CN" w:bidi="ar-SA"/>
              </w:rPr>
              <w:t>0.00008</w:t>
            </w:r>
            <w:r>
              <w:rPr>
                <w:rFonts w:hint="eastAsia" w:ascii="Times New Roman" w:hAnsi="Times New Roman" w:eastAsia="宋体" w:cs="Times New Roman"/>
                <w:color w:val="auto"/>
                <w:kern w:val="2"/>
                <w:sz w:val="24"/>
                <w:szCs w:val="24"/>
                <w:lang w:val="en-US" w:eastAsia="zh-CN" w:bidi="ar-SA"/>
              </w:rPr>
              <w:t>＜1，本评价进行简单分析。</w:t>
            </w:r>
          </w:p>
          <w:p w14:paraId="126E5C5C">
            <w:pPr>
              <w:pStyle w:val="100"/>
              <w:spacing w:line="360" w:lineRule="auto"/>
              <w:ind w:firstLine="48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（3）评价等级</w:t>
            </w:r>
          </w:p>
          <w:p w14:paraId="5DF45E1C">
            <w:pPr>
              <w:pStyle w:val="100"/>
              <w:spacing w:line="360" w:lineRule="auto"/>
              <w:ind w:firstLine="48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本项目环境风险潜势为Ⅰ，环境风险评价只需展开简单分析。</w:t>
            </w:r>
          </w:p>
          <w:p w14:paraId="5FC1530B">
            <w:pPr>
              <w:pStyle w:val="116"/>
              <w:keepNext w:val="0"/>
              <w:keepLines w:val="0"/>
              <w:pageBreakBefore w:val="0"/>
              <w:widowControl w:val="0"/>
              <w:kinsoku/>
              <w:wordWrap/>
              <w:overflowPunct/>
              <w:topLinePunct w:val="0"/>
              <w:autoSpaceDE/>
              <w:autoSpaceDN/>
              <w:bidi w:val="0"/>
              <w:adjustRightInd w:val="0"/>
              <w:snapToGrid w:val="0"/>
              <w:spacing w:before="152" w:beforeLines="50" w:line="240" w:lineRule="auto"/>
              <w:ind w:firstLine="0" w:firstLineChars="0"/>
              <w:jc w:val="center"/>
              <w:textAlignment w:val="auto"/>
              <w:rPr>
                <w:rFonts w:ascii="Times New Roman" w:hAnsi="Times New Roman" w:cs="Times New Roman"/>
                <w:color w:val="auto"/>
                <w:sz w:val="24"/>
                <w:szCs w:val="24"/>
              </w:rPr>
            </w:pPr>
            <w:bookmarkStart w:id="51" w:name="_Ref21638253"/>
            <w:r>
              <w:rPr>
                <w:rFonts w:hint="eastAsia" w:ascii="Times New Roman" w:hAnsi="Times New Roman" w:cs="Times New Roman"/>
                <w:b/>
                <w:bCs/>
                <w:color w:val="auto"/>
                <w:sz w:val="24"/>
                <w:szCs w:val="24"/>
                <w:lang w:val="en-US" w:eastAsia="zh-CN"/>
              </w:rPr>
              <w:t>表4.</w:t>
            </w:r>
            <w:r>
              <w:rPr>
                <w:rFonts w:hint="eastAsia" w:cs="Times New Roman"/>
                <w:b/>
                <w:bCs/>
                <w:color w:val="auto"/>
                <w:sz w:val="24"/>
                <w:szCs w:val="24"/>
                <w:lang w:val="en-US" w:eastAsia="zh-CN"/>
              </w:rPr>
              <w:t>6</w:t>
            </w:r>
            <w:r>
              <w:rPr>
                <w:rFonts w:hint="eastAsia" w:ascii="Times New Roman" w:hAnsi="Times New Roman" w:cs="Times New Roman"/>
                <w:b/>
                <w:bCs/>
                <w:color w:val="auto"/>
                <w:sz w:val="24"/>
                <w:szCs w:val="24"/>
                <w:lang w:val="en-US" w:eastAsia="zh-CN"/>
              </w:rPr>
              <w:t xml:space="preserve">-1  </w:t>
            </w:r>
            <w:r>
              <w:rPr>
                <w:rFonts w:ascii="Times New Roman" w:hAnsi="Times New Roman" w:cs="Times New Roman"/>
                <w:b/>
                <w:bCs/>
                <w:color w:val="auto"/>
                <w:sz w:val="24"/>
                <w:szCs w:val="24"/>
              </w:rPr>
              <w:t>项目危险物质数量和分布情况</w:t>
            </w:r>
            <w:bookmarkEnd w:id="51"/>
          </w:p>
          <w:tbl>
            <w:tblPr>
              <w:tblStyle w:val="23"/>
              <w:tblW w:w="498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67"/>
              <w:gridCol w:w="6990"/>
            </w:tblGrid>
            <w:tr w14:paraId="6F043F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867" w:type="pct"/>
                  <w:noWrap w:val="0"/>
                  <w:vAlign w:val="center"/>
                </w:tcPr>
                <w:p w14:paraId="2D1CB239">
                  <w:pPr>
                    <w:pStyle w:val="74"/>
                    <w:rPr>
                      <w:color w:val="auto"/>
                    </w:rPr>
                  </w:pPr>
                  <w:r>
                    <w:rPr>
                      <w:color w:val="auto"/>
                    </w:rPr>
                    <w:t>主要危险物质及分布</w:t>
                  </w:r>
                </w:p>
              </w:tc>
              <w:tc>
                <w:tcPr>
                  <w:tcW w:w="4133" w:type="pct"/>
                  <w:noWrap w:val="0"/>
                  <w:vAlign w:val="center"/>
                </w:tcPr>
                <w:p w14:paraId="57E71AAA">
                  <w:pPr>
                    <w:pStyle w:val="74"/>
                    <w:jc w:val="both"/>
                    <w:rPr>
                      <w:color w:val="auto"/>
                    </w:rPr>
                  </w:pPr>
                  <w:r>
                    <w:rPr>
                      <w:rFonts w:hint="eastAsia"/>
                      <w:bCs/>
                      <w:color w:val="auto"/>
                      <w:spacing w:val="-10"/>
                      <w:szCs w:val="21"/>
                    </w:rPr>
                    <w:t>原材料存储于原料库区；成品存储于成品库区；危险废物存储于危废暂存间。</w:t>
                  </w:r>
                </w:p>
              </w:tc>
            </w:tr>
            <w:tr w14:paraId="761CBF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867" w:type="pct"/>
                  <w:noWrap w:val="0"/>
                  <w:vAlign w:val="center"/>
                </w:tcPr>
                <w:p w14:paraId="7E2247DB">
                  <w:pPr>
                    <w:pStyle w:val="74"/>
                    <w:rPr>
                      <w:color w:val="auto"/>
                    </w:rPr>
                  </w:pPr>
                  <w:r>
                    <w:rPr>
                      <w:color w:val="auto"/>
                    </w:rPr>
                    <w:t>环境影响途径及危害后果</w:t>
                  </w:r>
                </w:p>
              </w:tc>
              <w:tc>
                <w:tcPr>
                  <w:tcW w:w="4133" w:type="pct"/>
                  <w:noWrap w:val="0"/>
                  <w:vAlign w:val="center"/>
                </w:tcPr>
                <w:p w14:paraId="73A29B2D">
                  <w:pPr>
                    <w:pStyle w:val="74"/>
                    <w:jc w:val="both"/>
                    <w:rPr>
                      <w:color w:val="auto"/>
                    </w:rPr>
                  </w:pPr>
                  <w:r>
                    <w:rPr>
                      <w:rFonts w:hint="eastAsia"/>
                      <w:color w:val="auto"/>
                    </w:rPr>
                    <w:t>①原材料、成品存储不当造成的火灾，火灾事故次生的大气污染风险。</w:t>
                  </w:r>
                </w:p>
                <w:p w14:paraId="4997534C">
                  <w:pPr>
                    <w:pStyle w:val="74"/>
                    <w:jc w:val="both"/>
                    <w:rPr>
                      <w:color w:val="auto"/>
                    </w:rPr>
                  </w:pPr>
                  <w:r>
                    <w:rPr>
                      <w:rFonts w:hint="eastAsia"/>
                      <w:color w:val="auto"/>
                    </w:rPr>
                    <w:t>项目原材料、成品如遇到明火，就会发生火灾，项目火灾事故对环境的危害主要表现在火灾次生的大气污染。本项目使用的原材料、成品在发生火灾时产生的主要污染物为二氧化碳、一氧化碳。火灾次生污染产生的气体将会对周围环境和人类产生危害，因此，为了尽可能减</w:t>
                  </w:r>
                  <w:r>
                    <w:rPr>
                      <w:rFonts w:hint="eastAsia"/>
                      <w:color w:val="auto"/>
                      <w:lang w:eastAsia="zh-CN"/>
                    </w:rPr>
                    <w:t>少</w:t>
                  </w:r>
                  <w:r>
                    <w:rPr>
                      <w:rFonts w:hint="eastAsia"/>
                      <w:color w:val="auto"/>
                    </w:rPr>
                    <w:t>对环境的不良影响，应加强管理，杜绝此类事故发生。</w:t>
                  </w:r>
                </w:p>
                <w:p w14:paraId="23755B58">
                  <w:pPr>
                    <w:pStyle w:val="74"/>
                    <w:jc w:val="both"/>
                    <w:rPr>
                      <w:color w:val="auto"/>
                    </w:rPr>
                  </w:pPr>
                  <w:r>
                    <w:rPr>
                      <w:rFonts w:hint="eastAsia"/>
                      <w:color w:val="auto"/>
                    </w:rPr>
                    <w:t>②危险废物管理不善造成的泄漏风险。危险废物经分类收集后暂存于危废间，容器发生破裂，基本能够控制在危废暂存间内部，及时处理，对周边环境的可能性较小。</w:t>
                  </w:r>
                </w:p>
              </w:tc>
            </w:tr>
            <w:tr w14:paraId="7E2430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867" w:type="pct"/>
                  <w:noWrap w:val="0"/>
                  <w:vAlign w:val="center"/>
                </w:tcPr>
                <w:p w14:paraId="03CA694D">
                  <w:pPr>
                    <w:pStyle w:val="74"/>
                    <w:rPr>
                      <w:color w:val="auto"/>
                    </w:rPr>
                  </w:pPr>
                  <w:bookmarkStart w:id="52" w:name="_Hlk67774795"/>
                  <w:r>
                    <w:rPr>
                      <w:color w:val="auto"/>
                    </w:rPr>
                    <w:t>风险防范措施要求</w:t>
                  </w:r>
                </w:p>
              </w:tc>
              <w:tc>
                <w:tcPr>
                  <w:tcW w:w="4133" w:type="pct"/>
                  <w:noWrap w:val="0"/>
                  <w:vAlign w:val="center"/>
                </w:tcPr>
                <w:p w14:paraId="08891E33">
                  <w:pPr>
                    <w:pStyle w:val="74"/>
                    <w:jc w:val="both"/>
                    <w:rPr>
                      <w:color w:val="auto"/>
                    </w:rPr>
                  </w:pPr>
                  <w:r>
                    <w:rPr>
                      <w:rFonts w:hint="eastAsia"/>
                      <w:color w:val="auto"/>
                    </w:rPr>
                    <w:t>①</w:t>
                  </w:r>
                  <w:r>
                    <w:rPr>
                      <w:color w:val="auto"/>
                    </w:rPr>
                    <w:t>车间内工艺布置保持通道畅通</w:t>
                  </w:r>
                  <w:r>
                    <w:rPr>
                      <w:rFonts w:hint="eastAsia"/>
                      <w:color w:val="auto"/>
                    </w:rPr>
                    <w:t>，各功能区应满足相应消防要求。</w:t>
                  </w:r>
                </w:p>
                <w:p w14:paraId="1BFF516F">
                  <w:pPr>
                    <w:pStyle w:val="74"/>
                    <w:jc w:val="both"/>
                    <w:rPr>
                      <w:color w:val="auto"/>
                    </w:rPr>
                  </w:pPr>
                  <w:r>
                    <w:rPr>
                      <w:rFonts w:hint="eastAsia"/>
                      <w:color w:val="auto"/>
                    </w:rPr>
                    <w:t>②</w:t>
                  </w:r>
                  <w:r>
                    <w:rPr>
                      <w:color w:val="auto"/>
                    </w:rPr>
                    <w:t>建设防火报警装置</w:t>
                  </w:r>
                  <w:r>
                    <w:rPr>
                      <w:rFonts w:hint="eastAsia"/>
                      <w:color w:val="auto"/>
                    </w:rPr>
                    <w:t>，定期进行防火安全检查，确保消防设施完整好用</w:t>
                  </w:r>
                </w:p>
                <w:p w14:paraId="09D468FB">
                  <w:pPr>
                    <w:pStyle w:val="74"/>
                    <w:jc w:val="both"/>
                    <w:rPr>
                      <w:color w:val="auto"/>
                      <w:sz w:val="21"/>
                      <w:szCs w:val="21"/>
                    </w:rPr>
                  </w:pPr>
                  <w:r>
                    <w:rPr>
                      <w:rFonts w:hint="eastAsia"/>
                      <w:color w:val="auto"/>
                    </w:rPr>
                    <w:t>③原材料、成品</w:t>
                  </w:r>
                  <w:r>
                    <w:rPr>
                      <w:rFonts w:hint="eastAsia"/>
                      <w:color w:val="auto"/>
                      <w:sz w:val="21"/>
                      <w:szCs w:val="21"/>
                    </w:rPr>
                    <w:t>分区定点存放</w:t>
                  </w:r>
                  <w:r>
                    <w:rPr>
                      <w:color w:val="auto"/>
                      <w:sz w:val="21"/>
                      <w:szCs w:val="21"/>
                    </w:rPr>
                    <w:t>，并有专人管理，</w:t>
                  </w:r>
                  <w:r>
                    <w:rPr>
                      <w:rFonts w:hint="eastAsia"/>
                      <w:color w:val="auto"/>
                      <w:sz w:val="21"/>
                      <w:szCs w:val="21"/>
                    </w:rPr>
                    <w:t>仓库严禁明火。</w:t>
                  </w:r>
                </w:p>
                <w:p w14:paraId="25F9795A">
                  <w:pPr>
                    <w:pStyle w:val="74"/>
                    <w:jc w:val="both"/>
                    <w:rPr>
                      <w:color w:val="auto"/>
                      <w:sz w:val="21"/>
                      <w:szCs w:val="21"/>
                    </w:rPr>
                  </w:pPr>
                  <w:r>
                    <w:rPr>
                      <w:rFonts w:hint="eastAsia"/>
                      <w:color w:val="auto"/>
                      <w:sz w:val="21"/>
                      <w:szCs w:val="21"/>
                    </w:rPr>
                    <w:t>④公司强化安全、消防和环保管理，完善环保安全管理机构，完善各项管理制度，加强日常监督检查。</w:t>
                  </w:r>
                </w:p>
                <w:p w14:paraId="4007E577">
                  <w:pPr>
                    <w:rPr>
                      <w:rFonts w:hint="eastAsia"/>
                      <w:color w:val="auto"/>
                    </w:rPr>
                  </w:pPr>
                  <w:r>
                    <w:rPr>
                      <w:rFonts w:hint="eastAsia"/>
                      <w:color w:val="auto"/>
                      <w:sz w:val="21"/>
                      <w:szCs w:val="21"/>
                    </w:rPr>
                    <w:t>⑤设立单独的危险废物暂存间，并按照</w:t>
                  </w:r>
                  <w:r>
                    <w:rPr>
                      <w:rFonts w:hint="default"/>
                      <w:color w:val="auto"/>
                      <w:sz w:val="21"/>
                      <w:szCs w:val="21"/>
                    </w:rPr>
                    <w:t>《危险废物贮存污染控制标准》</w:t>
                  </w:r>
                  <w:r>
                    <w:rPr>
                      <w:rFonts w:hint="eastAsia"/>
                      <w:color w:val="auto"/>
                      <w:sz w:val="21"/>
                      <w:szCs w:val="21"/>
                      <w:lang w:eastAsia="zh-CN"/>
                    </w:rPr>
                    <w:t>（</w:t>
                  </w:r>
                  <w:r>
                    <w:rPr>
                      <w:rFonts w:hint="eastAsia"/>
                      <w:color w:val="auto"/>
                      <w:sz w:val="21"/>
                      <w:szCs w:val="21"/>
                    </w:rPr>
                    <w:t>GB 18597</w:t>
                  </w:r>
                  <w:r>
                    <w:rPr>
                      <w:rFonts w:hint="eastAsia"/>
                      <w:color w:val="auto"/>
                      <w:sz w:val="21"/>
                      <w:szCs w:val="21"/>
                      <w:lang w:val="en-US" w:eastAsia="zh-CN"/>
                    </w:rPr>
                    <w:t>-</w:t>
                  </w:r>
                  <w:r>
                    <w:rPr>
                      <w:rFonts w:hint="eastAsia"/>
                      <w:color w:val="auto"/>
                      <w:sz w:val="21"/>
                      <w:szCs w:val="21"/>
                    </w:rPr>
                    <w:t>2023</w:t>
                  </w:r>
                  <w:r>
                    <w:rPr>
                      <w:rFonts w:hint="eastAsia"/>
                      <w:color w:val="auto"/>
                      <w:sz w:val="21"/>
                      <w:szCs w:val="21"/>
                      <w:lang w:eastAsia="zh-CN"/>
                    </w:rPr>
                    <w:t>）</w:t>
                  </w:r>
                  <w:r>
                    <w:rPr>
                      <w:rFonts w:hint="default"/>
                      <w:color w:val="auto"/>
                      <w:sz w:val="21"/>
                      <w:szCs w:val="21"/>
                      <w:lang w:val="en-GB" w:eastAsia="zh-CN"/>
                    </w:rPr>
                    <w:t>要求</w:t>
                  </w:r>
                  <w:r>
                    <w:rPr>
                      <w:rFonts w:hint="eastAsia"/>
                      <w:color w:val="auto"/>
                      <w:sz w:val="21"/>
                      <w:szCs w:val="21"/>
                    </w:rPr>
                    <w:t>的规定做好防雨淋、防渗漏、防流失措施，各类危险废物平时收集后贮存</w:t>
                  </w:r>
                  <w:r>
                    <w:rPr>
                      <w:rFonts w:hint="eastAsia"/>
                      <w:color w:val="auto"/>
                    </w:rPr>
                    <w:t>于危废贮存场所，定期委托有资质单位处置。同时，建设单位在危险废物转移过程中须严格执行转移联单制度，并做好记录台账，防止危险废物在转移过程中发生遗失事故。</w:t>
                  </w:r>
                </w:p>
                <w:p w14:paraId="6CE87AEF">
                  <w:pPr>
                    <w:rPr>
                      <w:rFonts w:hint="eastAsia"/>
                      <w:color w:val="auto"/>
                    </w:rPr>
                  </w:pPr>
                  <w:r>
                    <w:rPr>
                      <w:rFonts w:hint="eastAsia"/>
                      <w:color w:val="auto"/>
                    </w:rPr>
                    <w:t>⑥企业强化风险意识、加强安全管理，进行系统的培训，使所有操作人员熟悉自己的岗位，树立严谨规范的操作作风，并且在任何紧急状况下都能随时对工艺装置进行控制，并及时、独立、正确地实施相关应急措施。</w:t>
                  </w:r>
                </w:p>
              </w:tc>
            </w:tr>
            <w:bookmarkEnd w:id="52"/>
          </w:tbl>
          <w:p w14:paraId="46488882">
            <w:pPr>
              <w:pStyle w:val="20"/>
              <w:widowControl w:val="0"/>
              <w:spacing w:before="0" w:beforeAutospacing="0" w:after="0" w:afterAutospacing="0"/>
              <w:jc w:val="both"/>
              <w:rPr>
                <w:color w:val="auto"/>
                <w:sz w:val="24"/>
                <w:szCs w:val="24"/>
              </w:rPr>
            </w:pPr>
          </w:p>
        </w:tc>
      </w:tr>
    </w:tbl>
    <w:p w14:paraId="52F3EBFA">
      <w:pPr>
        <w:rPr>
          <w:color w:val="auto"/>
        </w:rPr>
        <w:sectPr>
          <w:pgSz w:w="11907" w:h="16840"/>
          <w:pgMar w:top="1701" w:right="1418" w:bottom="2126" w:left="1418" w:header="851" w:footer="851" w:gutter="0"/>
          <w:pgBorders>
            <w:top w:val="none" w:sz="0" w:space="0"/>
            <w:left w:val="none" w:sz="0" w:space="0"/>
            <w:bottom w:val="none" w:sz="0" w:space="0"/>
            <w:right w:val="none" w:sz="0" w:space="0"/>
          </w:pgBorders>
          <w:cols w:space="720" w:num="1"/>
          <w:docGrid w:type="lines" w:linePitch="302" w:charSpace="0"/>
        </w:sectPr>
      </w:pPr>
    </w:p>
    <w:p w14:paraId="1726AE89">
      <w:pPr>
        <w:pStyle w:val="61"/>
        <w:rPr>
          <w:rFonts w:ascii="Times New Roman" w:hAnsi="Times New Roman" w:cs="Times New Roman"/>
          <w:color w:val="auto"/>
        </w:rPr>
      </w:pPr>
      <w:bookmarkStart w:id="53" w:name="_Hlk54167917"/>
      <w:r>
        <w:rPr>
          <w:rFonts w:ascii="Times New Roman" w:hAnsi="Times New Roman" w:cs="Times New Roman"/>
          <w:color w:val="auto"/>
        </w:rPr>
        <w:t>环境保护措施监督检查清单</w:t>
      </w:r>
      <w:bookmarkEnd w:id="53"/>
    </w:p>
    <w:tbl>
      <w:tblPr>
        <w:tblStyle w:val="23"/>
        <w:tblW w:w="90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252"/>
        <w:gridCol w:w="1417"/>
        <w:gridCol w:w="2091"/>
        <w:gridCol w:w="2982"/>
      </w:tblGrid>
      <w:tr w14:paraId="77561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8" w:type="dxa"/>
            <w:tcBorders>
              <w:tl2br w:val="single" w:color="auto" w:sz="4" w:space="0"/>
            </w:tcBorders>
            <w:noWrap w:val="0"/>
            <w:vAlign w:val="top"/>
          </w:tcPr>
          <w:p w14:paraId="4C8F439F">
            <w:pPr>
              <w:adjustRightInd w:val="0"/>
              <w:snapToGrid w:val="0"/>
              <w:jc w:val="right"/>
              <w:rPr>
                <w:color w:val="auto"/>
                <w:szCs w:val="21"/>
              </w:rPr>
            </w:pPr>
            <w:r>
              <w:rPr>
                <w:color w:val="auto"/>
                <w:szCs w:val="21"/>
              </w:rPr>
              <w:t>内容</w:t>
            </w:r>
          </w:p>
          <w:p w14:paraId="4358F985">
            <w:pPr>
              <w:adjustRightInd w:val="0"/>
              <w:snapToGrid w:val="0"/>
              <w:rPr>
                <w:color w:val="auto"/>
                <w:szCs w:val="21"/>
              </w:rPr>
            </w:pPr>
          </w:p>
          <w:p w14:paraId="1D85303C">
            <w:pPr>
              <w:adjustRightInd w:val="0"/>
              <w:snapToGrid w:val="0"/>
              <w:rPr>
                <w:color w:val="auto"/>
                <w:szCs w:val="21"/>
              </w:rPr>
            </w:pPr>
            <w:r>
              <w:rPr>
                <w:color w:val="auto"/>
                <w:szCs w:val="21"/>
              </w:rPr>
              <w:t>要素</w:t>
            </w:r>
          </w:p>
        </w:tc>
        <w:tc>
          <w:tcPr>
            <w:tcW w:w="1252" w:type="dxa"/>
            <w:noWrap w:val="0"/>
            <w:vAlign w:val="center"/>
          </w:tcPr>
          <w:p w14:paraId="45F59D83">
            <w:pPr>
              <w:adjustRightInd w:val="0"/>
              <w:snapToGrid w:val="0"/>
              <w:jc w:val="center"/>
              <w:rPr>
                <w:color w:val="auto"/>
                <w:szCs w:val="21"/>
              </w:rPr>
            </w:pPr>
            <w:r>
              <w:rPr>
                <w:color w:val="auto"/>
                <w:szCs w:val="21"/>
              </w:rPr>
              <w:t>排放口(编号、名称)/污染源</w:t>
            </w:r>
          </w:p>
        </w:tc>
        <w:tc>
          <w:tcPr>
            <w:tcW w:w="1417" w:type="dxa"/>
            <w:noWrap w:val="0"/>
            <w:vAlign w:val="center"/>
          </w:tcPr>
          <w:p w14:paraId="43CED75D">
            <w:pPr>
              <w:adjustRightInd w:val="0"/>
              <w:snapToGrid w:val="0"/>
              <w:jc w:val="center"/>
              <w:rPr>
                <w:color w:val="auto"/>
                <w:szCs w:val="21"/>
              </w:rPr>
            </w:pPr>
            <w:r>
              <w:rPr>
                <w:color w:val="auto"/>
                <w:szCs w:val="21"/>
              </w:rPr>
              <w:t>污染物项目</w:t>
            </w:r>
          </w:p>
        </w:tc>
        <w:tc>
          <w:tcPr>
            <w:tcW w:w="2091" w:type="dxa"/>
            <w:noWrap w:val="0"/>
            <w:vAlign w:val="center"/>
          </w:tcPr>
          <w:p w14:paraId="17E55F71">
            <w:pPr>
              <w:adjustRightInd w:val="0"/>
              <w:snapToGrid w:val="0"/>
              <w:jc w:val="center"/>
              <w:rPr>
                <w:color w:val="auto"/>
                <w:szCs w:val="21"/>
              </w:rPr>
            </w:pPr>
            <w:r>
              <w:rPr>
                <w:color w:val="auto"/>
                <w:szCs w:val="21"/>
              </w:rPr>
              <w:t>环境保护措施</w:t>
            </w:r>
          </w:p>
        </w:tc>
        <w:tc>
          <w:tcPr>
            <w:tcW w:w="2982" w:type="dxa"/>
            <w:noWrap w:val="0"/>
            <w:vAlign w:val="center"/>
          </w:tcPr>
          <w:p w14:paraId="71839954">
            <w:pPr>
              <w:adjustRightInd w:val="0"/>
              <w:snapToGrid w:val="0"/>
              <w:jc w:val="center"/>
              <w:rPr>
                <w:color w:val="auto"/>
                <w:szCs w:val="21"/>
              </w:rPr>
            </w:pPr>
            <w:r>
              <w:rPr>
                <w:color w:val="auto"/>
                <w:szCs w:val="21"/>
              </w:rPr>
              <w:t>执行标准</w:t>
            </w:r>
          </w:p>
        </w:tc>
      </w:tr>
      <w:tr w14:paraId="31231C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8" w:type="dxa"/>
            <w:vMerge w:val="restart"/>
            <w:noWrap w:val="0"/>
            <w:vAlign w:val="center"/>
          </w:tcPr>
          <w:p w14:paraId="7BD7069F">
            <w:pPr>
              <w:adjustRightInd w:val="0"/>
              <w:snapToGrid w:val="0"/>
              <w:jc w:val="center"/>
              <w:rPr>
                <w:color w:val="auto"/>
                <w:szCs w:val="21"/>
              </w:rPr>
            </w:pPr>
            <w:r>
              <w:rPr>
                <w:color w:val="auto"/>
                <w:szCs w:val="21"/>
              </w:rPr>
              <w:t>大气环境</w:t>
            </w:r>
          </w:p>
        </w:tc>
        <w:tc>
          <w:tcPr>
            <w:tcW w:w="1252" w:type="dxa"/>
            <w:noWrap w:val="0"/>
            <w:vAlign w:val="center"/>
          </w:tcPr>
          <w:p w14:paraId="13D6A38C">
            <w:pPr>
              <w:adjustRightInd w:val="0"/>
              <w:snapToGrid w:val="0"/>
              <w:jc w:val="center"/>
              <w:rPr>
                <w:color w:val="auto"/>
                <w:szCs w:val="21"/>
              </w:rPr>
            </w:pPr>
            <w:r>
              <w:rPr>
                <w:color w:val="auto"/>
                <w:szCs w:val="21"/>
              </w:rPr>
              <w:t>排气筒</w:t>
            </w:r>
          </w:p>
          <w:p w14:paraId="1D0DBF7B">
            <w:pPr>
              <w:adjustRightInd w:val="0"/>
              <w:snapToGrid w:val="0"/>
              <w:jc w:val="center"/>
              <w:rPr>
                <w:color w:val="auto"/>
                <w:szCs w:val="21"/>
              </w:rPr>
            </w:pPr>
            <w:r>
              <w:rPr>
                <w:color w:val="auto"/>
                <w:szCs w:val="21"/>
              </w:rPr>
              <w:t>DA001</w:t>
            </w:r>
          </w:p>
        </w:tc>
        <w:tc>
          <w:tcPr>
            <w:tcW w:w="1417" w:type="dxa"/>
            <w:noWrap w:val="0"/>
            <w:vAlign w:val="center"/>
          </w:tcPr>
          <w:p w14:paraId="3CF27C43">
            <w:pPr>
              <w:adjustRightInd w:val="0"/>
              <w:snapToGrid w:val="0"/>
              <w:jc w:val="center"/>
              <w:rPr>
                <w:rFonts w:hint="eastAsia" w:eastAsia="宋体"/>
                <w:color w:val="auto"/>
                <w:szCs w:val="21"/>
                <w:lang w:eastAsia="zh-CN"/>
              </w:rPr>
            </w:pPr>
            <w:r>
              <w:rPr>
                <w:color w:val="auto"/>
                <w:szCs w:val="21"/>
              </w:rPr>
              <w:t>非甲烷总烃</w:t>
            </w:r>
            <w:r>
              <w:rPr>
                <w:rFonts w:hint="eastAsia"/>
                <w:color w:val="auto"/>
                <w:szCs w:val="21"/>
                <w:lang w:eastAsia="zh-CN"/>
              </w:rPr>
              <w:t>、臭气浓度</w:t>
            </w:r>
          </w:p>
        </w:tc>
        <w:tc>
          <w:tcPr>
            <w:tcW w:w="2091" w:type="dxa"/>
            <w:noWrap w:val="0"/>
            <w:vAlign w:val="center"/>
          </w:tcPr>
          <w:p w14:paraId="1E4EE851">
            <w:pPr>
              <w:adjustRightInd w:val="0"/>
              <w:snapToGrid w:val="0"/>
              <w:jc w:val="center"/>
              <w:rPr>
                <w:color w:val="auto"/>
                <w:szCs w:val="21"/>
              </w:rPr>
            </w:pPr>
            <w:r>
              <w:rPr>
                <w:rFonts w:hint="eastAsia"/>
                <w:color w:val="auto"/>
              </w:rPr>
              <w:t>熔融挤压机出口上方设置集气罩，废气</w:t>
            </w:r>
            <w:r>
              <w:rPr>
                <w:color w:val="auto"/>
                <w:szCs w:val="21"/>
              </w:rPr>
              <w:t>经管道送至</w:t>
            </w:r>
            <w:r>
              <w:rPr>
                <w:rFonts w:hint="eastAsia"/>
                <w:color w:val="auto"/>
                <w:szCs w:val="21"/>
              </w:rPr>
              <w:t>二级活性炭吸附装置</w:t>
            </w:r>
            <w:r>
              <w:rPr>
                <w:color w:val="auto"/>
                <w:szCs w:val="21"/>
              </w:rPr>
              <w:t>处理后，</w:t>
            </w:r>
            <w:r>
              <w:rPr>
                <w:rFonts w:hint="eastAsia"/>
                <w:color w:val="auto"/>
                <w:szCs w:val="21"/>
                <w:lang w:val="en-US" w:eastAsia="zh-CN"/>
              </w:rPr>
              <w:t>15</w:t>
            </w:r>
            <w:r>
              <w:rPr>
                <w:color w:val="auto"/>
                <w:szCs w:val="21"/>
              </w:rPr>
              <w:t>m高排气筒排放</w:t>
            </w:r>
            <w:r>
              <w:rPr>
                <w:color w:val="auto"/>
                <w:lang w:val="en"/>
              </w:rPr>
              <w:t>。</w:t>
            </w:r>
          </w:p>
        </w:tc>
        <w:tc>
          <w:tcPr>
            <w:tcW w:w="2982" w:type="dxa"/>
            <w:noWrap w:val="0"/>
            <w:vAlign w:val="center"/>
          </w:tcPr>
          <w:p w14:paraId="4571797A">
            <w:pPr>
              <w:adjustRightInd w:val="0"/>
              <w:snapToGrid w:val="0"/>
              <w:jc w:val="center"/>
              <w:rPr>
                <w:color w:val="auto"/>
              </w:rPr>
            </w:pPr>
            <w:r>
              <w:rPr>
                <w:rFonts w:hint="eastAsia"/>
                <w:color w:val="auto"/>
                <w:lang w:eastAsia="zh-CN"/>
              </w:rPr>
              <w:t>《合成树脂工业污染物排放标准》（GB 31572-2015，含2024年修改单）</w:t>
            </w:r>
            <w:r>
              <w:rPr>
                <w:rFonts w:hint="eastAsia"/>
                <w:color w:val="auto"/>
              </w:rPr>
              <w:t>表4标准</w:t>
            </w:r>
            <w:r>
              <w:rPr>
                <w:rFonts w:hint="eastAsia"/>
                <w:color w:val="auto"/>
                <w:lang w:eastAsia="zh-CN"/>
              </w:rPr>
              <w:t>、</w:t>
            </w:r>
            <w:r>
              <w:rPr>
                <w:rFonts w:hint="eastAsia" w:ascii="Times New Roman" w:hAnsi="Times New Roman" w:eastAsia="宋体" w:cs="Times New Roman"/>
                <w:b w:val="0"/>
                <w:bCs w:val="0"/>
                <w:color w:val="auto"/>
                <w:kern w:val="2"/>
                <w:sz w:val="21"/>
                <w:szCs w:val="24"/>
                <w:lang w:val="en-US" w:eastAsia="zh-CN" w:bidi="ar-SA"/>
              </w:rPr>
              <w:t>《恶臭污染物排放标准》（GB14554-93）</w:t>
            </w:r>
          </w:p>
        </w:tc>
      </w:tr>
      <w:tr w14:paraId="64827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8" w:type="dxa"/>
            <w:vMerge w:val="continue"/>
            <w:noWrap w:val="0"/>
            <w:vAlign w:val="center"/>
          </w:tcPr>
          <w:p w14:paraId="41B70712">
            <w:pPr>
              <w:adjustRightInd w:val="0"/>
              <w:snapToGrid w:val="0"/>
              <w:jc w:val="center"/>
              <w:rPr>
                <w:color w:val="auto"/>
                <w:szCs w:val="21"/>
              </w:rPr>
            </w:pPr>
          </w:p>
        </w:tc>
        <w:tc>
          <w:tcPr>
            <w:tcW w:w="1252" w:type="dxa"/>
            <w:vMerge w:val="restart"/>
            <w:noWrap w:val="0"/>
            <w:vAlign w:val="center"/>
          </w:tcPr>
          <w:p w14:paraId="28F1217F">
            <w:pPr>
              <w:adjustRightInd w:val="0"/>
              <w:snapToGrid w:val="0"/>
              <w:jc w:val="center"/>
              <w:rPr>
                <w:color w:val="auto"/>
                <w:szCs w:val="21"/>
              </w:rPr>
            </w:pPr>
            <w:r>
              <w:rPr>
                <w:color w:val="auto"/>
                <w:szCs w:val="21"/>
              </w:rPr>
              <w:t>车间</w:t>
            </w:r>
          </w:p>
        </w:tc>
        <w:tc>
          <w:tcPr>
            <w:tcW w:w="1417" w:type="dxa"/>
            <w:noWrap w:val="0"/>
            <w:vAlign w:val="center"/>
          </w:tcPr>
          <w:p w14:paraId="58CD669C">
            <w:pPr>
              <w:adjustRightInd w:val="0"/>
              <w:snapToGrid w:val="0"/>
              <w:jc w:val="center"/>
              <w:rPr>
                <w:color w:val="auto"/>
                <w:szCs w:val="21"/>
              </w:rPr>
            </w:pPr>
            <w:r>
              <w:rPr>
                <w:color w:val="auto"/>
                <w:szCs w:val="21"/>
              </w:rPr>
              <w:t>颗粒物</w:t>
            </w:r>
          </w:p>
        </w:tc>
        <w:tc>
          <w:tcPr>
            <w:tcW w:w="2091" w:type="dxa"/>
            <w:noWrap w:val="0"/>
            <w:vAlign w:val="center"/>
          </w:tcPr>
          <w:p w14:paraId="2E6CB03A">
            <w:pPr>
              <w:adjustRightInd w:val="0"/>
              <w:snapToGrid w:val="0"/>
              <w:jc w:val="center"/>
              <w:rPr>
                <w:rFonts w:hint="eastAsia"/>
                <w:color w:val="auto"/>
                <w:szCs w:val="21"/>
              </w:rPr>
            </w:pPr>
            <w:r>
              <w:rPr>
                <w:rFonts w:hint="eastAsia"/>
                <w:color w:val="auto"/>
              </w:rPr>
              <w:t>破碎设备采用密闭一体化设备，出风口连接废气收集管道；</w:t>
            </w:r>
            <w:r>
              <w:rPr>
                <w:color w:val="auto"/>
                <w:szCs w:val="21"/>
              </w:rPr>
              <w:t>脉冲布袋除尘器处理后</w:t>
            </w:r>
            <w:r>
              <w:rPr>
                <w:rFonts w:hint="eastAsia"/>
                <w:color w:val="auto"/>
                <w:szCs w:val="21"/>
              </w:rPr>
              <w:t>车间排放</w:t>
            </w:r>
          </w:p>
        </w:tc>
        <w:tc>
          <w:tcPr>
            <w:tcW w:w="2982" w:type="dxa"/>
            <w:vMerge w:val="restart"/>
            <w:noWrap w:val="0"/>
            <w:vAlign w:val="center"/>
          </w:tcPr>
          <w:p w14:paraId="17F25A99">
            <w:pPr>
              <w:adjustRightInd w:val="0"/>
              <w:snapToGrid w:val="0"/>
              <w:jc w:val="center"/>
              <w:rPr>
                <w:rFonts w:hint="eastAsia"/>
              </w:rPr>
            </w:pPr>
            <w:r>
              <w:rPr>
                <w:rFonts w:hint="eastAsia"/>
                <w:color w:val="auto"/>
                <w:lang w:eastAsia="zh-CN"/>
              </w:rPr>
              <w:t>《合成树脂工业污染物排放标准》（GB 31572-2015，含2024年修改单）</w:t>
            </w:r>
            <w:r>
              <w:rPr>
                <w:rFonts w:hint="eastAsia"/>
                <w:color w:val="auto"/>
              </w:rPr>
              <w:t>表</w:t>
            </w:r>
            <w:r>
              <w:rPr>
                <w:color w:val="auto"/>
              </w:rPr>
              <w:t>9</w:t>
            </w:r>
            <w:r>
              <w:rPr>
                <w:rFonts w:hint="eastAsia"/>
                <w:color w:val="auto"/>
              </w:rPr>
              <w:t>标准</w:t>
            </w:r>
            <w:r>
              <w:rPr>
                <w:color w:val="auto"/>
                <w:szCs w:val="21"/>
              </w:rPr>
              <w:t>无组织排放限值</w:t>
            </w:r>
            <w:r>
              <w:rPr>
                <w:rFonts w:hint="eastAsia"/>
                <w:color w:val="auto"/>
                <w:szCs w:val="21"/>
              </w:rPr>
              <w:t>，厂区内监控点处浓度值执行《挥发性有机物无组织排放控制标准》（GB37822-2019）附录 A 的表A.1 的相应规定</w:t>
            </w:r>
            <w:r>
              <w:rPr>
                <w:rFonts w:hint="eastAsia"/>
                <w:color w:val="auto"/>
                <w:szCs w:val="21"/>
                <w:lang w:eastAsia="zh-CN"/>
              </w:rPr>
              <w:t>、</w:t>
            </w:r>
            <w:r>
              <w:rPr>
                <w:rFonts w:hint="eastAsia" w:ascii="Times New Roman" w:hAnsi="Times New Roman" w:eastAsia="宋体" w:cs="Times New Roman"/>
                <w:b w:val="0"/>
                <w:bCs w:val="0"/>
                <w:color w:val="auto"/>
                <w:kern w:val="2"/>
                <w:sz w:val="21"/>
                <w:szCs w:val="24"/>
                <w:lang w:val="en-US" w:eastAsia="zh-CN" w:bidi="ar-SA"/>
              </w:rPr>
              <w:t>《恶臭污染物排放标准》（GB14554-93）</w:t>
            </w:r>
          </w:p>
        </w:tc>
      </w:tr>
      <w:tr w14:paraId="31BA3A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8" w:type="dxa"/>
            <w:vMerge w:val="continue"/>
            <w:noWrap w:val="0"/>
            <w:vAlign w:val="center"/>
          </w:tcPr>
          <w:p w14:paraId="3A199CFC">
            <w:pPr>
              <w:adjustRightInd w:val="0"/>
              <w:snapToGrid w:val="0"/>
              <w:jc w:val="center"/>
              <w:rPr>
                <w:color w:val="auto"/>
                <w:szCs w:val="21"/>
              </w:rPr>
            </w:pPr>
          </w:p>
        </w:tc>
        <w:tc>
          <w:tcPr>
            <w:tcW w:w="1252" w:type="dxa"/>
            <w:vMerge w:val="continue"/>
            <w:noWrap w:val="0"/>
            <w:vAlign w:val="center"/>
          </w:tcPr>
          <w:p w14:paraId="2CCE6889">
            <w:pPr>
              <w:adjustRightInd w:val="0"/>
              <w:snapToGrid w:val="0"/>
              <w:jc w:val="center"/>
              <w:rPr>
                <w:color w:val="auto"/>
                <w:szCs w:val="21"/>
              </w:rPr>
            </w:pPr>
          </w:p>
        </w:tc>
        <w:tc>
          <w:tcPr>
            <w:tcW w:w="1417" w:type="dxa"/>
            <w:noWrap w:val="0"/>
            <w:vAlign w:val="center"/>
          </w:tcPr>
          <w:p w14:paraId="1F9F28E1">
            <w:pPr>
              <w:adjustRightInd w:val="0"/>
              <w:snapToGrid w:val="0"/>
              <w:jc w:val="center"/>
              <w:rPr>
                <w:rFonts w:hint="eastAsia" w:eastAsia="宋体"/>
                <w:color w:val="auto"/>
                <w:szCs w:val="21"/>
                <w:lang w:eastAsia="zh-CN"/>
              </w:rPr>
            </w:pPr>
            <w:r>
              <w:rPr>
                <w:color w:val="auto"/>
                <w:szCs w:val="21"/>
              </w:rPr>
              <w:t>非甲烷总烃</w:t>
            </w:r>
            <w:r>
              <w:rPr>
                <w:rFonts w:hint="eastAsia"/>
                <w:color w:val="auto"/>
                <w:szCs w:val="21"/>
                <w:lang w:eastAsia="zh-CN"/>
              </w:rPr>
              <w:t>、臭气浓度</w:t>
            </w:r>
          </w:p>
        </w:tc>
        <w:tc>
          <w:tcPr>
            <w:tcW w:w="2091" w:type="dxa"/>
            <w:noWrap w:val="0"/>
            <w:vAlign w:val="center"/>
          </w:tcPr>
          <w:p w14:paraId="2C04E13E">
            <w:pPr>
              <w:adjustRightInd w:val="0"/>
              <w:snapToGrid w:val="0"/>
              <w:jc w:val="center"/>
              <w:rPr>
                <w:color w:val="auto"/>
                <w:szCs w:val="21"/>
              </w:rPr>
            </w:pPr>
            <w:r>
              <w:rPr>
                <w:rFonts w:hint="eastAsia"/>
                <w:color w:val="auto"/>
                <w:szCs w:val="21"/>
              </w:rPr>
              <w:t>加强有机废气的收集及活性炭吸附净化装置维护保养等</w:t>
            </w:r>
          </w:p>
        </w:tc>
        <w:tc>
          <w:tcPr>
            <w:tcW w:w="2982" w:type="dxa"/>
            <w:vMerge w:val="continue"/>
            <w:noWrap w:val="0"/>
            <w:vAlign w:val="center"/>
          </w:tcPr>
          <w:p w14:paraId="1AF44523">
            <w:pPr>
              <w:adjustRightInd w:val="0"/>
              <w:snapToGrid w:val="0"/>
              <w:jc w:val="center"/>
              <w:rPr>
                <w:rFonts w:hint="eastAsia"/>
                <w:color w:val="auto"/>
                <w:szCs w:val="21"/>
                <w:lang w:val="en"/>
              </w:rPr>
            </w:pPr>
          </w:p>
        </w:tc>
      </w:tr>
      <w:tr w14:paraId="6B43C8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8" w:type="dxa"/>
            <w:noWrap w:val="0"/>
            <w:vAlign w:val="center"/>
          </w:tcPr>
          <w:p w14:paraId="6277C45F">
            <w:pPr>
              <w:adjustRightInd w:val="0"/>
              <w:snapToGrid w:val="0"/>
              <w:jc w:val="center"/>
              <w:rPr>
                <w:color w:val="auto"/>
                <w:szCs w:val="21"/>
              </w:rPr>
            </w:pPr>
            <w:r>
              <w:rPr>
                <w:color w:val="auto"/>
                <w:szCs w:val="21"/>
              </w:rPr>
              <w:t>地表水环境</w:t>
            </w:r>
          </w:p>
        </w:tc>
        <w:tc>
          <w:tcPr>
            <w:tcW w:w="1252" w:type="dxa"/>
            <w:noWrap w:val="0"/>
            <w:vAlign w:val="center"/>
          </w:tcPr>
          <w:p w14:paraId="7238502A">
            <w:pPr>
              <w:adjustRightInd w:val="0"/>
              <w:snapToGrid w:val="0"/>
              <w:jc w:val="center"/>
              <w:rPr>
                <w:color w:val="auto"/>
                <w:szCs w:val="21"/>
              </w:rPr>
            </w:pPr>
            <w:r>
              <w:rPr>
                <w:color w:val="auto"/>
                <w:szCs w:val="21"/>
              </w:rPr>
              <w:t>生活污水</w:t>
            </w:r>
          </w:p>
        </w:tc>
        <w:tc>
          <w:tcPr>
            <w:tcW w:w="1417" w:type="dxa"/>
            <w:noWrap w:val="0"/>
            <w:vAlign w:val="center"/>
          </w:tcPr>
          <w:p w14:paraId="00422A3E">
            <w:pPr>
              <w:adjustRightInd w:val="0"/>
              <w:snapToGrid w:val="0"/>
              <w:jc w:val="center"/>
              <w:rPr>
                <w:color w:val="auto"/>
                <w:szCs w:val="21"/>
              </w:rPr>
            </w:pPr>
            <w:r>
              <w:rPr>
                <w:rFonts w:hint="eastAsia" w:cs="Times New Roman"/>
                <w:color w:val="auto"/>
                <w:kern w:val="2"/>
                <w:sz w:val="21"/>
                <w:szCs w:val="21"/>
                <w:lang w:val="en-US" w:eastAsia="zh-CN" w:bidi="ar"/>
              </w:rPr>
              <w:t>p</w:t>
            </w:r>
            <w:r>
              <w:rPr>
                <w:rFonts w:hint="default" w:ascii="Times New Roman" w:hAnsi="Times New Roman" w:eastAsia="宋体" w:cs="Times New Roman"/>
                <w:color w:val="auto"/>
                <w:kern w:val="2"/>
                <w:sz w:val="21"/>
                <w:szCs w:val="21"/>
                <w:lang w:val="en-US" w:eastAsia="zh-CN" w:bidi="ar"/>
              </w:rPr>
              <w:t>H、COD、BOD</w:t>
            </w:r>
            <w:r>
              <w:rPr>
                <w:rFonts w:hint="default" w:ascii="Times New Roman" w:hAnsi="Times New Roman" w:eastAsia="宋体" w:cs="Times New Roman"/>
                <w:color w:val="auto"/>
                <w:kern w:val="2"/>
                <w:sz w:val="21"/>
                <w:szCs w:val="21"/>
                <w:vertAlign w:val="subscript"/>
                <w:lang w:val="en-US" w:eastAsia="zh-CN" w:bidi="ar"/>
              </w:rPr>
              <w:t>5</w:t>
            </w:r>
            <w:r>
              <w:rPr>
                <w:rFonts w:hint="default" w:ascii="Times New Roman" w:hAnsi="Times New Roman" w:eastAsia="宋体" w:cs="Times New Roman"/>
                <w:color w:val="auto"/>
                <w:kern w:val="2"/>
                <w:sz w:val="21"/>
                <w:szCs w:val="21"/>
                <w:lang w:val="en-US" w:eastAsia="zh-CN" w:bidi="ar"/>
              </w:rPr>
              <w:t>、SS、氨氮、总磷、总氮</w:t>
            </w:r>
          </w:p>
        </w:tc>
        <w:tc>
          <w:tcPr>
            <w:tcW w:w="2091" w:type="dxa"/>
            <w:noWrap w:val="0"/>
            <w:vAlign w:val="center"/>
          </w:tcPr>
          <w:p w14:paraId="0AF3C266">
            <w:pPr>
              <w:adjustRightInd w:val="0"/>
              <w:snapToGrid w:val="0"/>
              <w:jc w:val="center"/>
              <w:rPr>
                <w:color w:val="auto"/>
                <w:szCs w:val="21"/>
              </w:rPr>
            </w:pPr>
            <w:r>
              <w:rPr>
                <w:color w:val="auto"/>
                <w:szCs w:val="21"/>
              </w:rPr>
              <w:t>化粪池</w:t>
            </w:r>
          </w:p>
        </w:tc>
        <w:tc>
          <w:tcPr>
            <w:tcW w:w="2982" w:type="dxa"/>
            <w:noWrap w:val="0"/>
            <w:vAlign w:val="center"/>
          </w:tcPr>
          <w:p w14:paraId="28F890FF">
            <w:pPr>
              <w:adjustRightInd w:val="0"/>
              <w:snapToGrid w:val="0"/>
              <w:jc w:val="center"/>
              <w:rPr>
                <w:color w:val="auto"/>
                <w:szCs w:val="21"/>
              </w:rPr>
            </w:pPr>
            <w:r>
              <w:rPr>
                <w:rFonts w:hint="default" w:ascii="Times New Roman" w:hAnsi="Times New Roman" w:eastAsia="宋体" w:cs="Times New Roman"/>
                <w:color w:val="auto"/>
                <w:kern w:val="2"/>
                <w:sz w:val="21"/>
                <w:szCs w:val="21"/>
                <w:lang w:val="en-US" w:eastAsia="zh-CN" w:bidi="ar"/>
              </w:rPr>
              <w:t>《污水综合排放标准》（GB8978-1996）表4中的三级标准（</w:t>
            </w:r>
            <w:r>
              <w:rPr>
                <w:rFonts w:hint="eastAsia" w:ascii="Times New Roman" w:hAnsi="Times New Roman" w:eastAsia="宋体" w:cs="Times New Roman"/>
                <w:color w:val="auto"/>
                <w:kern w:val="2"/>
                <w:sz w:val="21"/>
                <w:szCs w:val="21"/>
                <w:lang w:val="en-US" w:eastAsia="zh-CN" w:bidi="ar"/>
              </w:rPr>
              <w:t>氨氮</w:t>
            </w:r>
            <w:r>
              <w:rPr>
                <w:rFonts w:hint="default" w:ascii="Times New Roman" w:hAnsi="Times New Roman" w:eastAsia="宋体" w:cs="Times New Roman"/>
                <w:color w:val="auto"/>
                <w:kern w:val="2"/>
                <w:sz w:val="21"/>
                <w:szCs w:val="21"/>
                <w:lang w:val="en-US" w:eastAsia="zh-CN" w:bidi="ar"/>
              </w:rPr>
              <w:t>、总磷</w:t>
            </w:r>
            <w:r>
              <w:rPr>
                <w:rFonts w:hint="eastAsia" w:ascii="Times New Roman" w:hAnsi="Times New Roman" w:eastAsia="宋体" w:cs="Times New Roman"/>
                <w:color w:val="auto"/>
                <w:kern w:val="2"/>
                <w:sz w:val="21"/>
                <w:szCs w:val="21"/>
                <w:lang w:val="en-US" w:eastAsia="zh-CN" w:bidi="ar"/>
              </w:rPr>
              <w:t>、总氮</w:t>
            </w:r>
            <w:r>
              <w:rPr>
                <w:rFonts w:hint="default" w:ascii="Times New Roman" w:hAnsi="Times New Roman" w:eastAsia="宋体" w:cs="Times New Roman"/>
                <w:color w:val="auto"/>
                <w:kern w:val="2"/>
                <w:sz w:val="21"/>
                <w:szCs w:val="21"/>
                <w:lang w:val="en-US" w:eastAsia="zh-CN" w:bidi="ar"/>
              </w:rPr>
              <w:t>参照《污水排入城镇下水道水质标准》（GB/T 31962-2015）表1中B等级标准）（pH6</w:t>
            </w:r>
            <w:r>
              <w:rPr>
                <w:rFonts w:hint="eastAsia" w:cs="Times New Roman"/>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9、COD≤500mg/L、BOD</w:t>
            </w:r>
            <w:r>
              <w:rPr>
                <w:rFonts w:hint="default" w:ascii="Times New Roman" w:hAnsi="Times New Roman" w:eastAsia="宋体" w:cs="Times New Roman"/>
                <w:color w:val="auto"/>
                <w:kern w:val="2"/>
                <w:sz w:val="21"/>
                <w:szCs w:val="21"/>
                <w:vertAlign w:val="subscript"/>
                <w:lang w:val="en-US" w:eastAsia="zh-CN" w:bidi="ar"/>
              </w:rPr>
              <w:t>5</w:t>
            </w:r>
            <w:r>
              <w:rPr>
                <w:rFonts w:hint="default" w:ascii="Times New Roman" w:hAnsi="Times New Roman" w:eastAsia="宋体" w:cs="Times New Roman"/>
                <w:color w:val="auto"/>
                <w:kern w:val="2"/>
                <w:sz w:val="21"/>
                <w:szCs w:val="21"/>
                <w:lang w:val="en-US" w:eastAsia="zh-CN" w:bidi="ar"/>
              </w:rPr>
              <w:t>≤300mg/L、氨氮≤45mg/L、SS≤400mg/L、总磷≤8mg/L、总氮≤70mg/L）；同时满足</w:t>
            </w:r>
            <w:r>
              <w:rPr>
                <w:rFonts w:hint="eastAsia" w:ascii="Times New Roman" w:hAnsi="Times New Roman" w:eastAsia="宋体" w:cs="Times New Roman"/>
                <w:color w:val="auto"/>
                <w:kern w:val="2"/>
                <w:sz w:val="21"/>
                <w:szCs w:val="21"/>
                <w:lang w:val="en-US" w:eastAsia="zh-CN" w:bidi="ar"/>
              </w:rPr>
              <w:t>闽侯县污水处理厂</w:t>
            </w:r>
            <w:r>
              <w:rPr>
                <w:rFonts w:hint="default" w:ascii="Times New Roman" w:hAnsi="Times New Roman" w:eastAsia="宋体" w:cs="Times New Roman"/>
                <w:color w:val="auto"/>
                <w:kern w:val="2"/>
                <w:sz w:val="21"/>
                <w:szCs w:val="21"/>
                <w:lang w:val="en-US" w:eastAsia="zh-CN" w:bidi="ar"/>
              </w:rPr>
              <w:t>纳管标准</w:t>
            </w:r>
          </w:p>
        </w:tc>
      </w:tr>
      <w:tr w14:paraId="4BD14F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8" w:type="dxa"/>
            <w:noWrap w:val="0"/>
            <w:vAlign w:val="center"/>
          </w:tcPr>
          <w:p w14:paraId="5FAE1CD4">
            <w:pPr>
              <w:adjustRightInd w:val="0"/>
              <w:snapToGrid w:val="0"/>
              <w:jc w:val="center"/>
              <w:rPr>
                <w:color w:val="auto"/>
                <w:szCs w:val="21"/>
              </w:rPr>
            </w:pPr>
            <w:r>
              <w:rPr>
                <w:color w:val="auto"/>
                <w:szCs w:val="21"/>
              </w:rPr>
              <w:t>声环境</w:t>
            </w:r>
          </w:p>
        </w:tc>
        <w:tc>
          <w:tcPr>
            <w:tcW w:w="1252" w:type="dxa"/>
            <w:noWrap w:val="0"/>
            <w:vAlign w:val="center"/>
          </w:tcPr>
          <w:p w14:paraId="63CCB9ED">
            <w:pPr>
              <w:adjustRightInd w:val="0"/>
              <w:snapToGrid w:val="0"/>
              <w:jc w:val="center"/>
              <w:rPr>
                <w:color w:val="auto"/>
                <w:szCs w:val="21"/>
              </w:rPr>
            </w:pPr>
            <w:r>
              <w:rPr>
                <w:color w:val="auto"/>
                <w:szCs w:val="21"/>
              </w:rPr>
              <w:t>设备噪声</w:t>
            </w:r>
          </w:p>
        </w:tc>
        <w:tc>
          <w:tcPr>
            <w:tcW w:w="1417" w:type="dxa"/>
            <w:noWrap w:val="0"/>
            <w:vAlign w:val="center"/>
          </w:tcPr>
          <w:p w14:paraId="0303E877">
            <w:pPr>
              <w:adjustRightInd w:val="0"/>
              <w:snapToGrid w:val="0"/>
              <w:jc w:val="center"/>
              <w:rPr>
                <w:color w:val="auto"/>
                <w:szCs w:val="21"/>
              </w:rPr>
            </w:pPr>
            <w:r>
              <w:rPr>
                <w:color w:val="auto"/>
                <w:szCs w:val="21"/>
              </w:rPr>
              <w:t>L</w:t>
            </w:r>
            <w:r>
              <w:rPr>
                <w:color w:val="auto"/>
                <w:szCs w:val="21"/>
                <w:vertAlign w:val="subscript"/>
              </w:rPr>
              <w:t>Aeq</w:t>
            </w:r>
          </w:p>
        </w:tc>
        <w:tc>
          <w:tcPr>
            <w:tcW w:w="2091" w:type="dxa"/>
            <w:noWrap w:val="0"/>
            <w:vAlign w:val="center"/>
          </w:tcPr>
          <w:p w14:paraId="35378AB6">
            <w:pPr>
              <w:adjustRightInd w:val="0"/>
              <w:snapToGrid w:val="0"/>
              <w:jc w:val="center"/>
              <w:rPr>
                <w:color w:val="auto"/>
                <w:szCs w:val="21"/>
              </w:rPr>
            </w:pPr>
            <w:r>
              <w:rPr>
                <w:color w:val="auto"/>
                <w:szCs w:val="21"/>
              </w:rPr>
              <w:t>厂房隔声、减振、消声等</w:t>
            </w:r>
          </w:p>
        </w:tc>
        <w:tc>
          <w:tcPr>
            <w:tcW w:w="2982" w:type="dxa"/>
            <w:noWrap w:val="0"/>
            <w:vAlign w:val="center"/>
          </w:tcPr>
          <w:p w14:paraId="38BD6C00">
            <w:pPr>
              <w:adjustRightInd w:val="0"/>
              <w:snapToGrid w:val="0"/>
              <w:jc w:val="center"/>
              <w:rPr>
                <w:color w:val="auto"/>
                <w:szCs w:val="21"/>
              </w:rPr>
            </w:pPr>
            <w:r>
              <w:rPr>
                <w:color w:val="auto"/>
              </w:rPr>
              <w:t>《工业企业厂界环境噪声排放标准》（GB12348-2008）中3类标准限值</w:t>
            </w:r>
          </w:p>
        </w:tc>
      </w:tr>
      <w:tr w14:paraId="6197D0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8" w:type="dxa"/>
            <w:noWrap w:val="0"/>
            <w:vAlign w:val="center"/>
          </w:tcPr>
          <w:p w14:paraId="4952983A">
            <w:pPr>
              <w:adjustRightInd w:val="0"/>
              <w:snapToGrid w:val="0"/>
              <w:jc w:val="center"/>
              <w:rPr>
                <w:color w:val="auto"/>
                <w:szCs w:val="21"/>
              </w:rPr>
            </w:pPr>
            <w:r>
              <w:rPr>
                <w:color w:val="auto"/>
                <w:szCs w:val="21"/>
              </w:rPr>
              <w:t>固体废物</w:t>
            </w:r>
          </w:p>
        </w:tc>
        <w:tc>
          <w:tcPr>
            <w:tcW w:w="7742" w:type="dxa"/>
            <w:gridSpan w:val="4"/>
            <w:noWrap w:val="0"/>
            <w:vAlign w:val="center"/>
          </w:tcPr>
          <w:p w14:paraId="76B0CB1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一般工业固废：设置一般工业固废暂存间，妥善分类收集后外售综合利用；满足《一般工业固体废物贮存和填埋污染控制标准》（GB18599-2020）的相关要求；</w:t>
            </w:r>
          </w:p>
          <w:p w14:paraId="1DD71CA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危险废物：设置危废暂存间，</w:t>
            </w:r>
            <w:r>
              <w:rPr>
                <w:rFonts w:hint="default" w:ascii="Times New Roman" w:hAnsi="Times New Roman" w:eastAsia="宋体" w:cs="Times New Roman"/>
                <w:color w:val="auto"/>
                <w:kern w:val="0"/>
                <w:sz w:val="21"/>
                <w:szCs w:val="21"/>
                <w:lang w:val="en-US" w:eastAsia="zh-CN" w:bidi="ar-SA"/>
              </w:rPr>
              <w:t>妥善分类收集后</w:t>
            </w:r>
            <w:r>
              <w:rPr>
                <w:rFonts w:hint="eastAsia" w:ascii="Times New Roman" w:hAnsi="Times New Roman" w:eastAsia="宋体" w:cs="Times New Roman"/>
                <w:color w:val="auto"/>
                <w:kern w:val="0"/>
                <w:sz w:val="21"/>
                <w:szCs w:val="21"/>
                <w:lang w:val="en-US" w:eastAsia="zh-CN" w:bidi="ar-SA"/>
              </w:rPr>
              <w:t>暂存于危废暂存间，定期委托有危废资质单位进行处置，</w:t>
            </w:r>
            <w:r>
              <w:rPr>
                <w:rFonts w:hint="default" w:ascii="Times New Roman" w:hAnsi="Times New Roman" w:eastAsia="宋体" w:cs="Times New Roman"/>
                <w:color w:val="auto"/>
                <w:kern w:val="0"/>
                <w:sz w:val="21"/>
                <w:szCs w:val="21"/>
                <w:lang w:val="en-US" w:eastAsia="zh-CN" w:bidi="ar-SA"/>
              </w:rPr>
              <w:t>危险废物按《危险废物贮存污染控制标准》（GB18597-2023）的要求处置，外运处置执行《危险废物转移管理办法》</w:t>
            </w:r>
            <w:r>
              <w:rPr>
                <w:rFonts w:hint="eastAsia" w:ascii="Times New Roman" w:hAnsi="Times New Roman" w:eastAsia="宋体" w:cs="Times New Roman"/>
                <w:color w:val="auto"/>
                <w:kern w:val="0"/>
                <w:sz w:val="21"/>
                <w:szCs w:val="21"/>
                <w:lang w:val="en-US" w:eastAsia="zh-CN" w:bidi="ar-SA"/>
              </w:rPr>
              <w:t>；</w:t>
            </w:r>
          </w:p>
          <w:p w14:paraId="40575589">
            <w:pPr>
              <w:pStyle w:val="55"/>
              <w:spacing w:line="240" w:lineRule="auto"/>
              <w:jc w:val="both"/>
              <w:rPr>
                <w:rFonts w:hint="eastAsia"/>
                <w:color w:val="auto"/>
              </w:rPr>
            </w:pPr>
            <w:r>
              <w:rPr>
                <w:rFonts w:hint="default" w:ascii="Times New Roman" w:hAnsi="Times New Roman" w:eastAsia="宋体" w:cs="Times New Roman"/>
                <w:color w:val="auto"/>
                <w:kern w:val="0"/>
                <w:sz w:val="21"/>
                <w:szCs w:val="21"/>
                <w:lang w:val="en-US" w:eastAsia="zh-CN" w:bidi="ar-SA"/>
              </w:rPr>
              <w:t>生活垃圾：由垃圾桶收集，由环卫部门统一清运处理。</w:t>
            </w:r>
          </w:p>
        </w:tc>
      </w:tr>
      <w:tr w14:paraId="2238FA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8" w:type="dxa"/>
            <w:noWrap w:val="0"/>
            <w:vAlign w:val="center"/>
          </w:tcPr>
          <w:p w14:paraId="60D8B8CC">
            <w:pPr>
              <w:adjustRightInd w:val="0"/>
              <w:snapToGrid w:val="0"/>
              <w:spacing w:line="240" w:lineRule="auto"/>
              <w:jc w:val="center"/>
              <w:rPr>
                <w:color w:val="auto"/>
                <w:szCs w:val="21"/>
              </w:rPr>
            </w:pPr>
            <w:r>
              <w:rPr>
                <w:rFonts w:hint="default" w:ascii="Times New Roman" w:hAnsi="Times New Roman" w:eastAsia="宋体" w:cs="Times New Roman"/>
                <w:color w:val="auto"/>
                <w:sz w:val="21"/>
                <w:szCs w:val="21"/>
                <w:lang w:bidi="ar"/>
              </w:rPr>
              <w:t>土壤及地下水污染防治措施</w:t>
            </w:r>
          </w:p>
        </w:tc>
        <w:tc>
          <w:tcPr>
            <w:tcW w:w="7742" w:type="dxa"/>
            <w:gridSpan w:val="4"/>
            <w:noWrap w:val="0"/>
            <w:vAlign w:val="center"/>
          </w:tcPr>
          <w:p w14:paraId="1BCFD720">
            <w:pPr>
              <w:pStyle w:val="20"/>
              <w:keepNext w:val="0"/>
              <w:keepLines w:val="0"/>
              <w:pageBreakBefore w:val="0"/>
              <w:widowControl w:val="0"/>
              <w:tabs>
                <w:tab w:val="left" w:pos="0"/>
              </w:tabs>
              <w:kinsoku/>
              <w:wordWrap/>
              <w:overflowPunct/>
              <w:topLinePunct w:val="0"/>
              <w:autoSpaceDE/>
              <w:autoSpaceDN/>
              <w:bidi w:val="0"/>
              <w:adjustRightInd/>
              <w:snapToGrid/>
              <w:spacing w:before="0" w:beforeAutospacing="0" w:after="0" w:afterAutospacing="0" w:line="360" w:lineRule="auto"/>
              <w:ind w:firstLine="420" w:firstLineChars="200"/>
              <w:jc w:val="both"/>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按照“源头控制、分区防治、污染监控、应急响应”相结合的原则全阶段进行控制。</w:t>
            </w:r>
          </w:p>
        </w:tc>
      </w:tr>
      <w:tr w14:paraId="39CB8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278" w:type="dxa"/>
            <w:noWrap w:val="0"/>
            <w:vAlign w:val="center"/>
          </w:tcPr>
          <w:p w14:paraId="0DBC6FBF">
            <w:pPr>
              <w:adjustRightInd w:val="0"/>
              <w:snapToGrid w:val="0"/>
              <w:jc w:val="center"/>
              <w:rPr>
                <w:color w:val="auto"/>
                <w:spacing w:val="-8"/>
                <w:szCs w:val="21"/>
              </w:rPr>
            </w:pPr>
            <w:r>
              <w:rPr>
                <w:color w:val="auto"/>
                <w:spacing w:val="-8"/>
                <w:szCs w:val="21"/>
              </w:rPr>
              <w:t>环境风险</w:t>
            </w:r>
          </w:p>
          <w:p w14:paraId="60B78444">
            <w:pPr>
              <w:adjustRightInd w:val="0"/>
              <w:snapToGrid w:val="0"/>
              <w:jc w:val="center"/>
              <w:rPr>
                <w:color w:val="auto"/>
                <w:spacing w:val="-8"/>
                <w:szCs w:val="21"/>
              </w:rPr>
            </w:pPr>
            <w:r>
              <w:rPr>
                <w:color w:val="auto"/>
                <w:spacing w:val="-8"/>
                <w:szCs w:val="21"/>
              </w:rPr>
              <w:t>防范措施</w:t>
            </w:r>
          </w:p>
        </w:tc>
        <w:tc>
          <w:tcPr>
            <w:tcW w:w="7742" w:type="dxa"/>
            <w:gridSpan w:val="4"/>
            <w:noWrap w:val="0"/>
            <w:vAlign w:val="center"/>
          </w:tcPr>
          <w:p w14:paraId="00A2D074">
            <w:pPr>
              <w:pStyle w:val="20"/>
              <w:keepNext w:val="0"/>
              <w:keepLines w:val="0"/>
              <w:pageBreakBefore w:val="0"/>
              <w:widowControl w:val="0"/>
              <w:tabs>
                <w:tab w:val="left" w:pos="0"/>
              </w:tabs>
              <w:kinsoku/>
              <w:wordWrap/>
              <w:overflowPunct/>
              <w:topLinePunct w:val="0"/>
              <w:autoSpaceDE/>
              <w:autoSpaceDN/>
              <w:bidi w:val="0"/>
              <w:adjustRightInd/>
              <w:snapToGrid/>
              <w:spacing w:before="0" w:beforeLines="0" w:beforeAutospacing="0" w:after="0" w:afterLines="0" w:afterAutospacing="0" w:line="360" w:lineRule="exact"/>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①严格按照《危险化学品安全管理条例》开展相关管理工作。制定危险化学品操作规程，对使用危险化学品的职工进行岗前培训。</w:t>
            </w:r>
          </w:p>
          <w:p w14:paraId="0E8A1527">
            <w:pPr>
              <w:pStyle w:val="20"/>
              <w:keepNext w:val="0"/>
              <w:keepLines w:val="0"/>
              <w:pageBreakBefore w:val="0"/>
              <w:widowControl w:val="0"/>
              <w:tabs>
                <w:tab w:val="left" w:pos="0"/>
              </w:tabs>
              <w:kinsoku/>
              <w:wordWrap/>
              <w:overflowPunct/>
              <w:topLinePunct w:val="0"/>
              <w:autoSpaceDE/>
              <w:autoSpaceDN/>
              <w:bidi w:val="0"/>
              <w:adjustRightInd/>
              <w:snapToGrid/>
              <w:spacing w:before="0" w:beforeLines="0" w:beforeAutospacing="0" w:after="0" w:afterLines="0" w:afterAutospacing="0" w:line="360" w:lineRule="exact"/>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②厂区内严禁烟火、严格动火审批制度；配备相应的堵漏材料（沙袋、吸油毡等）。</w:t>
            </w:r>
          </w:p>
          <w:p w14:paraId="47F7454B">
            <w:pPr>
              <w:pStyle w:val="55"/>
              <w:spacing w:line="240" w:lineRule="auto"/>
              <w:rPr>
                <w:rFonts w:hint="eastAsia"/>
                <w:color w:val="auto"/>
              </w:rPr>
            </w:pPr>
            <w:r>
              <w:rPr>
                <w:rFonts w:hint="default" w:ascii="Times New Roman" w:hAnsi="Times New Roman" w:eastAsia="宋体" w:cs="Times New Roman"/>
                <w:bCs w:val="0"/>
                <w:color w:val="auto"/>
                <w:kern w:val="0"/>
                <w:sz w:val="21"/>
                <w:szCs w:val="21"/>
              </w:rPr>
              <w:t>具体详见章节“4.</w:t>
            </w:r>
            <w:r>
              <w:rPr>
                <w:rFonts w:hint="eastAsia" w:ascii="Times New Roman" w:hAnsi="Times New Roman" w:eastAsia="宋体" w:cs="Times New Roman"/>
                <w:bCs w:val="0"/>
                <w:color w:val="auto"/>
                <w:kern w:val="0"/>
                <w:sz w:val="21"/>
                <w:szCs w:val="21"/>
                <w:lang w:val="en-US" w:eastAsia="zh-CN"/>
              </w:rPr>
              <w:t>6</w:t>
            </w:r>
            <w:r>
              <w:rPr>
                <w:rFonts w:hint="default" w:ascii="Times New Roman" w:hAnsi="Times New Roman" w:eastAsia="宋体" w:cs="Times New Roman"/>
                <w:bCs w:val="0"/>
                <w:color w:val="auto"/>
                <w:kern w:val="0"/>
                <w:sz w:val="21"/>
                <w:szCs w:val="21"/>
              </w:rPr>
              <w:t>.4环境风险防范措施及应急要求”。</w:t>
            </w:r>
          </w:p>
        </w:tc>
      </w:tr>
      <w:tr w14:paraId="32B479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278" w:type="dxa"/>
            <w:noWrap w:val="0"/>
            <w:vAlign w:val="center"/>
          </w:tcPr>
          <w:p w14:paraId="7551BD93">
            <w:pPr>
              <w:adjustRightInd w:val="0"/>
              <w:snapToGrid w:val="0"/>
              <w:jc w:val="center"/>
              <w:rPr>
                <w:color w:val="auto"/>
                <w:spacing w:val="-8"/>
                <w:szCs w:val="21"/>
              </w:rPr>
            </w:pPr>
            <w:r>
              <w:rPr>
                <w:color w:val="auto"/>
                <w:spacing w:val="-8"/>
                <w:szCs w:val="21"/>
              </w:rPr>
              <w:t>其他环境</w:t>
            </w:r>
          </w:p>
          <w:p w14:paraId="4C4422BE">
            <w:pPr>
              <w:adjustRightInd w:val="0"/>
              <w:snapToGrid w:val="0"/>
              <w:jc w:val="center"/>
              <w:rPr>
                <w:color w:val="auto"/>
                <w:spacing w:val="-8"/>
                <w:szCs w:val="21"/>
              </w:rPr>
            </w:pPr>
            <w:r>
              <w:rPr>
                <w:color w:val="auto"/>
                <w:spacing w:val="-8"/>
                <w:szCs w:val="21"/>
              </w:rPr>
              <w:t>管理要求</w:t>
            </w:r>
          </w:p>
        </w:tc>
        <w:tc>
          <w:tcPr>
            <w:tcW w:w="7742" w:type="dxa"/>
            <w:gridSpan w:val="4"/>
            <w:noWrap w:val="0"/>
            <w:vAlign w:val="center"/>
          </w:tcPr>
          <w:p w14:paraId="26DF67DB">
            <w:pPr>
              <w:pStyle w:val="55"/>
              <w:spacing w:line="240" w:lineRule="auto"/>
              <w:ind w:firstLine="0" w:firstLineChars="0"/>
              <w:rPr>
                <w:rFonts w:hint="eastAsia"/>
                <w:b/>
                <w:bCs/>
                <w:color w:val="auto"/>
                <w:szCs w:val="21"/>
              </w:rPr>
            </w:pPr>
            <w:r>
              <w:rPr>
                <w:rFonts w:hint="eastAsia"/>
                <w:b/>
                <w:bCs/>
                <w:color w:val="auto"/>
                <w:szCs w:val="21"/>
              </w:rPr>
              <w:t>1、竣工验收</w:t>
            </w:r>
          </w:p>
          <w:p w14:paraId="6F84DD03">
            <w:pPr>
              <w:pStyle w:val="55"/>
              <w:spacing w:line="240" w:lineRule="auto"/>
              <w:rPr>
                <w:color w:val="auto"/>
                <w:szCs w:val="21"/>
              </w:rPr>
            </w:pPr>
            <w:r>
              <w:rPr>
                <w:rFonts w:hint="eastAsia"/>
                <w:color w:val="auto"/>
                <w:szCs w:val="21"/>
              </w:rPr>
              <w:t>根据《建设项目竣工环境保护验收暂行办法》的规定，建设项目竣工后，建设单位应当如实查验、监测、记载建设项目环境保护设施的建设和调试情况，编制验收监测报告表。</w:t>
            </w:r>
          </w:p>
          <w:p w14:paraId="5A2E6D6A">
            <w:pPr>
              <w:pStyle w:val="55"/>
              <w:spacing w:line="240" w:lineRule="auto"/>
              <w:ind w:firstLine="0" w:firstLineChars="0"/>
              <w:rPr>
                <w:rFonts w:hint="eastAsia"/>
                <w:b/>
                <w:bCs/>
                <w:color w:val="auto"/>
                <w:szCs w:val="21"/>
              </w:rPr>
            </w:pPr>
            <w:r>
              <w:rPr>
                <w:rFonts w:hint="eastAsia"/>
                <w:b/>
                <w:bCs/>
                <w:color w:val="auto"/>
                <w:szCs w:val="21"/>
              </w:rPr>
              <w:t>2、排污许可管理要求</w:t>
            </w:r>
          </w:p>
          <w:p w14:paraId="3CA47EC5">
            <w:pPr>
              <w:pStyle w:val="55"/>
              <w:spacing w:line="240" w:lineRule="auto"/>
              <w:rPr>
                <w:color w:val="auto"/>
                <w:szCs w:val="21"/>
              </w:rPr>
            </w:pPr>
            <w:r>
              <w:rPr>
                <w:rFonts w:hint="eastAsia"/>
                <w:color w:val="auto"/>
                <w:szCs w:val="21"/>
              </w:rPr>
              <w:t>根据《固定污染源排污许可分类管理名录(2019年版)》(生态环境部 第11号)可知，本项目实行排污许可登记管理(详见</w:t>
            </w:r>
            <w:r>
              <w:rPr>
                <w:color w:val="auto"/>
                <w:szCs w:val="21"/>
              </w:rPr>
              <w:fldChar w:fldCharType="begin"/>
            </w:r>
            <w:r>
              <w:rPr>
                <w:color w:val="auto"/>
              </w:rPr>
              <w:instrText xml:space="preserve"> REF _Ref91584184 \r \h  \* MERGEFORMAT</w:instrText>
            </w:r>
            <w:r>
              <w:rPr>
                <w:color w:val="auto"/>
                <w:szCs w:val="21"/>
              </w:rPr>
              <w:fldChar w:fldCharType="separate"/>
            </w:r>
            <w:r>
              <w:rPr>
                <w:rFonts w:hint="eastAsia"/>
                <w:color w:val="auto"/>
                <w:szCs w:val="21"/>
              </w:rPr>
              <w:t>表5.1-1</w:t>
            </w:r>
            <w:r>
              <w:rPr>
                <w:color w:val="auto"/>
                <w:szCs w:val="21"/>
              </w:rPr>
              <w:fldChar w:fldCharType="end"/>
            </w:r>
            <w:r>
              <w:rPr>
                <w:rFonts w:hint="eastAsia"/>
                <w:color w:val="auto"/>
                <w:szCs w:val="21"/>
              </w:rPr>
              <w:t>)；因此，建设单位应当在启动生产设施或者发生实际排污之前在全国排污许可证管理信息平台进行排污许可登记。</w:t>
            </w:r>
          </w:p>
          <w:p w14:paraId="7DB03C91">
            <w:pPr>
              <w:pStyle w:val="59"/>
              <w:numPr>
                <w:ilvl w:val="3"/>
                <w:numId w:val="7"/>
              </w:numPr>
              <w:rPr>
                <w:rFonts w:ascii="Times New Roman" w:hAnsi="Times New Roman" w:cs="Times New Roman"/>
                <w:color w:val="auto"/>
              </w:rPr>
            </w:pPr>
            <w:bookmarkStart w:id="54" w:name="_Ref90046750"/>
            <w:bookmarkStart w:id="55" w:name="_Ref91584184"/>
            <w:r>
              <w:rPr>
                <w:rFonts w:hint="eastAsia"/>
                <w:color w:val="auto"/>
              </w:rPr>
              <w:t>固定污染源排污许可分类管理名录</w:t>
            </w:r>
            <w:bookmarkEnd w:id="54"/>
            <w:r>
              <w:rPr>
                <w:rFonts w:hint="eastAsia"/>
                <w:color w:val="auto"/>
              </w:rPr>
              <w:t>（摘录）</w:t>
            </w:r>
            <w:bookmarkEnd w:id="55"/>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19"/>
              <w:gridCol w:w="658"/>
              <w:gridCol w:w="966"/>
              <w:gridCol w:w="4666"/>
              <w:gridCol w:w="717"/>
            </w:tblGrid>
            <w:tr w14:paraId="216533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45" w:type="pct"/>
                  <w:noWrap w:val="0"/>
                  <w:vAlign w:val="center"/>
                </w:tcPr>
                <w:p w14:paraId="19B8820A">
                  <w:pPr>
                    <w:pStyle w:val="74"/>
                    <w:rPr>
                      <w:color w:val="auto"/>
                    </w:rPr>
                  </w:pPr>
                  <w:r>
                    <w:rPr>
                      <w:rFonts w:hint="eastAsia"/>
                      <w:color w:val="auto"/>
                    </w:rPr>
                    <w:t>序号</w:t>
                  </w:r>
                </w:p>
              </w:tc>
              <w:tc>
                <w:tcPr>
                  <w:tcW w:w="437" w:type="pct"/>
                  <w:noWrap w:val="0"/>
                  <w:vAlign w:val="center"/>
                </w:tcPr>
                <w:p w14:paraId="4BA293C5">
                  <w:pPr>
                    <w:pStyle w:val="74"/>
                    <w:rPr>
                      <w:color w:val="auto"/>
                    </w:rPr>
                  </w:pPr>
                  <w:r>
                    <w:rPr>
                      <w:rFonts w:hint="eastAsia"/>
                      <w:color w:val="auto"/>
                    </w:rPr>
                    <w:t>行业类别</w:t>
                  </w:r>
                </w:p>
              </w:tc>
              <w:tc>
                <w:tcPr>
                  <w:tcW w:w="642" w:type="pct"/>
                  <w:noWrap w:val="0"/>
                  <w:vAlign w:val="center"/>
                </w:tcPr>
                <w:p w14:paraId="53C89AF9">
                  <w:pPr>
                    <w:pStyle w:val="74"/>
                    <w:rPr>
                      <w:rFonts w:hint="eastAsia"/>
                      <w:color w:val="auto"/>
                    </w:rPr>
                  </w:pPr>
                  <w:r>
                    <w:rPr>
                      <w:rFonts w:hint="eastAsia"/>
                      <w:color w:val="auto"/>
                    </w:rPr>
                    <w:t>重点</w:t>
                  </w:r>
                </w:p>
                <w:p w14:paraId="2D691234">
                  <w:pPr>
                    <w:pStyle w:val="74"/>
                    <w:rPr>
                      <w:color w:val="auto"/>
                    </w:rPr>
                  </w:pPr>
                  <w:r>
                    <w:rPr>
                      <w:rFonts w:hint="eastAsia"/>
                      <w:color w:val="auto"/>
                    </w:rPr>
                    <w:t>管理</w:t>
                  </w:r>
                </w:p>
              </w:tc>
              <w:tc>
                <w:tcPr>
                  <w:tcW w:w="3100" w:type="pct"/>
                  <w:noWrap w:val="0"/>
                  <w:vAlign w:val="center"/>
                </w:tcPr>
                <w:p w14:paraId="7B896261">
                  <w:pPr>
                    <w:pStyle w:val="74"/>
                    <w:rPr>
                      <w:color w:val="auto"/>
                    </w:rPr>
                  </w:pPr>
                  <w:r>
                    <w:rPr>
                      <w:rFonts w:hint="eastAsia"/>
                      <w:color w:val="auto"/>
                    </w:rPr>
                    <w:t>简化管理</w:t>
                  </w:r>
                </w:p>
              </w:tc>
              <w:tc>
                <w:tcPr>
                  <w:tcW w:w="476" w:type="pct"/>
                  <w:noWrap w:val="0"/>
                  <w:vAlign w:val="center"/>
                </w:tcPr>
                <w:p w14:paraId="2325B6C0">
                  <w:pPr>
                    <w:pStyle w:val="74"/>
                    <w:rPr>
                      <w:color w:val="auto"/>
                    </w:rPr>
                  </w:pPr>
                  <w:r>
                    <w:rPr>
                      <w:rFonts w:hint="eastAsia"/>
                      <w:color w:val="auto"/>
                    </w:rPr>
                    <w:t>登记管理</w:t>
                  </w:r>
                </w:p>
              </w:tc>
            </w:tr>
            <w:tr w14:paraId="20C8A5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5000" w:type="pct"/>
                  <w:gridSpan w:val="5"/>
                  <w:noWrap w:val="0"/>
                  <w:vAlign w:val="center"/>
                </w:tcPr>
                <w:p w14:paraId="6E0B1638">
                  <w:pPr>
                    <w:pStyle w:val="74"/>
                    <w:jc w:val="both"/>
                    <w:rPr>
                      <w:color w:val="auto"/>
                    </w:rPr>
                  </w:pPr>
                  <w:r>
                    <w:rPr>
                      <w:rFonts w:hint="eastAsia"/>
                      <w:color w:val="auto"/>
                    </w:rPr>
                    <w:t>二十四、橡胶和塑料制品业29</w:t>
                  </w:r>
                </w:p>
              </w:tc>
            </w:tr>
            <w:tr w14:paraId="205568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345" w:type="pct"/>
                  <w:noWrap w:val="0"/>
                  <w:vAlign w:val="center"/>
                </w:tcPr>
                <w:p w14:paraId="2A4B743C">
                  <w:pPr>
                    <w:pStyle w:val="74"/>
                    <w:rPr>
                      <w:color w:val="auto"/>
                    </w:rPr>
                  </w:pPr>
                  <w:r>
                    <w:rPr>
                      <w:rFonts w:hint="eastAsia"/>
                      <w:color w:val="auto"/>
                    </w:rPr>
                    <w:t>62</w:t>
                  </w:r>
                </w:p>
              </w:tc>
              <w:tc>
                <w:tcPr>
                  <w:tcW w:w="437" w:type="pct"/>
                  <w:noWrap w:val="0"/>
                  <w:vAlign w:val="center"/>
                </w:tcPr>
                <w:p w14:paraId="268513C0">
                  <w:pPr>
                    <w:pStyle w:val="74"/>
                    <w:rPr>
                      <w:color w:val="auto"/>
                    </w:rPr>
                  </w:pPr>
                  <w:r>
                    <w:rPr>
                      <w:rFonts w:hint="eastAsia"/>
                      <w:color w:val="auto"/>
                    </w:rPr>
                    <w:t>塑料制品业292</w:t>
                  </w:r>
                </w:p>
              </w:tc>
              <w:tc>
                <w:tcPr>
                  <w:tcW w:w="642" w:type="pct"/>
                  <w:noWrap w:val="0"/>
                  <w:vAlign w:val="center"/>
                </w:tcPr>
                <w:p w14:paraId="127252A4">
                  <w:pPr>
                    <w:pStyle w:val="74"/>
                    <w:rPr>
                      <w:color w:val="auto"/>
                    </w:rPr>
                  </w:pPr>
                  <w:r>
                    <w:rPr>
                      <w:rFonts w:hint="eastAsia"/>
                      <w:color w:val="auto"/>
                    </w:rPr>
                    <w:t>塑料人造革、合成革制造2925</w:t>
                  </w:r>
                </w:p>
              </w:tc>
              <w:tc>
                <w:tcPr>
                  <w:tcW w:w="3100" w:type="pct"/>
                  <w:noWrap w:val="0"/>
                  <w:vAlign w:val="center"/>
                </w:tcPr>
                <w:p w14:paraId="5D9F2FB4">
                  <w:pPr>
                    <w:pStyle w:val="74"/>
                    <w:rPr>
                      <w:color w:val="auto"/>
                    </w:rPr>
                  </w:pPr>
                  <w:r>
                    <w:rPr>
                      <w:rFonts w:hint="eastAsia"/>
                      <w:color w:val="auto"/>
                    </w:rPr>
                    <w:t>年产1万吨及以上的泡沫塑料制</w:t>
                  </w:r>
                  <w:r>
                    <w:rPr>
                      <w:rFonts w:hint="eastAsia"/>
                      <w:color w:val="auto"/>
                      <w:lang w:eastAsia="zh-CN"/>
                    </w:rPr>
                    <w:t>品</w:t>
                  </w:r>
                  <w:r>
                    <w:rPr>
                      <w:rFonts w:hint="eastAsia"/>
                      <w:color w:val="auto"/>
                    </w:rPr>
                    <w:t>2924，年产1万吨及以上涉及改性的塑料薄膜制造2921、</w:t>
                  </w:r>
                  <w:r>
                    <w:rPr>
                      <w:rFonts w:hint="eastAsia"/>
                      <w:b/>
                      <w:bCs/>
                      <w:color w:val="auto"/>
                    </w:rPr>
                    <w:t>塑料板、管、型材制造2922、</w:t>
                  </w:r>
                  <w:r>
                    <w:rPr>
                      <w:rFonts w:hint="eastAsia"/>
                      <w:color w:val="auto"/>
                    </w:rPr>
                    <w:t>塑料丝、绳和编织品制造2923、塑料包装箱及容器制造2926、日用塑料品制造2927、人造草坪制造2928、塑料零件及其他塑料制品制造2929</w:t>
                  </w:r>
                </w:p>
              </w:tc>
              <w:tc>
                <w:tcPr>
                  <w:tcW w:w="476" w:type="pct"/>
                  <w:noWrap w:val="0"/>
                  <w:vAlign w:val="center"/>
                </w:tcPr>
                <w:p w14:paraId="00FB63D3">
                  <w:pPr>
                    <w:pStyle w:val="74"/>
                    <w:rPr>
                      <w:color w:val="auto"/>
                    </w:rPr>
                  </w:pPr>
                  <w:r>
                    <w:rPr>
                      <w:rFonts w:hint="eastAsia"/>
                      <w:color w:val="auto"/>
                    </w:rPr>
                    <w:t>其他</w:t>
                  </w:r>
                </w:p>
              </w:tc>
            </w:tr>
          </w:tbl>
          <w:p w14:paraId="4840A9D9">
            <w:pPr>
              <w:pStyle w:val="55"/>
              <w:spacing w:line="240" w:lineRule="auto"/>
              <w:ind w:firstLine="0" w:firstLineChars="0"/>
              <w:rPr>
                <w:rFonts w:hint="eastAsia"/>
                <w:b/>
                <w:bCs/>
                <w:color w:val="auto"/>
                <w:szCs w:val="21"/>
              </w:rPr>
            </w:pPr>
            <w:r>
              <w:rPr>
                <w:rFonts w:hint="eastAsia"/>
                <w:b/>
                <w:bCs/>
                <w:color w:val="auto"/>
                <w:szCs w:val="21"/>
              </w:rPr>
              <w:t>3、排污口规范化管理要求</w:t>
            </w:r>
          </w:p>
          <w:p w14:paraId="7D5BD0B2">
            <w:pPr>
              <w:pStyle w:val="55"/>
              <w:spacing w:line="240" w:lineRule="auto"/>
              <w:rPr>
                <w:color w:val="auto"/>
                <w:szCs w:val="21"/>
              </w:rPr>
            </w:pPr>
            <w:r>
              <w:rPr>
                <w:rFonts w:hint="eastAsia"/>
                <w:color w:val="auto"/>
                <w:szCs w:val="21"/>
              </w:rPr>
              <w:t>项目排污口规范化图标按照《环境保护图形标志—排放口（源）》(GB15563.1-1995)要求进行，具体详见</w:t>
            </w:r>
            <w:r>
              <w:rPr>
                <w:color w:val="auto"/>
                <w:szCs w:val="21"/>
              </w:rPr>
              <w:fldChar w:fldCharType="begin"/>
            </w:r>
            <w:r>
              <w:rPr>
                <w:color w:val="auto"/>
              </w:rPr>
              <w:instrText xml:space="preserve"> REF _Ref91584191 \r \h  \* MERGEFORMAT</w:instrText>
            </w:r>
            <w:r>
              <w:rPr>
                <w:color w:val="auto"/>
                <w:szCs w:val="21"/>
              </w:rPr>
              <w:fldChar w:fldCharType="separate"/>
            </w:r>
            <w:r>
              <w:rPr>
                <w:rFonts w:hint="eastAsia"/>
                <w:color w:val="auto"/>
                <w:szCs w:val="21"/>
              </w:rPr>
              <w:t>表5.1-2</w:t>
            </w:r>
            <w:r>
              <w:rPr>
                <w:color w:val="auto"/>
                <w:szCs w:val="21"/>
              </w:rPr>
              <w:fldChar w:fldCharType="end"/>
            </w:r>
            <w:r>
              <w:rPr>
                <w:rFonts w:hint="eastAsia"/>
                <w:color w:val="auto"/>
                <w:szCs w:val="21"/>
              </w:rPr>
              <w:t>。</w:t>
            </w:r>
          </w:p>
          <w:p w14:paraId="263A5FB6">
            <w:pPr>
              <w:pStyle w:val="59"/>
              <w:numPr>
                <w:ilvl w:val="3"/>
                <w:numId w:val="7"/>
              </w:numPr>
              <w:rPr>
                <w:rFonts w:ascii="Times New Roman" w:hAnsi="Times New Roman" w:cs="Times New Roman"/>
                <w:color w:val="auto"/>
              </w:rPr>
            </w:pPr>
            <w:bookmarkStart w:id="56" w:name="_Ref91584191"/>
            <w:r>
              <w:rPr>
                <w:rFonts w:hint="eastAsia" w:ascii="Times New Roman" w:hAnsi="Times New Roman" w:cs="Times New Roman"/>
                <w:color w:val="auto"/>
              </w:rPr>
              <w:t>排污口图形符号（提示标志）一览表</w:t>
            </w:r>
            <w:bookmarkEnd w:id="56"/>
          </w:p>
          <w:tbl>
            <w:tblPr>
              <w:tblStyle w:val="2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837"/>
              <w:gridCol w:w="1338"/>
              <w:gridCol w:w="1337"/>
              <w:gridCol w:w="1337"/>
              <w:gridCol w:w="1340"/>
              <w:gridCol w:w="1337"/>
            </w:tblGrid>
            <w:tr w14:paraId="53E292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556" w:type="pct"/>
                  <w:noWrap w:val="0"/>
                  <w:vAlign w:val="center"/>
                </w:tcPr>
                <w:p w14:paraId="3E7B3117">
                  <w:pPr>
                    <w:pStyle w:val="74"/>
                    <w:rPr>
                      <w:color w:val="auto"/>
                    </w:rPr>
                  </w:pPr>
                  <w:r>
                    <w:rPr>
                      <w:color w:val="auto"/>
                    </w:rPr>
                    <w:t>排放口</w:t>
                  </w:r>
                </w:p>
              </w:tc>
              <w:tc>
                <w:tcPr>
                  <w:tcW w:w="889" w:type="pct"/>
                  <w:noWrap w:val="0"/>
                  <w:vAlign w:val="center"/>
                </w:tcPr>
                <w:p w14:paraId="1CD8615D">
                  <w:pPr>
                    <w:pStyle w:val="74"/>
                    <w:rPr>
                      <w:color w:val="auto"/>
                    </w:rPr>
                  </w:pPr>
                  <w:r>
                    <w:rPr>
                      <w:color w:val="auto"/>
                    </w:rPr>
                    <w:t>废水排放</w:t>
                  </w:r>
                </w:p>
              </w:tc>
              <w:tc>
                <w:tcPr>
                  <w:tcW w:w="888" w:type="pct"/>
                  <w:noWrap w:val="0"/>
                  <w:vAlign w:val="center"/>
                </w:tcPr>
                <w:p w14:paraId="29228154">
                  <w:pPr>
                    <w:pStyle w:val="74"/>
                    <w:rPr>
                      <w:color w:val="auto"/>
                    </w:rPr>
                  </w:pPr>
                  <w:r>
                    <w:rPr>
                      <w:color w:val="auto"/>
                    </w:rPr>
                    <w:t>废气排放</w:t>
                  </w:r>
                </w:p>
              </w:tc>
              <w:tc>
                <w:tcPr>
                  <w:tcW w:w="888" w:type="pct"/>
                  <w:noWrap w:val="0"/>
                  <w:vAlign w:val="center"/>
                </w:tcPr>
                <w:p w14:paraId="355C8079">
                  <w:pPr>
                    <w:pStyle w:val="74"/>
                    <w:rPr>
                      <w:color w:val="auto"/>
                    </w:rPr>
                  </w:pPr>
                  <w:r>
                    <w:rPr>
                      <w:color w:val="auto"/>
                    </w:rPr>
                    <w:t>噪声源</w:t>
                  </w:r>
                </w:p>
              </w:tc>
              <w:tc>
                <w:tcPr>
                  <w:tcW w:w="890" w:type="pct"/>
                  <w:noWrap w:val="0"/>
                  <w:vAlign w:val="center"/>
                </w:tcPr>
                <w:p w14:paraId="0C2F0B76">
                  <w:pPr>
                    <w:pStyle w:val="74"/>
                    <w:rPr>
                      <w:color w:val="auto"/>
                    </w:rPr>
                  </w:pPr>
                  <w:r>
                    <w:rPr>
                      <w:color w:val="auto"/>
                    </w:rPr>
                    <w:t>一般固体废物</w:t>
                  </w:r>
                </w:p>
              </w:tc>
              <w:tc>
                <w:tcPr>
                  <w:tcW w:w="888" w:type="pct"/>
                  <w:noWrap w:val="0"/>
                  <w:vAlign w:val="center"/>
                </w:tcPr>
                <w:p w14:paraId="017D2746">
                  <w:pPr>
                    <w:pStyle w:val="74"/>
                    <w:rPr>
                      <w:color w:val="auto"/>
                    </w:rPr>
                  </w:pPr>
                  <w:r>
                    <w:rPr>
                      <w:color w:val="auto"/>
                    </w:rPr>
                    <w:t>危险废物</w:t>
                  </w:r>
                </w:p>
              </w:tc>
            </w:tr>
            <w:tr w14:paraId="164B62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556" w:type="pct"/>
                  <w:noWrap w:val="0"/>
                  <w:vAlign w:val="center"/>
                </w:tcPr>
                <w:p w14:paraId="01D7E7BE">
                  <w:pPr>
                    <w:pStyle w:val="74"/>
                    <w:rPr>
                      <w:color w:val="auto"/>
                    </w:rPr>
                  </w:pPr>
                  <w:r>
                    <w:rPr>
                      <w:color w:val="auto"/>
                    </w:rPr>
                    <w:t>图形符号</w:t>
                  </w:r>
                </w:p>
              </w:tc>
              <w:tc>
                <w:tcPr>
                  <w:tcW w:w="889" w:type="pct"/>
                  <w:noWrap w:val="0"/>
                  <w:vAlign w:val="center"/>
                </w:tcPr>
                <w:p w14:paraId="464F6430">
                  <w:pPr>
                    <w:pStyle w:val="74"/>
                    <w:rPr>
                      <w:color w:val="auto"/>
                    </w:rPr>
                  </w:pPr>
                  <w:r>
                    <w:rPr>
                      <w:color w:val="auto"/>
                    </w:rPr>
                    <w:drawing>
                      <wp:inline distT="0" distB="0" distL="114300" distR="114300">
                        <wp:extent cx="756285" cy="756285"/>
                        <wp:effectExtent l="0" t="0" r="5715" b="5715"/>
                        <wp:docPr id="17" name="图片 42" descr="说明: 说明: 说明: b_2009922105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2" descr="说明: 说明: 说明: b_2009922105912"/>
                                <pic:cNvPicPr>
                                  <a:picLocks noChangeAspect="1"/>
                                </pic:cNvPicPr>
                              </pic:nvPicPr>
                              <pic:blipFill>
                                <a:blip r:embed="rId37"/>
                                <a:stretch>
                                  <a:fillRect/>
                                </a:stretch>
                              </pic:blipFill>
                              <pic:spPr>
                                <a:xfrm>
                                  <a:off x="0" y="0"/>
                                  <a:ext cx="756285" cy="756285"/>
                                </a:xfrm>
                                <a:prstGeom prst="rect">
                                  <a:avLst/>
                                </a:prstGeom>
                                <a:noFill/>
                                <a:ln>
                                  <a:noFill/>
                                </a:ln>
                              </pic:spPr>
                            </pic:pic>
                          </a:graphicData>
                        </a:graphic>
                      </wp:inline>
                    </w:drawing>
                  </w:r>
                </w:p>
              </w:tc>
              <w:tc>
                <w:tcPr>
                  <w:tcW w:w="888" w:type="pct"/>
                  <w:noWrap w:val="0"/>
                  <w:vAlign w:val="center"/>
                </w:tcPr>
                <w:p w14:paraId="2047D4CD">
                  <w:pPr>
                    <w:pStyle w:val="74"/>
                    <w:rPr>
                      <w:color w:val="auto"/>
                    </w:rPr>
                  </w:pPr>
                  <w:r>
                    <w:rPr>
                      <w:color w:val="auto"/>
                    </w:rPr>
                    <w:drawing>
                      <wp:inline distT="0" distB="0" distL="114300" distR="114300">
                        <wp:extent cx="756285" cy="756285"/>
                        <wp:effectExtent l="0" t="0" r="5715" b="5715"/>
                        <wp:docPr id="18" name="图片 41" descr="说明: 说明: 说明: 13003_disp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1" descr="说明: 说明: 说明: 13003_disp100"/>
                                <pic:cNvPicPr>
                                  <a:picLocks noChangeAspect="1"/>
                                </pic:cNvPicPr>
                              </pic:nvPicPr>
                              <pic:blipFill>
                                <a:blip r:embed="rId38"/>
                                <a:stretch>
                                  <a:fillRect/>
                                </a:stretch>
                              </pic:blipFill>
                              <pic:spPr>
                                <a:xfrm>
                                  <a:off x="0" y="0"/>
                                  <a:ext cx="756285" cy="756285"/>
                                </a:xfrm>
                                <a:prstGeom prst="rect">
                                  <a:avLst/>
                                </a:prstGeom>
                                <a:noFill/>
                                <a:ln>
                                  <a:noFill/>
                                </a:ln>
                              </pic:spPr>
                            </pic:pic>
                          </a:graphicData>
                        </a:graphic>
                      </wp:inline>
                    </w:drawing>
                  </w:r>
                </w:p>
              </w:tc>
              <w:tc>
                <w:tcPr>
                  <w:tcW w:w="888" w:type="pct"/>
                  <w:noWrap w:val="0"/>
                  <w:vAlign w:val="center"/>
                </w:tcPr>
                <w:p w14:paraId="727B179C">
                  <w:pPr>
                    <w:pStyle w:val="74"/>
                    <w:rPr>
                      <w:color w:val="auto"/>
                    </w:rPr>
                  </w:pPr>
                  <w:r>
                    <w:rPr>
                      <w:color w:val="auto"/>
                    </w:rPr>
                    <w:drawing>
                      <wp:inline distT="0" distB="0" distL="114300" distR="114300">
                        <wp:extent cx="756285" cy="756285"/>
                        <wp:effectExtent l="0" t="0" r="5715" b="5715"/>
                        <wp:docPr id="19" name="图片 34" descr="说明: 说明: 说明: 13005_disp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4" descr="说明: 说明: 说明: 13005_disp100"/>
                                <pic:cNvPicPr>
                                  <a:picLocks noChangeAspect="1"/>
                                </pic:cNvPicPr>
                              </pic:nvPicPr>
                              <pic:blipFill>
                                <a:blip r:embed="rId39"/>
                                <a:stretch>
                                  <a:fillRect/>
                                </a:stretch>
                              </pic:blipFill>
                              <pic:spPr>
                                <a:xfrm>
                                  <a:off x="0" y="0"/>
                                  <a:ext cx="756285" cy="756285"/>
                                </a:xfrm>
                                <a:prstGeom prst="rect">
                                  <a:avLst/>
                                </a:prstGeom>
                                <a:noFill/>
                                <a:ln>
                                  <a:noFill/>
                                </a:ln>
                              </pic:spPr>
                            </pic:pic>
                          </a:graphicData>
                        </a:graphic>
                      </wp:inline>
                    </w:drawing>
                  </w:r>
                </w:p>
              </w:tc>
              <w:tc>
                <w:tcPr>
                  <w:tcW w:w="890" w:type="pct"/>
                  <w:noWrap w:val="0"/>
                  <w:vAlign w:val="center"/>
                </w:tcPr>
                <w:p w14:paraId="45EF04A9">
                  <w:pPr>
                    <w:pStyle w:val="74"/>
                    <w:rPr>
                      <w:color w:val="auto"/>
                    </w:rPr>
                  </w:pPr>
                  <w:r>
                    <w:rPr>
                      <w:color w:val="auto"/>
                    </w:rPr>
                    <w:drawing>
                      <wp:inline distT="0" distB="0" distL="114300" distR="114300">
                        <wp:extent cx="640080" cy="640715"/>
                        <wp:effectExtent l="0" t="0" r="7620" b="6985"/>
                        <wp:docPr id="20" name="图片 757" descr="一般固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57" descr="一般固废"/>
                                <pic:cNvPicPr>
                                  <a:picLocks noChangeAspect="1"/>
                                </pic:cNvPicPr>
                              </pic:nvPicPr>
                              <pic:blipFill>
                                <a:blip r:embed="rId40"/>
                                <a:stretch>
                                  <a:fillRect/>
                                </a:stretch>
                              </pic:blipFill>
                              <pic:spPr>
                                <a:xfrm>
                                  <a:off x="0" y="0"/>
                                  <a:ext cx="640080" cy="640715"/>
                                </a:xfrm>
                                <a:prstGeom prst="rect">
                                  <a:avLst/>
                                </a:prstGeom>
                                <a:noFill/>
                                <a:ln>
                                  <a:noFill/>
                                </a:ln>
                              </pic:spPr>
                            </pic:pic>
                          </a:graphicData>
                        </a:graphic>
                      </wp:inline>
                    </w:drawing>
                  </w:r>
                </w:p>
              </w:tc>
              <w:tc>
                <w:tcPr>
                  <w:tcW w:w="888" w:type="pct"/>
                  <w:noWrap w:val="0"/>
                  <w:vAlign w:val="center"/>
                </w:tcPr>
                <w:p w14:paraId="4E224809">
                  <w:pPr>
                    <w:pStyle w:val="74"/>
                    <w:rPr>
                      <w:color w:val="auto"/>
                    </w:rPr>
                  </w:pP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INCLUDEPICTURE  "L:\\WeChat Files\\wxid_31o7r0mk0a5d22\\FileStorage\\ADMINI~1\\AppData\\Local\\Temp\\ksohtml14976\\wps5.jpg" \* MERGEFORMATINET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drawing>
                      <wp:inline distT="0" distB="0" distL="114300" distR="114300">
                        <wp:extent cx="791210" cy="662305"/>
                        <wp:effectExtent l="0" t="0" r="889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1" r:link="rId42"/>
                                <a:stretch>
                                  <a:fillRect/>
                                </a:stretch>
                              </pic:blipFill>
                              <pic:spPr>
                                <a:xfrm>
                                  <a:off x="0" y="0"/>
                                  <a:ext cx="791210" cy="662305"/>
                                </a:xfrm>
                                <a:prstGeom prst="rect">
                                  <a:avLst/>
                                </a:prstGeom>
                                <a:noFill/>
                                <a:ln>
                                  <a:noFill/>
                                </a:ln>
                              </pic:spPr>
                            </pic:pic>
                          </a:graphicData>
                        </a:graphic>
                      </wp:inline>
                    </w:drawing>
                  </w:r>
                  <w:r>
                    <w:rPr>
                      <w:rFonts w:hint="default" w:ascii="Times New Roman" w:hAnsi="Times New Roman" w:eastAsia="宋体" w:cs="Times New Roman"/>
                      <w:color w:val="auto"/>
                      <w:sz w:val="21"/>
                      <w:szCs w:val="21"/>
                    </w:rPr>
                    <w:fldChar w:fldCharType="end"/>
                  </w:r>
                </w:p>
              </w:tc>
            </w:tr>
            <w:tr w14:paraId="79692C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556" w:type="pct"/>
                  <w:noWrap w:val="0"/>
                  <w:vAlign w:val="center"/>
                </w:tcPr>
                <w:p w14:paraId="345DC1C2">
                  <w:pPr>
                    <w:pStyle w:val="74"/>
                    <w:rPr>
                      <w:color w:val="auto"/>
                    </w:rPr>
                  </w:pPr>
                  <w:r>
                    <w:rPr>
                      <w:rFonts w:hint="eastAsia"/>
                      <w:color w:val="auto"/>
                    </w:rPr>
                    <w:t>形状</w:t>
                  </w:r>
                </w:p>
              </w:tc>
              <w:tc>
                <w:tcPr>
                  <w:tcW w:w="889" w:type="pct"/>
                  <w:noWrap w:val="0"/>
                  <w:vAlign w:val="center"/>
                </w:tcPr>
                <w:p w14:paraId="68BCE666">
                  <w:pPr>
                    <w:pStyle w:val="74"/>
                    <w:rPr>
                      <w:color w:val="auto"/>
                    </w:rPr>
                  </w:pPr>
                  <w:r>
                    <w:rPr>
                      <w:rFonts w:hint="eastAsia"/>
                      <w:color w:val="auto"/>
                    </w:rPr>
                    <w:t>正方形边框</w:t>
                  </w:r>
                </w:p>
              </w:tc>
              <w:tc>
                <w:tcPr>
                  <w:tcW w:w="888" w:type="pct"/>
                  <w:noWrap w:val="0"/>
                  <w:vAlign w:val="center"/>
                </w:tcPr>
                <w:p w14:paraId="3761A3E8">
                  <w:pPr>
                    <w:pStyle w:val="74"/>
                    <w:rPr>
                      <w:color w:val="auto"/>
                    </w:rPr>
                  </w:pPr>
                  <w:r>
                    <w:rPr>
                      <w:rFonts w:hint="eastAsia"/>
                      <w:color w:val="auto"/>
                    </w:rPr>
                    <w:t>正方形边框</w:t>
                  </w:r>
                </w:p>
              </w:tc>
              <w:tc>
                <w:tcPr>
                  <w:tcW w:w="888" w:type="pct"/>
                  <w:noWrap w:val="0"/>
                  <w:vAlign w:val="center"/>
                </w:tcPr>
                <w:p w14:paraId="4BA5D670">
                  <w:pPr>
                    <w:pStyle w:val="74"/>
                    <w:rPr>
                      <w:color w:val="auto"/>
                    </w:rPr>
                  </w:pPr>
                  <w:r>
                    <w:rPr>
                      <w:rFonts w:hint="eastAsia"/>
                      <w:color w:val="auto"/>
                    </w:rPr>
                    <w:t>正方形边框</w:t>
                  </w:r>
                </w:p>
              </w:tc>
              <w:tc>
                <w:tcPr>
                  <w:tcW w:w="890" w:type="pct"/>
                  <w:noWrap w:val="0"/>
                  <w:vAlign w:val="center"/>
                </w:tcPr>
                <w:p w14:paraId="705D5F9E">
                  <w:pPr>
                    <w:pStyle w:val="74"/>
                    <w:rPr>
                      <w:color w:val="auto"/>
                    </w:rPr>
                  </w:pPr>
                  <w:r>
                    <w:rPr>
                      <w:rFonts w:hint="eastAsia"/>
                      <w:color w:val="auto"/>
                    </w:rPr>
                    <w:t>三角形边框</w:t>
                  </w:r>
                </w:p>
              </w:tc>
              <w:tc>
                <w:tcPr>
                  <w:tcW w:w="888" w:type="pct"/>
                  <w:noWrap w:val="0"/>
                  <w:vAlign w:val="center"/>
                </w:tcPr>
                <w:p w14:paraId="23B80D72">
                  <w:pPr>
                    <w:pStyle w:val="74"/>
                    <w:rPr>
                      <w:color w:val="auto"/>
                    </w:rPr>
                  </w:pPr>
                  <w:r>
                    <w:rPr>
                      <w:rFonts w:hint="eastAsia"/>
                      <w:color w:val="auto"/>
                    </w:rPr>
                    <w:t>三角形边框</w:t>
                  </w:r>
                </w:p>
              </w:tc>
            </w:tr>
            <w:tr w14:paraId="3C694D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556" w:type="pct"/>
                  <w:noWrap w:val="0"/>
                  <w:vAlign w:val="center"/>
                </w:tcPr>
                <w:p w14:paraId="443454B2">
                  <w:pPr>
                    <w:pStyle w:val="74"/>
                    <w:rPr>
                      <w:color w:val="auto"/>
                    </w:rPr>
                  </w:pPr>
                  <w:r>
                    <w:rPr>
                      <w:rFonts w:hint="eastAsia"/>
                      <w:color w:val="auto"/>
                    </w:rPr>
                    <w:t>背景颜色</w:t>
                  </w:r>
                </w:p>
              </w:tc>
              <w:tc>
                <w:tcPr>
                  <w:tcW w:w="889" w:type="pct"/>
                  <w:noWrap w:val="0"/>
                  <w:vAlign w:val="center"/>
                </w:tcPr>
                <w:p w14:paraId="46D6B564">
                  <w:pPr>
                    <w:pStyle w:val="74"/>
                    <w:rPr>
                      <w:color w:val="auto"/>
                    </w:rPr>
                  </w:pPr>
                  <w:r>
                    <w:rPr>
                      <w:rFonts w:hint="eastAsia"/>
                      <w:color w:val="auto"/>
                    </w:rPr>
                    <w:t>绿色</w:t>
                  </w:r>
                </w:p>
              </w:tc>
              <w:tc>
                <w:tcPr>
                  <w:tcW w:w="888" w:type="pct"/>
                  <w:noWrap w:val="0"/>
                  <w:vAlign w:val="center"/>
                </w:tcPr>
                <w:p w14:paraId="2EC246B2">
                  <w:pPr>
                    <w:pStyle w:val="74"/>
                    <w:rPr>
                      <w:color w:val="auto"/>
                    </w:rPr>
                  </w:pPr>
                  <w:r>
                    <w:rPr>
                      <w:rFonts w:hint="eastAsia"/>
                      <w:color w:val="auto"/>
                    </w:rPr>
                    <w:t>绿色</w:t>
                  </w:r>
                </w:p>
              </w:tc>
              <w:tc>
                <w:tcPr>
                  <w:tcW w:w="888" w:type="pct"/>
                  <w:noWrap w:val="0"/>
                  <w:vAlign w:val="center"/>
                </w:tcPr>
                <w:p w14:paraId="29DDB005">
                  <w:pPr>
                    <w:pStyle w:val="74"/>
                    <w:rPr>
                      <w:color w:val="auto"/>
                    </w:rPr>
                  </w:pPr>
                  <w:r>
                    <w:rPr>
                      <w:rFonts w:hint="eastAsia"/>
                      <w:color w:val="auto"/>
                    </w:rPr>
                    <w:t>绿色</w:t>
                  </w:r>
                </w:p>
              </w:tc>
              <w:tc>
                <w:tcPr>
                  <w:tcW w:w="890" w:type="pct"/>
                  <w:noWrap w:val="0"/>
                  <w:vAlign w:val="center"/>
                </w:tcPr>
                <w:p w14:paraId="140F1DB0">
                  <w:pPr>
                    <w:pStyle w:val="74"/>
                    <w:rPr>
                      <w:color w:val="auto"/>
                    </w:rPr>
                  </w:pPr>
                  <w:r>
                    <w:rPr>
                      <w:rFonts w:hint="eastAsia"/>
                      <w:color w:val="auto"/>
                    </w:rPr>
                    <w:t>黄色</w:t>
                  </w:r>
                </w:p>
              </w:tc>
              <w:tc>
                <w:tcPr>
                  <w:tcW w:w="888" w:type="pct"/>
                  <w:noWrap w:val="0"/>
                  <w:vAlign w:val="center"/>
                </w:tcPr>
                <w:p w14:paraId="5144A01E">
                  <w:pPr>
                    <w:pStyle w:val="74"/>
                    <w:rPr>
                      <w:color w:val="auto"/>
                    </w:rPr>
                  </w:pPr>
                  <w:r>
                    <w:rPr>
                      <w:rFonts w:hint="eastAsia"/>
                      <w:color w:val="auto"/>
                    </w:rPr>
                    <w:t>黄色</w:t>
                  </w:r>
                </w:p>
              </w:tc>
            </w:tr>
            <w:tr w14:paraId="35D3146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556" w:type="pct"/>
                  <w:noWrap w:val="0"/>
                  <w:vAlign w:val="center"/>
                </w:tcPr>
                <w:p w14:paraId="1B7981B6">
                  <w:pPr>
                    <w:pStyle w:val="74"/>
                    <w:rPr>
                      <w:color w:val="auto"/>
                    </w:rPr>
                  </w:pPr>
                  <w:r>
                    <w:rPr>
                      <w:rFonts w:hint="eastAsia"/>
                      <w:color w:val="auto"/>
                    </w:rPr>
                    <w:t>图形颜色</w:t>
                  </w:r>
                </w:p>
              </w:tc>
              <w:tc>
                <w:tcPr>
                  <w:tcW w:w="889" w:type="pct"/>
                  <w:noWrap w:val="0"/>
                  <w:vAlign w:val="center"/>
                </w:tcPr>
                <w:p w14:paraId="67718BCC">
                  <w:pPr>
                    <w:pStyle w:val="74"/>
                    <w:rPr>
                      <w:color w:val="auto"/>
                    </w:rPr>
                  </w:pPr>
                  <w:r>
                    <w:rPr>
                      <w:rFonts w:hint="eastAsia"/>
                      <w:color w:val="auto"/>
                    </w:rPr>
                    <w:t>白色</w:t>
                  </w:r>
                </w:p>
              </w:tc>
              <w:tc>
                <w:tcPr>
                  <w:tcW w:w="888" w:type="pct"/>
                  <w:noWrap w:val="0"/>
                  <w:vAlign w:val="center"/>
                </w:tcPr>
                <w:p w14:paraId="2C47C262">
                  <w:pPr>
                    <w:pStyle w:val="74"/>
                    <w:rPr>
                      <w:color w:val="auto"/>
                    </w:rPr>
                  </w:pPr>
                  <w:r>
                    <w:rPr>
                      <w:rFonts w:hint="eastAsia"/>
                      <w:color w:val="auto"/>
                    </w:rPr>
                    <w:t>白色</w:t>
                  </w:r>
                </w:p>
              </w:tc>
              <w:tc>
                <w:tcPr>
                  <w:tcW w:w="888" w:type="pct"/>
                  <w:noWrap w:val="0"/>
                  <w:vAlign w:val="center"/>
                </w:tcPr>
                <w:p w14:paraId="4354695A">
                  <w:pPr>
                    <w:pStyle w:val="74"/>
                    <w:rPr>
                      <w:color w:val="auto"/>
                    </w:rPr>
                  </w:pPr>
                  <w:r>
                    <w:rPr>
                      <w:rFonts w:hint="eastAsia"/>
                      <w:color w:val="auto"/>
                    </w:rPr>
                    <w:t>白色</w:t>
                  </w:r>
                </w:p>
              </w:tc>
              <w:tc>
                <w:tcPr>
                  <w:tcW w:w="890" w:type="pct"/>
                  <w:noWrap w:val="0"/>
                  <w:vAlign w:val="center"/>
                </w:tcPr>
                <w:p w14:paraId="284731C4">
                  <w:pPr>
                    <w:pStyle w:val="74"/>
                    <w:rPr>
                      <w:color w:val="auto"/>
                    </w:rPr>
                  </w:pPr>
                  <w:r>
                    <w:rPr>
                      <w:rFonts w:hint="eastAsia"/>
                      <w:color w:val="auto"/>
                    </w:rPr>
                    <w:t>黑色</w:t>
                  </w:r>
                </w:p>
              </w:tc>
              <w:tc>
                <w:tcPr>
                  <w:tcW w:w="888" w:type="pct"/>
                  <w:noWrap w:val="0"/>
                  <w:vAlign w:val="center"/>
                </w:tcPr>
                <w:p w14:paraId="2683B625">
                  <w:pPr>
                    <w:pStyle w:val="74"/>
                    <w:rPr>
                      <w:color w:val="auto"/>
                    </w:rPr>
                  </w:pPr>
                  <w:r>
                    <w:rPr>
                      <w:rFonts w:hint="eastAsia"/>
                      <w:color w:val="auto"/>
                    </w:rPr>
                    <w:t>黑色</w:t>
                  </w:r>
                </w:p>
              </w:tc>
            </w:tr>
          </w:tbl>
          <w:p w14:paraId="549C7FD5">
            <w:pPr>
              <w:pStyle w:val="55"/>
              <w:spacing w:line="240" w:lineRule="auto"/>
              <w:rPr>
                <w:rFonts w:hint="eastAsia"/>
                <w:color w:val="auto"/>
                <w:szCs w:val="21"/>
              </w:rPr>
            </w:pPr>
          </w:p>
        </w:tc>
      </w:tr>
    </w:tbl>
    <w:p w14:paraId="75218DB9">
      <w:pPr>
        <w:pStyle w:val="113"/>
        <w:adjustRightInd/>
        <w:snapToGrid/>
        <w:outlineLvl w:val="9"/>
        <w:rPr>
          <w:color w:val="auto"/>
          <w:kern w:val="21"/>
        </w:rPr>
      </w:pPr>
      <w:r>
        <w:rPr>
          <w:color w:val="auto"/>
        </w:rPr>
        <w:br w:type="page"/>
      </w:r>
    </w:p>
    <w:p w14:paraId="4835F41A">
      <w:pPr>
        <w:pStyle w:val="74"/>
        <w:rPr>
          <w:color w:val="auto"/>
        </w:rPr>
      </w:pPr>
      <w:r>
        <w:rPr>
          <w:rFonts w:hint="eastAsia" w:eastAsia="楷体_GB2312"/>
          <w:color w:val="auto"/>
          <w:sz w:val="28"/>
          <w:szCs w:val="28"/>
          <w:lang w:eastAsia="zh-CN"/>
        </w:rPr>
        <w:drawing>
          <wp:inline distT="0" distB="0" distL="114300" distR="114300">
            <wp:extent cx="5614670" cy="7940675"/>
            <wp:effectExtent l="0" t="0" r="5080" b="3175"/>
            <wp:docPr id="10" name="图片 10" descr="资质材料-艾迪恩_页面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资质材料-艾迪恩_页面_7"/>
                    <pic:cNvPicPr>
                      <a:picLocks noChangeAspect="1"/>
                    </pic:cNvPicPr>
                  </pic:nvPicPr>
                  <pic:blipFill>
                    <a:blip r:embed="rId43"/>
                    <a:stretch>
                      <a:fillRect/>
                    </a:stretch>
                  </pic:blipFill>
                  <pic:spPr>
                    <a:xfrm>
                      <a:off x="0" y="0"/>
                      <a:ext cx="5614670" cy="7940675"/>
                    </a:xfrm>
                    <a:prstGeom prst="rect">
                      <a:avLst/>
                    </a:prstGeom>
                  </pic:spPr>
                </pic:pic>
              </a:graphicData>
            </a:graphic>
          </wp:inline>
        </w:drawing>
      </w:r>
    </w:p>
    <w:p w14:paraId="7BE0070D">
      <w:pPr>
        <w:pStyle w:val="74"/>
        <w:rPr>
          <w:color w:val="auto"/>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type="linesAndChars" w:linePitch="312" w:charSpace="0"/>
        </w:sectPr>
      </w:pPr>
    </w:p>
    <w:p w14:paraId="5C905281">
      <w:pPr>
        <w:pStyle w:val="20"/>
        <w:adjustRightInd w:val="0"/>
        <w:snapToGrid w:val="0"/>
        <w:spacing w:before="0" w:beforeAutospacing="0" w:after="0" w:afterAutospacing="0"/>
        <w:outlineLvl w:val="0"/>
        <w:rPr>
          <w:rFonts w:ascii="Times New Roman" w:hAnsi="Times New Roman" w:eastAsia="黑体"/>
          <w:snapToGrid w:val="0"/>
          <w:color w:val="auto"/>
          <w:sz w:val="32"/>
          <w:szCs w:val="32"/>
        </w:rPr>
      </w:pPr>
      <w:r>
        <w:rPr>
          <w:rFonts w:ascii="Times New Roman" w:hAnsi="Times New Roman" w:eastAsia="黑体"/>
          <w:snapToGrid w:val="0"/>
          <w:color w:val="auto"/>
          <w:sz w:val="32"/>
          <w:szCs w:val="32"/>
        </w:rPr>
        <w:t>附表</w:t>
      </w:r>
    </w:p>
    <w:p w14:paraId="5F3B8021">
      <w:pPr>
        <w:pStyle w:val="20"/>
        <w:adjustRightInd w:val="0"/>
        <w:snapToGrid w:val="0"/>
        <w:spacing w:before="0" w:beforeAutospacing="0" w:after="0" w:afterAutospacing="0"/>
        <w:jc w:val="center"/>
        <w:outlineLvl w:val="0"/>
        <w:rPr>
          <w:rFonts w:ascii="Times New Roman" w:hAnsi="Times New Roman" w:eastAsia="方正小标宋_GBK"/>
          <w:snapToGrid w:val="0"/>
          <w:color w:val="auto"/>
          <w:sz w:val="38"/>
          <w:szCs w:val="38"/>
        </w:rPr>
      </w:pPr>
      <w:r>
        <w:rPr>
          <w:rFonts w:ascii="Times New Roman" w:hAnsi="Times New Roman" w:eastAsia="方正小标宋_GBK"/>
          <w:snapToGrid w:val="0"/>
          <w:color w:val="auto"/>
          <w:sz w:val="38"/>
          <w:szCs w:val="38"/>
        </w:rPr>
        <w:t>建设项目污染物排放量汇总表</w:t>
      </w:r>
    </w:p>
    <w:tbl>
      <w:tblPr>
        <w:tblStyle w:val="23"/>
        <w:tblW w:w="0" w:type="auto"/>
        <w:tblInd w:w="-24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1559"/>
        <w:gridCol w:w="1701"/>
        <w:gridCol w:w="1276"/>
        <w:gridCol w:w="1701"/>
        <w:gridCol w:w="1559"/>
        <w:gridCol w:w="1761"/>
        <w:gridCol w:w="1739"/>
        <w:gridCol w:w="1046"/>
      </w:tblGrid>
      <w:tr w14:paraId="6CD7ED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446" w:type="dxa"/>
            <w:tcBorders>
              <w:tl2br w:val="single" w:color="auto" w:sz="4" w:space="0"/>
            </w:tcBorders>
            <w:noWrap w:val="0"/>
            <w:tcMar>
              <w:left w:w="28" w:type="dxa"/>
              <w:right w:w="28" w:type="dxa"/>
            </w:tcMar>
            <w:vAlign w:val="center"/>
          </w:tcPr>
          <w:p w14:paraId="61E3E162">
            <w:pPr>
              <w:pStyle w:val="49"/>
              <w:spacing w:beforeLines="0" w:afterLines="0" w:line="240" w:lineRule="auto"/>
              <w:jc w:val="right"/>
              <w:rPr>
                <w:rFonts w:ascii="Times New Roman" w:eastAsia="黑体"/>
                <w:snapToGrid w:val="0"/>
                <w:color w:val="auto"/>
                <w:spacing w:val="-6"/>
                <w:kern w:val="21"/>
                <w:szCs w:val="21"/>
              </w:rPr>
            </w:pPr>
            <w:r>
              <w:rPr>
                <w:rFonts w:ascii="Times New Roman" w:eastAsia="黑体"/>
                <w:snapToGrid w:val="0"/>
                <w:color w:val="auto"/>
                <w:spacing w:val="-6"/>
                <w:kern w:val="21"/>
                <w:szCs w:val="21"/>
              </w:rPr>
              <w:t>项目</w:t>
            </w:r>
          </w:p>
          <w:p w14:paraId="654A6EEA">
            <w:pPr>
              <w:pStyle w:val="49"/>
              <w:spacing w:beforeLines="0" w:afterLines="0" w:line="240" w:lineRule="auto"/>
              <w:jc w:val="left"/>
              <w:rPr>
                <w:rFonts w:ascii="Times New Roman" w:eastAsia="黑体"/>
                <w:snapToGrid w:val="0"/>
                <w:color w:val="auto"/>
                <w:spacing w:val="-6"/>
                <w:kern w:val="21"/>
                <w:szCs w:val="21"/>
              </w:rPr>
            </w:pPr>
            <w:r>
              <w:rPr>
                <w:rFonts w:ascii="Times New Roman" w:eastAsia="黑体"/>
                <w:snapToGrid w:val="0"/>
                <w:color w:val="auto"/>
                <w:spacing w:val="-6"/>
                <w:kern w:val="21"/>
                <w:szCs w:val="21"/>
              </w:rPr>
              <w:t>分类</w:t>
            </w:r>
          </w:p>
        </w:tc>
        <w:tc>
          <w:tcPr>
            <w:tcW w:w="1559" w:type="dxa"/>
            <w:noWrap w:val="0"/>
            <w:tcMar>
              <w:left w:w="28" w:type="dxa"/>
              <w:right w:w="28" w:type="dxa"/>
            </w:tcMar>
            <w:vAlign w:val="center"/>
          </w:tcPr>
          <w:p w14:paraId="0FD8A199">
            <w:pPr>
              <w:pStyle w:val="49"/>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污染物名称</w:t>
            </w:r>
          </w:p>
        </w:tc>
        <w:tc>
          <w:tcPr>
            <w:tcW w:w="1701" w:type="dxa"/>
            <w:noWrap w:val="0"/>
            <w:tcMar>
              <w:left w:w="28" w:type="dxa"/>
              <w:right w:w="28" w:type="dxa"/>
            </w:tcMar>
            <w:vAlign w:val="center"/>
          </w:tcPr>
          <w:p w14:paraId="632730F2">
            <w:pPr>
              <w:pStyle w:val="49"/>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现有工程</w:t>
            </w:r>
          </w:p>
          <w:p w14:paraId="640B310B">
            <w:pPr>
              <w:pStyle w:val="49"/>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1 \* GB3 \* MERGEFORMAT </w:instrText>
            </w:r>
            <w:r>
              <w:rPr>
                <w:rFonts w:ascii="Times New Roman" w:eastAsia="黑体"/>
                <w:snapToGrid w:val="0"/>
                <w:color w:val="auto"/>
                <w:spacing w:val="-6"/>
                <w:kern w:val="21"/>
                <w:szCs w:val="21"/>
              </w:rPr>
              <w:fldChar w:fldCharType="separate"/>
            </w:r>
            <w:r>
              <w:rPr>
                <w:rFonts w:hint="eastAsia" w:hAnsi="宋体" w:cs="宋体"/>
                <w:color w:val="auto"/>
                <w:kern w:val="2"/>
                <w:szCs w:val="21"/>
              </w:rPr>
              <w:t>①</w:t>
            </w:r>
            <w:r>
              <w:rPr>
                <w:rFonts w:ascii="Times New Roman" w:eastAsia="黑体"/>
                <w:snapToGrid w:val="0"/>
                <w:color w:val="auto"/>
                <w:spacing w:val="-6"/>
                <w:kern w:val="21"/>
                <w:szCs w:val="21"/>
              </w:rPr>
              <w:fldChar w:fldCharType="end"/>
            </w:r>
          </w:p>
        </w:tc>
        <w:tc>
          <w:tcPr>
            <w:tcW w:w="1276" w:type="dxa"/>
            <w:noWrap w:val="0"/>
            <w:tcMar>
              <w:left w:w="28" w:type="dxa"/>
              <w:right w:w="28" w:type="dxa"/>
            </w:tcMar>
            <w:vAlign w:val="center"/>
          </w:tcPr>
          <w:p w14:paraId="1ABD9AA7">
            <w:pPr>
              <w:pStyle w:val="49"/>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现有工程</w:t>
            </w:r>
          </w:p>
          <w:p w14:paraId="4CAFA41A">
            <w:pPr>
              <w:pStyle w:val="49"/>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许可排放量</w:t>
            </w:r>
          </w:p>
          <w:p w14:paraId="686F03AA">
            <w:pPr>
              <w:pStyle w:val="49"/>
              <w:spacing w:beforeLines="0" w:afterLines="0"/>
              <w:rPr>
                <w:rFonts w:ascii="Times New Roman" w:eastAsia="黑体"/>
                <w:snapToGrid w:val="0"/>
                <w:color w:val="auto"/>
                <w:spacing w:val="-6"/>
                <w:kern w:val="21"/>
                <w:szCs w:val="21"/>
              </w:rPr>
            </w:pP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2 \* GB3 \* MERGEFORMAT </w:instrText>
            </w:r>
            <w:r>
              <w:rPr>
                <w:rFonts w:ascii="Times New Roman" w:eastAsia="黑体"/>
                <w:snapToGrid w:val="0"/>
                <w:color w:val="auto"/>
                <w:spacing w:val="-6"/>
                <w:kern w:val="21"/>
                <w:szCs w:val="21"/>
              </w:rPr>
              <w:fldChar w:fldCharType="separate"/>
            </w:r>
            <w:r>
              <w:rPr>
                <w:rFonts w:hint="eastAsia" w:hAnsi="宋体" w:cs="宋体"/>
                <w:snapToGrid w:val="0"/>
                <w:color w:val="auto"/>
                <w:spacing w:val="-6"/>
                <w:kern w:val="21"/>
                <w:szCs w:val="21"/>
              </w:rPr>
              <w:t>②</w:t>
            </w:r>
            <w:r>
              <w:rPr>
                <w:rFonts w:ascii="Times New Roman" w:eastAsia="黑体"/>
                <w:snapToGrid w:val="0"/>
                <w:color w:val="auto"/>
                <w:spacing w:val="-6"/>
                <w:kern w:val="21"/>
                <w:szCs w:val="21"/>
              </w:rPr>
              <w:fldChar w:fldCharType="end"/>
            </w:r>
          </w:p>
        </w:tc>
        <w:tc>
          <w:tcPr>
            <w:tcW w:w="1701" w:type="dxa"/>
            <w:noWrap w:val="0"/>
            <w:tcMar>
              <w:left w:w="28" w:type="dxa"/>
              <w:right w:w="28" w:type="dxa"/>
            </w:tcMar>
            <w:vAlign w:val="center"/>
          </w:tcPr>
          <w:p w14:paraId="1C7A6461">
            <w:pPr>
              <w:pStyle w:val="49"/>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在建工程</w:t>
            </w:r>
          </w:p>
          <w:p w14:paraId="214E78D9">
            <w:pPr>
              <w:pStyle w:val="49"/>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3 \* GB3 \* MERGEFORMAT </w:instrText>
            </w:r>
            <w:r>
              <w:rPr>
                <w:rFonts w:ascii="Times New Roman" w:eastAsia="黑体"/>
                <w:snapToGrid w:val="0"/>
                <w:color w:val="auto"/>
                <w:spacing w:val="-6"/>
                <w:kern w:val="21"/>
                <w:szCs w:val="21"/>
              </w:rPr>
              <w:fldChar w:fldCharType="separate"/>
            </w:r>
            <w:r>
              <w:rPr>
                <w:rFonts w:hint="eastAsia" w:hAnsi="宋体" w:cs="宋体"/>
                <w:color w:val="auto"/>
                <w:kern w:val="2"/>
                <w:szCs w:val="21"/>
              </w:rPr>
              <w:t>③</w:t>
            </w:r>
            <w:r>
              <w:rPr>
                <w:rFonts w:ascii="Times New Roman" w:eastAsia="黑体"/>
                <w:snapToGrid w:val="0"/>
                <w:color w:val="auto"/>
                <w:spacing w:val="-6"/>
                <w:kern w:val="21"/>
                <w:szCs w:val="21"/>
              </w:rPr>
              <w:fldChar w:fldCharType="end"/>
            </w:r>
          </w:p>
        </w:tc>
        <w:tc>
          <w:tcPr>
            <w:tcW w:w="1559" w:type="dxa"/>
            <w:noWrap w:val="0"/>
            <w:tcMar>
              <w:left w:w="28" w:type="dxa"/>
              <w:right w:w="28" w:type="dxa"/>
            </w:tcMar>
            <w:vAlign w:val="center"/>
          </w:tcPr>
          <w:p w14:paraId="1956811C">
            <w:pPr>
              <w:pStyle w:val="49"/>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本项目</w:t>
            </w:r>
          </w:p>
          <w:p w14:paraId="4AD19673">
            <w:pPr>
              <w:pStyle w:val="49"/>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排放量（固体废物产生量）</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4 \* GB3 \* MERGEFORMAT </w:instrText>
            </w:r>
            <w:r>
              <w:rPr>
                <w:rFonts w:ascii="Times New Roman" w:eastAsia="黑体"/>
                <w:snapToGrid w:val="0"/>
                <w:color w:val="auto"/>
                <w:spacing w:val="-6"/>
                <w:kern w:val="21"/>
                <w:szCs w:val="21"/>
              </w:rPr>
              <w:fldChar w:fldCharType="separate"/>
            </w:r>
            <w:r>
              <w:rPr>
                <w:rFonts w:hint="eastAsia" w:hAnsi="宋体" w:cs="宋体"/>
                <w:color w:val="auto"/>
                <w:kern w:val="2"/>
                <w:szCs w:val="21"/>
              </w:rPr>
              <w:t>④</w:t>
            </w:r>
            <w:r>
              <w:rPr>
                <w:rFonts w:ascii="Times New Roman" w:eastAsia="黑体"/>
                <w:snapToGrid w:val="0"/>
                <w:color w:val="auto"/>
                <w:spacing w:val="-6"/>
                <w:kern w:val="21"/>
                <w:szCs w:val="21"/>
              </w:rPr>
              <w:fldChar w:fldCharType="end"/>
            </w:r>
          </w:p>
        </w:tc>
        <w:tc>
          <w:tcPr>
            <w:tcW w:w="1761" w:type="dxa"/>
            <w:noWrap w:val="0"/>
            <w:tcMar>
              <w:left w:w="28" w:type="dxa"/>
              <w:right w:w="28" w:type="dxa"/>
            </w:tcMar>
            <w:vAlign w:val="center"/>
          </w:tcPr>
          <w:p w14:paraId="5D7FE7E6">
            <w:pPr>
              <w:pStyle w:val="49"/>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以新带老削减量</w:t>
            </w:r>
          </w:p>
          <w:p w14:paraId="1CDECC3A">
            <w:pPr>
              <w:pStyle w:val="49"/>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（新建项目不填）</w:t>
            </w:r>
            <w:r>
              <w:rPr>
                <w:rFonts w:ascii="Times New Roman" w:eastAsia="黑体"/>
                <w:snapToGrid w:val="0"/>
                <w:color w:val="auto"/>
                <w:spacing w:val="-16"/>
                <w:kern w:val="21"/>
                <w:szCs w:val="21"/>
              </w:rPr>
              <w:fldChar w:fldCharType="begin"/>
            </w:r>
            <w:r>
              <w:rPr>
                <w:rFonts w:ascii="Times New Roman" w:eastAsia="黑体"/>
                <w:snapToGrid w:val="0"/>
                <w:color w:val="auto"/>
                <w:spacing w:val="-16"/>
                <w:kern w:val="21"/>
                <w:szCs w:val="21"/>
              </w:rPr>
              <w:instrText xml:space="preserve"> = 5 \* GB3 \* MERGEFORMAT </w:instrText>
            </w:r>
            <w:r>
              <w:rPr>
                <w:rFonts w:ascii="Times New Roman" w:eastAsia="黑体"/>
                <w:snapToGrid w:val="0"/>
                <w:color w:val="auto"/>
                <w:spacing w:val="-16"/>
                <w:kern w:val="21"/>
                <w:szCs w:val="21"/>
              </w:rPr>
              <w:fldChar w:fldCharType="separate"/>
            </w:r>
            <w:r>
              <w:rPr>
                <w:rFonts w:hint="eastAsia" w:hAnsi="宋体" w:cs="宋体"/>
                <w:color w:val="auto"/>
                <w:kern w:val="2"/>
                <w:szCs w:val="21"/>
              </w:rPr>
              <w:t>⑤</w:t>
            </w:r>
            <w:r>
              <w:rPr>
                <w:rFonts w:ascii="Times New Roman" w:eastAsia="黑体"/>
                <w:snapToGrid w:val="0"/>
                <w:color w:val="auto"/>
                <w:spacing w:val="-16"/>
                <w:kern w:val="21"/>
                <w:szCs w:val="21"/>
              </w:rPr>
              <w:fldChar w:fldCharType="end"/>
            </w:r>
          </w:p>
        </w:tc>
        <w:tc>
          <w:tcPr>
            <w:tcW w:w="1739" w:type="dxa"/>
            <w:noWrap w:val="0"/>
            <w:tcMar>
              <w:left w:w="28" w:type="dxa"/>
              <w:right w:w="28" w:type="dxa"/>
            </w:tcMar>
            <w:vAlign w:val="center"/>
          </w:tcPr>
          <w:p w14:paraId="03FD9B5E">
            <w:pPr>
              <w:pStyle w:val="49"/>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本项目建成后</w:t>
            </w:r>
          </w:p>
          <w:p w14:paraId="3CFB1ECF">
            <w:pPr>
              <w:pStyle w:val="49"/>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全厂排放量（固体废物产生量）</w:t>
            </w:r>
            <w:r>
              <w:rPr>
                <w:rFonts w:ascii="Times New Roman" w:eastAsia="黑体"/>
                <w:snapToGrid w:val="0"/>
                <w:color w:val="auto"/>
                <w:spacing w:val="-16"/>
                <w:kern w:val="21"/>
                <w:szCs w:val="21"/>
              </w:rPr>
              <w:fldChar w:fldCharType="begin"/>
            </w:r>
            <w:r>
              <w:rPr>
                <w:rFonts w:ascii="Times New Roman" w:eastAsia="黑体"/>
                <w:snapToGrid w:val="0"/>
                <w:color w:val="auto"/>
                <w:spacing w:val="-16"/>
                <w:kern w:val="21"/>
                <w:szCs w:val="21"/>
              </w:rPr>
              <w:instrText xml:space="preserve"> = 6 \* GB3 \* MERGEFORMAT </w:instrText>
            </w:r>
            <w:r>
              <w:rPr>
                <w:rFonts w:ascii="Times New Roman" w:eastAsia="黑体"/>
                <w:snapToGrid w:val="0"/>
                <w:color w:val="auto"/>
                <w:spacing w:val="-16"/>
                <w:kern w:val="21"/>
                <w:szCs w:val="21"/>
              </w:rPr>
              <w:fldChar w:fldCharType="separate"/>
            </w:r>
            <w:r>
              <w:rPr>
                <w:rFonts w:hint="eastAsia" w:hAnsi="宋体" w:cs="宋体"/>
                <w:color w:val="auto"/>
                <w:kern w:val="2"/>
                <w:szCs w:val="21"/>
              </w:rPr>
              <w:t>⑥</w:t>
            </w:r>
            <w:r>
              <w:rPr>
                <w:rFonts w:ascii="Times New Roman" w:eastAsia="黑体"/>
                <w:snapToGrid w:val="0"/>
                <w:color w:val="auto"/>
                <w:spacing w:val="-16"/>
                <w:kern w:val="21"/>
                <w:szCs w:val="21"/>
              </w:rPr>
              <w:fldChar w:fldCharType="end"/>
            </w:r>
          </w:p>
        </w:tc>
        <w:tc>
          <w:tcPr>
            <w:tcW w:w="1046" w:type="dxa"/>
            <w:noWrap w:val="0"/>
            <w:tcMar>
              <w:left w:w="28" w:type="dxa"/>
              <w:right w:w="28" w:type="dxa"/>
            </w:tcMar>
            <w:vAlign w:val="center"/>
          </w:tcPr>
          <w:p w14:paraId="67542152">
            <w:pPr>
              <w:pStyle w:val="49"/>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变化量</w:t>
            </w:r>
          </w:p>
          <w:p w14:paraId="5D60D8E6">
            <w:pPr>
              <w:pStyle w:val="49"/>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7 \* GB3 \* MERGEFORMAT </w:instrText>
            </w:r>
            <w:r>
              <w:rPr>
                <w:rFonts w:ascii="Times New Roman" w:eastAsia="黑体"/>
                <w:snapToGrid w:val="0"/>
                <w:color w:val="auto"/>
                <w:spacing w:val="-6"/>
                <w:kern w:val="21"/>
                <w:szCs w:val="21"/>
              </w:rPr>
              <w:fldChar w:fldCharType="separate"/>
            </w:r>
            <w:r>
              <w:rPr>
                <w:rFonts w:hint="eastAsia" w:hAnsi="宋体" w:cs="宋体"/>
                <w:color w:val="auto"/>
                <w:kern w:val="2"/>
                <w:szCs w:val="21"/>
              </w:rPr>
              <w:t>⑦</w:t>
            </w:r>
            <w:r>
              <w:rPr>
                <w:rFonts w:ascii="Times New Roman" w:eastAsia="黑体"/>
                <w:snapToGrid w:val="0"/>
                <w:color w:val="auto"/>
                <w:spacing w:val="-6"/>
                <w:kern w:val="21"/>
                <w:szCs w:val="21"/>
              </w:rPr>
              <w:fldChar w:fldCharType="end"/>
            </w:r>
          </w:p>
        </w:tc>
      </w:tr>
      <w:tr w14:paraId="512C74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restart"/>
            <w:noWrap w:val="0"/>
            <w:vAlign w:val="center"/>
          </w:tcPr>
          <w:p w14:paraId="22E123B8">
            <w:pPr>
              <w:pStyle w:val="49"/>
              <w:spacing w:beforeLines="0" w:afterLines="0" w:line="240" w:lineRule="auto"/>
              <w:rPr>
                <w:rFonts w:ascii="Times New Roman"/>
                <w:snapToGrid w:val="0"/>
                <w:color w:val="auto"/>
                <w:kern w:val="21"/>
                <w:szCs w:val="21"/>
              </w:rPr>
            </w:pPr>
            <w:r>
              <w:rPr>
                <w:rFonts w:ascii="Times New Roman"/>
                <w:snapToGrid w:val="0"/>
                <w:color w:val="auto"/>
                <w:kern w:val="21"/>
                <w:szCs w:val="21"/>
              </w:rPr>
              <w:t>废气</w:t>
            </w:r>
          </w:p>
        </w:tc>
        <w:tc>
          <w:tcPr>
            <w:tcW w:w="1559" w:type="dxa"/>
            <w:noWrap w:val="0"/>
            <w:vAlign w:val="center"/>
          </w:tcPr>
          <w:p w14:paraId="0D5647B6">
            <w:pPr>
              <w:pStyle w:val="49"/>
              <w:spacing w:beforeLines="0" w:afterLines="0" w:line="240" w:lineRule="auto"/>
              <w:rPr>
                <w:rFonts w:ascii="Times New Roman"/>
                <w:snapToGrid w:val="0"/>
                <w:color w:val="auto"/>
                <w:kern w:val="21"/>
                <w:szCs w:val="21"/>
              </w:rPr>
            </w:pPr>
            <w:r>
              <w:rPr>
                <w:rFonts w:ascii="Times New Roman"/>
                <w:snapToGrid w:val="0"/>
                <w:color w:val="auto"/>
                <w:kern w:val="21"/>
                <w:szCs w:val="21"/>
              </w:rPr>
              <w:t>颗粒物</w:t>
            </w:r>
          </w:p>
        </w:tc>
        <w:tc>
          <w:tcPr>
            <w:tcW w:w="1701" w:type="dxa"/>
            <w:noWrap w:val="0"/>
            <w:vAlign w:val="center"/>
          </w:tcPr>
          <w:p w14:paraId="277349A0">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eastAsia="宋体"/>
                <w:snapToGrid w:val="0"/>
                <w:color w:val="auto"/>
                <w:kern w:val="21"/>
                <w:szCs w:val="21"/>
                <w:lang w:val="en-US" w:eastAsia="zh-CN"/>
              </w:rPr>
            </w:pPr>
            <w:r>
              <w:rPr>
                <w:rFonts w:hint="eastAsia" w:cs="Times New Roman"/>
                <w:bCs w:val="0"/>
                <w:snapToGrid w:val="0"/>
                <w:color w:val="auto"/>
                <w:spacing w:val="-6"/>
                <w:kern w:val="21"/>
                <w:sz w:val="21"/>
                <w:szCs w:val="21"/>
                <w:lang w:val="en-US" w:eastAsia="zh-CN" w:bidi="ar-SA"/>
              </w:rPr>
              <w:t>0.6129</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39450069">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4412EFB7">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5636FF90">
            <w:pPr>
              <w:jc w:val="center"/>
              <w:rPr>
                <w:rFonts w:hint="default" w:eastAsia="宋体"/>
                <w:color w:val="auto"/>
                <w:lang w:val="en-US" w:eastAsia="zh-CN"/>
              </w:rPr>
            </w:pPr>
            <w:r>
              <w:rPr>
                <w:rFonts w:hint="eastAsia"/>
                <w:color w:val="auto"/>
              </w:rPr>
              <w:t>0</w:t>
            </w:r>
            <w:r>
              <w:rPr>
                <w:color w:val="auto"/>
              </w:rPr>
              <w:t>.</w:t>
            </w:r>
            <w:r>
              <w:rPr>
                <w:rFonts w:hint="eastAsia"/>
                <w:color w:val="auto"/>
                <w:lang w:val="en-US" w:eastAsia="zh-CN"/>
              </w:rPr>
              <w:t>8581</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72262738">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-0.6129</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52C082BD">
            <w:pPr>
              <w:jc w:val="center"/>
              <w:rPr>
                <w:rFonts w:hint="default" w:eastAsia="宋体"/>
                <w:color w:val="auto"/>
                <w:lang w:val="en-US" w:eastAsia="zh-CN"/>
              </w:rPr>
            </w:pPr>
            <w:r>
              <w:rPr>
                <w:rFonts w:hint="eastAsia"/>
                <w:color w:val="auto"/>
              </w:rPr>
              <w:t>0</w:t>
            </w:r>
            <w:r>
              <w:rPr>
                <w:color w:val="auto"/>
              </w:rPr>
              <w:t>.</w:t>
            </w:r>
            <w:r>
              <w:rPr>
                <w:rFonts w:hint="eastAsia"/>
                <w:color w:val="auto"/>
                <w:lang w:val="en-US" w:eastAsia="zh-CN"/>
              </w:rPr>
              <w:t>8581</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2A535B12">
            <w:pPr>
              <w:jc w:val="center"/>
              <w:rPr>
                <w:rFonts w:hint="default" w:eastAsia="宋体"/>
                <w:color w:val="auto"/>
                <w:lang w:val="en-US" w:eastAsia="zh-CN"/>
              </w:rPr>
            </w:pPr>
            <w:r>
              <w:rPr>
                <w:rFonts w:hint="eastAsia"/>
                <w:color w:val="auto"/>
              </w:rPr>
              <w:t>0</w:t>
            </w:r>
            <w:r>
              <w:rPr>
                <w:color w:val="auto"/>
              </w:rPr>
              <w:t>.</w:t>
            </w:r>
            <w:r>
              <w:rPr>
                <w:rFonts w:hint="eastAsia"/>
                <w:color w:val="auto"/>
                <w:lang w:val="en-US" w:eastAsia="zh-CN"/>
              </w:rPr>
              <w:t>2452</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0C8F57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continue"/>
            <w:noWrap w:val="0"/>
            <w:vAlign w:val="center"/>
          </w:tcPr>
          <w:p w14:paraId="60C0FED0">
            <w:pPr>
              <w:pStyle w:val="49"/>
              <w:spacing w:beforeLines="0" w:afterLines="0" w:line="240" w:lineRule="auto"/>
              <w:rPr>
                <w:rFonts w:ascii="Times New Roman"/>
                <w:snapToGrid w:val="0"/>
                <w:color w:val="auto"/>
                <w:kern w:val="21"/>
                <w:szCs w:val="21"/>
              </w:rPr>
            </w:pPr>
          </w:p>
        </w:tc>
        <w:tc>
          <w:tcPr>
            <w:tcW w:w="1559" w:type="dxa"/>
            <w:noWrap w:val="0"/>
            <w:vAlign w:val="center"/>
          </w:tcPr>
          <w:p w14:paraId="2C6432B1">
            <w:pPr>
              <w:pStyle w:val="49"/>
              <w:spacing w:beforeLines="0" w:afterLines="0" w:line="240" w:lineRule="auto"/>
              <w:rPr>
                <w:rFonts w:hint="eastAsia" w:ascii="Times New Roman"/>
                <w:snapToGrid w:val="0"/>
                <w:color w:val="auto"/>
                <w:kern w:val="21"/>
                <w:szCs w:val="21"/>
              </w:rPr>
            </w:pPr>
            <w:r>
              <w:rPr>
                <w:rFonts w:hint="eastAsia" w:ascii="Times New Roman"/>
                <w:snapToGrid w:val="0"/>
                <w:color w:val="auto"/>
                <w:kern w:val="21"/>
                <w:szCs w:val="21"/>
                <w:lang w:eastAsia="zh-CN"/>
              </w:rPr>
              <w:t>非甲烷总烃</w:t>
            </w:r>
          </w:p>
        </w:tc>
        <w:tc>
          <w:tcPr>
            <w:tcW w:w="1701" w:type="dxa"/>
            <w:noWrap w:val="0"/>
            <w:vAlign w:val="center"/>
          </w:tcPr>
          <w:p w14:paraId="380DD3CD">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default"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0235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77CFD91F">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37DCD7A3">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6796E814">
            <w:pPr>
              <w:jc w:val="center"/>
              <w:rPr>
                <w:rFonts w:hint="default" w:eastAsia="宋体"/>
                <w:color w:val="auto"/>
                <w:lang w:val="en-US" w:eastAsia="zh-CN"/>
              </w:rPr>
            </w:pPr>
            <w:r>
              <w:rPr>
                <w:rFonts w:hint="eastAsia"/>
                <w:color w:val="auto"/>
                <w:lang w:eastAsia="zh-CN"/>
              </w:rPr>
              <w:t>1</w:t>
            </w:r>
            <w:r>
              <w:rPr>
                <w:rFonts w:hint="eastAsia"/>
                <w:color w:val="auto"/>
                <w:lang w:val="en-US" w:eastAsia="zh-CN"/>
              </w:rPr>
              <w:t>.26</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1ABD0084">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ascii="Times New Roman" w:hAnsi="Times New Roman" w:eastAsia="宋体" w:cs="Times New Roman"/>
                <w:bCs w:val="0"/>
                <w:snapToGrid w:val="0"/>
                <w:color w:val="auto"/>
                <w:spacing w:val="-6"/>
                <w:kern w:val="21"/>
                <w:sz w:val="21"/>
                <w:szCs w:val="21"/>
                <w:lang w:val="en-US" w:eastAsia="zh-CN" w:bidi="ar-SA"/>
              </w:rPr>
              <w:t>-</w:t>
            </w:r>
            <w:r>
              <w:rPr>
                <w:rFonts w:hint="default"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0235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6C07419B">
            <w:pPr>
              <w:jc w:val="center"/>
              <w:rPr>
                <w:rFonts w:hint="default" w:eastAsia="宋体"/>
                <w:color w:val="auto"/>
                <w:lang w:val="en-US" w:eastAsia="zh-CN"/>
              </w:rPr>
            </w:pPr>
            <w:r>
              <w:rPr>
                <w:rFonts w:hint="eastAsia"/>
                <w:color w:val="auto"/>
                <w:lang w:eastAsia="zh-CN"/>
              </w:rPr>
              <w:t>1</w:t>
            </w:r>
            <w:r>
              <w:rPr>
                <w:rFonts w:hint="eastAsia"/>
                <w:color w:val="auto"/>
                <w:lang w:val="en-US" w:eastAsia="zh-CN"/>
              </w:rPr>
              <w:t>.26</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76782CD9">
            <w:pPr>
              <w:jc w:val="center"/>
              <w:rPr>
                <w:rFonts w:hint="default" w:eastAsia="宋体"/>
                <w:color w:val="auto"/>
                <w:lang w:val="en-US" w:eastAsia="zh-CN"/>
              </w:rPr>
            </w:pPr>
            <w:r>
              <w:rPr>
                <w:rFonts w:hint="eastAsia"/>
                <w:color w:val="auto"/>
                <w:lang w:val="en-US" w:eastAsia="zh-CN"/>
              </w:rPr>
              <w:t>1.2365</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5C4C29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46" w:type="dxa"/>
            <w:vMerge w:val="restart"/>
            <w:noWrap w:val="0"/>
            <w:vAlign w:val="center"/>
          </w:tcPr>
          <w:p w14:paraId="4E5DBAFB">
            <w:pPr>
              <w:pStyle w:val="49"/>
              <w:spacing w:beforeLines="0" w:afterLines="0" w:line="240" w:lineRule="auto"/>
              <w:rPr>
                <w:rFonts w:ascii="Times New Roman"/>
                <w:snapToGrid w:val="0"/>
                <w:color w:val="auto"/>
                <w:kern w:val="21"/>
                <w:szCs w:val="21"/>
              </w:rPr>
            </w:pPr>
            <w:r>
              <w:rPr>
                <w:rFonts w:ascii="Times New Roman"/>
                <w:snapToGrid w:val="0"/>
                <w:color w:val="auto"/>
                <w:kern w:val="21"/>
                <w:szCs w:val="21"/>
              </w:rPr>
              <w:t>废水</w:t>
            </w:r>
          </w:p>
        </w:tc>
        <w:tc>
          <w:tcPr>
            <w:tcW w:w="1559" w:type="dxa"/>
            <w:noWrap w:val="0"/>
            <w:vAlign w:val="center"/>
          </w:tcPr>
          <w:p w14:paraId="0061CB15">
            <w:pPr>
              <w:pStyle w:val="49"/>
              <w:spacing w:beforeLines="0" w:afterLines="0" w:line="240" w:lineRule="auto"/>
              <w:rPr>
                <w:rFonts w:ascii="Times New Roman"/>
                <w:snapToGrid w:val="0"/>
                <w:color w:val="auto"/>
                <w:kern w:val="21"/>
                <w:szCs w:val="21"/>
              </w:rPr>
            </w:pPr>
            <w:r>
              <w:rPr>
                <w:rFonts w:ascii="Times New Roman"/>
                <w:snapToGrid w:val="0"/>
                <w:color w:val="auto"/>
                <w:kern w:val="21"/>
                <w:szCs w:val="21"/>
              </w:rPr>
              <w:t>COD</w:t>
            </w:r>
          </w:p>
        </w:tc>
        <w:tc>
          <w:tcPr>
            <w:tcW w:w="1701" w:type="dxa"/>
            <w:noWrap w:val="0"/>
            <w:vAlign w:val="center"/>
          </w:tcPr>
          <w:p w14:paraId="773EBCD1">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default" w:ascii="Times New Roman" w:hAnsi="Times New Roman" w:eastAsia="宋体" w:cs="Times New Roman"/>
                <w:bCs w:val="0"/>
                <w:snapToGrid w:val="0"/>
                <w:color w:val="auto"/>
                <w:spacing w:val="-6"/>
                <w:kern w:val="21"/>
                <w:sz w:val="21"/>
                <w:szCs w:val="21"/>
                <w:lang w:val="en-US" w:eastAsia="zh-CN" w:bidi="ar-SA"/>
              </w:rPr>
              <w:t>0.</w:t>
            </w:r>
            <w:r>
              <w:rPr>
                <w:rFonts w:hint="eastAsia"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86</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3D4C88F0">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7E0EA052">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227FEA1D">
            <w:pPr>
              <w:pStyle w:val="49"/>
              <w:spacing w:beforeLines="0" w:afterLines="0" w:line="240" w:lineRule="auto"/>
              <w:rPr>
                <w:rFonts w:hint="default" w:ascii="Times New Roman" w:eastAsia="宋体"/>
                <w:snapToGrid w:val="0"/>
                <w:color w:val="auto"/>
                <w:kern w:val="21"/>
                <w:szCs w:val="21"/>
                <w:lang w:val="en-US" w:eastAsia="zh-CN"/>
              </w:rPr>
            </w:pPr>
            <w:r>
              <w:rPr>
                <w:rFonts w:hint="eastAsia" w:ascii="Times New Roman"/>
                <w:snapToGrid w:val="0"/>
                <w:color w:val="auto"/>
                <w:kern w:val="21"/>
                <w:szCs w:val="21"/>
              </w:rPr>
              <w:t>0</w:t>
            </w:r>
            <w:r>
              <w:rPr>
                <w:rFonts w:hint="eastAsia" w:ascii="Times New Roman"/>
                <w:snapToGrid w:val="0"/>
                <w:color w:val="auto"/>
                <w:kern w:val="21"/>
                <w:szCs w:val="21"/>
                <w:lang w:val="en-US" w:eastAsia="zh-CN"/>
              </w:rPr>
              <w:t>.095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1A24A275">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ascii="Times New Roman" w:hAnsi="Times New Roman" w:eastAsia="宋体" w:cs="Times New Roman"/>
                <w:bCs w:val="0"/>
                <w:snapToGrid w:val="0"/>
                <w:color w:val="auto"/>
                <w:spacing w:val="-6"/>
                <w:kern w:val="21"/>
                <w:sz w:val="21"/>
                <w:szCs w:val="21"/>
                <w:lang w:val="en-US" w:eastAsia="zh-CN" w:bidi="ar-SA"/>
              </w:rPr>
              <w:t>-</w:t>
            </w:r>
            <w:r>
              <w:rPr>
                <w:rFonts w:hint="default" w:ascii="Times New Roman" w:hAnsi="Times New Roman" w:eastAsia="宋体" w:cs="Times New Roman"/>
                <w:bCs w:val="0"/>
                <w:snapToGrid w:val="0"/>
                <w:color w:val="auto"/>
                <w:spacing w:val="-6"/>
                <w:kern w:val="21"/>
                <w:sz w:val="21"/>
                <w:szCs w:val="21"/>
                <w:lang w:val="en-US" w:eastAsia="zh-CN" w:bidi="ar-SA"/>
              </w:rPr>
              <w:t>0.</w:t>
            </w:r>
            <w:r>
              <w:rPr>
                <w:rFonts w:hint="eastAsia"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86</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50A4F3DA">
            <w:pPr>
              <w:pStyle w:val="49"/>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w:t>
            </w:r>
            <w:r>
              <w:rPr>
                <w:rFonts w:hint="eastAsia" w:ascii="Times New Roman"/>
                <w:snapToGrid w:val="0"/>
                <w:color w:val="auto"/>
                <w:kern w:val="21"/>
                <w:szCs w:val="21"/>
                <w:lang w:val="en-US" w:eastAsia="zh-CN"/>
              </w:rPr>
              <w:t>.095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29DF77DC">
            <w:pPr>
              <w:pStyle w:val="49"/>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w:t>
            </w:r>
            <w:r>
              <w:rPr>
                <w:rFonts w:hint="eastAsia" w:ascii="Times New Roman"/>
                <w:snapToGrid w:val="0"/>
                <w:color w:val="auto"/>
                <w:kern w:val="21"/>
                <w:szCs w:val="21"/>
                <w:lang w:val="en-US" w:eastAsia="zh-CN"/>
              </w:rPr>
              <w:t>.009</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18DEEF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continue"/>
            <w:noWrap w:val="0"/>
            <w:vAlign w:val="center"/>
          </w:tcPr>
          <w:p w14:paraId="4E5DE8DA">
            <w:pPr>
              <w:pStyle w:val="49"/>
              <w:spacing w:beforeLines="0" w:afterLines="0" w:line="240" w:lineRule="auto"/>
              <w:rPr>
                <w:rFonts w:ascii="Times New Roman"/>
                <w:snapToGrid w:val="0"/>
                <w:color w:val="auto"/>
                <w:kern w:val="21"/>
                <w:szCs w:val="21"/>
              </w:rPr>
            </w:pPr>
          </w:p>
        </w:tc>
        <w:tc>
          <w:tcPr>
            <w:tcW w:w="1559" w:type="dxa"/>
            <w:noWrap w:val="0"/>
            <w:vAlign w:val="center"/>
          </w:tcPr>
          <w:p w14:paraId="5AFF79FD">
            <w:pPr>
              <w:pStyle w:val="49"/>
              <w:spacing w:beforeLines="0" w:afterLines="0" w:line="240" w:lineRule="auto"/>
              <w:rPr>
                <w:rFonts w:ascii="Times New Roman"/>
                <w:snapToGrid w:val="0"/>
                <w:color w:val="auto"/>
                <w:kern w:val="21"/>
                <w:szCs w:val="21"/>
              </w:rPr>
            </w:pPr>
            <w:r>
              <w:rPr>
                <w:rFonts w:ascii="Times New Roman"/>
                <w:snapToGrid w:val="0"/>
                <w:color w:val="auto"/>
                <w:kern w:val="21"/>
                <w:szCs w:val="21"/>
              </w:rPr>
              <w:t>NH</w:t>
            </w:r>
            <w:r>
              <w:rPr>
                <w:rFonts w:ascii="Times New Roman"/>
                <w:snapToGrid w:val="0"/>
                <w:color w:val="auto"/>
                <w:kern w:val="21"/>
                <w:szCs w:val="21"/>
                <w:vertAlign w:val="subscript"/>
              </w:rPr>
              <w:t>3</w:t>
            </w:r>
            <w:r>
              <w:rPr>
                <w:rFonts w:ascii="Times New Roman"/>
                <w:snapToGrid w:val="0"/>
                <w:color w:val="auto"/>
                <w:kern w:val="21"/>
                <w:szCs w:val="21"/>
              </w:rPr>
              <w:t>-N</w:t>
            </w:r>
          </w:p>
        </w:tc>
        <w:tc>
          <w:tcPr>
            <w:tcW w:w="1701" w:type="dxa"/>
            <w:noWrap w:val="0"/>
            <w:vAlign w:val="center"/>
          </w:tcPr>
          <w:p w14:paraId="4609F73E">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default" w:ascii="Times New Roman" w:hAnsi="Times New Roman" w:eastAsia="宋体" w:cs="Times New Roman"/>
                <w:bCs w:val="0"/>
                <w:snapToGrid w:val="0"/>
                <w:color w:val="auto"/>
                <w:spacing w:val="-6"/>
                <w:kern w:val="21"/>
                <w:sz w:val="21"/>
                <w:szCs w:val="21"/>
                <w:lang w:val="en-US" w:eastAsia="zh-CN" w:bidi="ar-SA"/>
              </w:rPr>
              <w:t>0.0</w:t>
            </w:r>
            <w:r>
              <w:rPr>
                <w:rFonts w:hint="eastAsia"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91</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64A7AEDC">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32128A4F">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03355DC8">
            <w:pPr>
              <w:pStyle w:val="49"/>
              <w:spacing w:beforeLines="0" w:afterLines="0" w:line="240" w:lineRule="auto"/>
              <w:rPr>
                <w:rFonts w:hint="default" w:ascii="Times New Roman" w:eastAsia="宋体"/>
                <w:snapToGrid w:val="0"/>
                <w:color w:val="auto"/>
                <w:kern w:val="21"/>
                <w:szCs w:val="21"/>
                <w:lang w:val="en-US" w:eastAsia="zh-CN"/>
              </w:rPr>
            </w:pPr>
            <w:r>
              <w:rPr>
                <w:rFonts w:hint="eastAsia" w:ascii="Times New Roman"/>
                <w:snapToGrid w:val="0"/>
                <w:color w:val="auto"/>
                <w:kern w:val="21"/>
                <w:szCs w:val="21"/>
              </w:rPr>
              <w:t>0</w:t>
            </w:r>
            <w:r>
              <w:rPr>
                <w:rFonts w:ascii="Times New Roman"/>
                <w:snapToGrid w:val="0"/>
                <w:color w:val="auto"/>
                <w:kern w:val="21"/>
                <w:szCs w:val="21"/>
              </w:rPr>
              <w:t>.0</w:t>
            </w:r>
            <w:r>
              <w:rPr>
                <w:rFonts w:hint="eastAsia" w:ascii="Times New Roman"/>
                <w:snapToGrid w:val="0"/>
                <w:color w:val="auto"/>
                <w:kern w:val="21"/>
                <w:szCs w:val="21"/>
                <w:lang w:val="en-US" w:eastAsia="zh-CN"/>
              </w:rPr>
              <w:t>102</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0A923DD2">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ascii="Times New Roman" w:hAnsi="Times New Roman" w:eastAsia="宋体" w:cs="Times New Roman"/>
                <w:bCs w:val="0"/>
                <w:snapToGrid w:val="0"/>
                <w:color w:val="auto"/>
                <w:spacing w:val="-6"/>
                <w:kern w:val="21"/>
                <w:sz w:val="21"/>
                <w:szCs w:val="21"/>
                <w:lang w:val="en-US" w:eastAsia="zh-CN" w:bidi="ar-SA"/>
              </w:rPr>
              <w:t>-</w:t>
            </w:r>
            <w:r>
              <w:rPr>
                <w:rFonts w:hint="default" w:ascii="Times New Roman" w:hAnsi="Times New Roman" w:eastAsia="宋体" w:cs="Times New Roman"/>
                <w:bCs w:val="0"/>
                <w:snapToGrid w:val="0"/>
                <w:color w:val="auto"/>
                <w:spacing w:val="-6"/>
                <w:kern w:val="21"/>
                <w:sz w:val="21"/>
                <w:szCs w:val="21"/>
                <w:lang w:val="en-US" w:eastAsia="zh-CN" w:bidi="ar-SA"/>
              </w:rPr>
              <w:t>0.0</w:t>
            </w:r>
            <w:r>
              <w:rPr>
                <w:rFonts w:hint="eastAsia"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91</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7AAF2ADF">
            <w:pPr>
              <w:pStyle w:val="49"/>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w:t>
            </w:r>
            <w:r>
              <w:rPr>
                <w:rFonts w:ascii="Times New Roman"/>
                <w:snapToGrid w:val="0"/>
                <w:color w:val="auto"/>
                <w:kern w:val="21"/>
                <w:szCs w:val="21"/>
              </w:rPr>
              <w:t>.0</w:t>
            </w:r>
            <w:r>
              <w:rPr>
                <w:rFonts w:hint="eastAsia" w:ascii="Times New Roman"/>
                <w:snapToGrid w:val="0"/>
                <w:color w:val="auto"/>
                <w:kern w:val="21"/>
                <w:szCs w:val="21"/>
                <w:lang w:val="en-US" w:eastAsia="zh-CN"/>
              </w:rPr>
              <w:t>102</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12E33A05">
            <w:pPr>
              <w:pStyle w:val="49"/>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w:t>
            </w:r>
            <w:r>
              <w:rPr>
                <w:rFonts w:ascii="Times New Roman"/>
                <w:snapToGrid w:val="0"/>
                <w:color w:val="auto"/>
                <w:kern w:val="21"/>
                <w:szCs w:val="21"/>
              </w:rPr>
              <w:t>.0</w:t>
            </w:r>
            <w:r>
              <w:rPr>
                <w:rFonts w:hint="eastAsia" w:ascii="Times New Roman"/>
                <w:snapToGrid w:val="0"/>
                <w:color w:val="auto"/>
                <w:kern w:val="21"/>
                <w:szCs w:val="21"/>
                <w:lang w:val="en-US" w:eastAsia="zh-CN"/>
              </w:rPr>
              <w:t>011</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2284BA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446" w:type="dxa"/>
            <w:vMerge w:val="restart"/>
            <w:noWrap w:val="0"/>
            <w:vAlign w:val="center"/>
          </w:tcPr>
          <w:p w14:paraId="1F8F530B">
            <w:pPr>
              <w:pStyle w:val="49"/>
              <w:spacing w:beforeLines="0" w:afterLines="0" w:line="240" w:lineRule="auto"/>
              <w:rPr>
                <w:rFonts w:ascii="Times New Roman"/>
                <w:snapToGrid w:val="0"/>
                <w:color w:val="auto"/>
                <w:kern w:val="21"/>
                <w:szCs w:val="21"/>
              </w:rPr>
            </w:pPr>
            <w:r>
              <w:rPr>
                <w:rFonts w:ascii="Times New Roman"/>
                <w:snapToGrid w:val="0"/>
                <w:color w:val="auto"/>
                <w:kern w:val="21"/>
                <w:szCs w:val="21"/>
              </w:rPr>
              <w:t>一般工业</w:t>
            </w:r>
          </w:p>
          <w:p w14:paraId="18356B4B">
            <w:pPr>
              <w:pStyle w:val="49"/>
              <w:spacing w:beforeLines="0" w:afterLines="0" w:line="240" w:lineRule="auto"/>
              <w:rPr>
                <w:rFonts w:ascii="Times New Roman"/>
                <w:snapToGrid w:val="0"/>
                <w:color w:val="auto"/>
                <w:kern w:val="21"/>
                <w:szCs w:val="21"/>
              </w:rPr>
            </w:pPr>
            <w:r>
              <w:rPr>
                <w:rFonts w:ascii="Times New Roman"/>
                <w:snapToGrid w:val="0"/>
                <w:color w:val="auto"/>
                <w:kern w:val="21"/>
                <w:szCs w:val="21"/>
              </w:rPr>
              <w:t>固体废物</w:t>
            </w:r>
          </w:p>
        </w:tc>
        <w:tc>
          <w:tcPr>
            <w:tcW w:w="1559" w:type="dxa"/>
            <w:noWrap w:val="0"/>
            <w:vAlign w:val="center"/>
          </w:tcPr>
          <w:p w14:paraId="6E5AB96D">
            <w:pPr>
              <w:pStyle w:val="20"/>
              <w:widowControl w:val="0"/>
              <w:tabs>
                <w:tab w:val="left" w:pos="0"/>
              </w:tabs>
              <w:spacing w:before="0" w:beforeAutospacing="0" w:after="0" w:afterAutospacing="0" w:line="240" w:lineRule="auto"/>
              <w:jc w:val="center"/>
              <w:rPr>
                <w:rFonts w:ascii="Times New Roman"/>
                <w:snapToGrid w:val="0"/>
                <w:color w:val="auto"/>
                <w:kern w:val="21"/>
                <w:szCs w:val="21"/>
              </w:rPr>
            </w:pPr>
            <w:r>
              <w:rPr>
                <w:rFonts w:hint="default" w:ascii="Times New Roman" w:hAnsi="Times New Roman" w:eastAsia="宋体" w:cs="Times New Roman"/>
                <w:color w:val="auto"/>
                <w:sz w:val="21"/>
                <w:szCs w:val="21"/>
              </w:rPr>
              <w:t>废包装材料</w:t>
            </w:r>
          </w:p>
        </w:tc>
        <w:tc>
          <w:tcPr>
            <w:tcW w:w="1701" w:type="dxa"/>
            <w:noWrap w:val="0"/>
            <w:vAlign w:val="center"/>
          </w:tcPr>
          <w:p w14:paraId="1770B530">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0.143</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25AB4207">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4913AD0F">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2B7AB154">
            <w:pPr>
              <w:widowControl/>
              <w:adjustRightInd w:val="0"/>
              <w:snapToGrid w:val="0"/>
              <w:spacing w:before="30" w:after="30"/>
              <w:jc w:val="center"/>
              <w:rPr>
                <w:color w:val="auto"/>
                <w:szCs w:val="28"/>
              </w:rPr>
            </w:pPr>
            <w:r>
              <w:rPr>
                <w:rFonts w:hint="eastAsia"/>
                <w:color w:val="auto"/>
                <w:szCs w:val="28"/>
              </w:rPr>
              <w:t>0</w:t>
            </w:r>
            <w:r>
              <w:rPr>
                <w:color w:val="auto"/>
                <w:szCs w:val="28"/>
              </w:rPr>
              <w:t>.2</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75B93D08">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-0.143</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6AAABB11">
            <w:pPr>
              <w:widowControl/>
              <w:adjustRightInd w:val="0"/>
              <w:snapToGrid w:val="0"/>
              <w:spacing w:before="30" w:after="30"/>
              <w:jc w:val="center"/>
              <w:rPr>
                <w:color w:val="auto"/>
                <w:szCs w:val="28"/>
              </w:rPr>
            </w:pPr>
            <w:r>
              <w:rPr>
                <w:rFonts w:hint="eastAsia"/>
                <w:color w:val="auto"/>
                <w:szCs w:val="28"/>
              </w:rPr>
              <w:t>0</w:t>
            </w:r>
            <w:r>
              <w:rPr>
                <w:color w:val="auto"/>
                <w:szCs w:val="28"/>
              </w:rPr>
              <w:t>.2</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0E2E527B">
            <w:pPr>
              <w:widowControl/>
              <w:adjustRightInd w:val="0"/>
              <w:snapToGrid w:val="0"/>
              <w:spacing w:before="30" w:after="30"/>
              <w:jc w:val="center"/>
              <w:rPr>
                <w:color w:val="auto"/>
                <w:szCs w:val="28"/>
              </w:rPr>
            </w:pPr>
            <w:r>
              <w:rPr>
                <w:rFonts w:hint="eastAsia"/>
                <w:color w:val="auto"/>
                <w:szCs w:val="28"/>
              </w:rPr>
              <w:t>0</w:t>
            </w:r>
            <w:r>
              <w:rPr>
                <w:color w:val="auto"/>
                <w:szCs w:val="28"/>
              </w:rPr>
              <w:t>.</w:t>
            </w:r>
            <w:r>
              <w:rPr>
                <w:rFonts w:hint="eastAsia"/>
                <w:color w:val="auto"/>
                <w:szCs w:val="28"/>
                <w:lang w:val="en-US" w:eastAsia="zh-CN"/>
              </w:rPr>
              <w:t>057</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5608D3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continue"/>
            <w:noWrap w:val="0"/>
            <w:vAlign w:val="center"/>
          </w:tcPr>
          <w:p w14:paraId="2DC6FA5C">
            <w:pPr>
              <w:pStyle w:val="49"/>
              <w:spacing w:beforeLines="0" w:afterLines="0" w:line="240" w:lineRule="auto"/>
              <w:rPr>
                <w:rFonts w:ascii="Times New Roman"/>
                <w:snapToGrid w:val="0"/>
                <w:color w:val="auto"/>
                <w:kern w:val="21"/>
                <w:szCs w:val="21"/>
              </w:rPr>
            </w:pPr>
          </w:p>
        </w:tc>
        <w:tc>
          <w:tcPr>
            <w:tcW w:w="1559" w:type="dxa"/>
            <w:noWrap w:val="0"/>
            <w:vAlign w:val="center"/>
          </w:tcPr>
          <w:p w14:paraId="73904B42">
            <w:pPr>
              <w:pStyle w:val="20"/>
              <w:widowControl w:val="0"/>
              <w:tabs>
                <w:tab w:val="left" w:pos="0"/>
              </w:tabs>
              <w:spacing w:before="0" w:beforeAutospacing="0" w:after="0" w:afterAutospacing="0" w:line="240" w:lineRule="auto"/>
              <w:jc w:val="center"/>
              <w:rPr>
                <w:rFonts w:ascii="Times New Roman"/>
                <w:snapToGrid w:val="0"/>
                <w:color w:val="auto"/>
                <w:kern w:val="21"/>
                <w:szCs w:val="21"/>
              </w:rPr>
            </w:pPr>
            <w:r>
              <w:rPr>
                <w:rFonts w:hint="eastAsia" w:ascii="Times New Roman" w:hAnsi="Times New Roman" w:eastAsia="宋体" w:cs="Times New Roman"/>
                <w:color w:val="auto"/>
                <w:sz w:val="21"/>
                <w:szCs w:val="21"/>
                <w:lang w:val="en-US" w:eastAsia="zh-CN"/>
              </w:rPr>
              <w:t>边角料、</w:t>
            </w:r>
            <w:r>
              <w:rPr>
                <w:rFonts w:hint="default" w:ascii="Times New Roman" w:hAnsi="Times New Roman" w:eastAsia="宋体" w:cs="Times New Roman"/>
                <w:color w:val="auto"/>
                <w:sz w:val="21"/>
                <w:szCs w:val="21"/>
                <w:lang w:val="en-US" w:eastAsia="zh-CN"/>
              </w:rPr>
              <w:t>不合格品</w:t>
            </w:r>
          </w:p>
        </w:tc>
        <w:tc>
          <w:tcPr>
            <w:tcW w:w="1701" w:type="dxa"/>
            <w:noWrap w:val="0"/>
            <w:vAlign w:val="center"/>
          </w:tcPr>
          <w:p w14:paraId="5C2B3EFA">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150</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5826414C">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4FBC721D">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0E1D46AB">
            <w:pPr>
              <w:widowControl/>
              <w:adjustRightInd w:val="0"/>
              <w:snapToGrid w:val="0"/>
              <w:spacing w:before="30" w:after="30"/>
              <w:jc w:val="center"/>
              <w:rPr>
                <w:rFonts w:hint="default" w:eastAsia="宋体"/>
                <w:color w:val="auto"/>
                <w:szCs w:val="28"/>
                <w:lang w:val="en-US" w:eastAsia="zh-CN"/>
              </w:rPr>
            </w:pPr>
            <w:r>
              <w:rPr>
                <w:rFonts w:hint="eastAsia"/>
                <w:color w:val="auto"/>
                <w:szCs w:val="28"/>
                <w:lang w:val="en-US" w:eastAsia="zh-CN"/>
              </w:rPr>
              <w:t>210</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0C1A3A07">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-150</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5ED4F65D">
            <w:pPr>
              <w:widowControl/>
              <w:adjustRightInd w:val="0"/>
              <w:snapToGrid w:val="0"/>
              <w:spacing w:before="30" w:after="30"/>
              <w:jc w:val="center"/>
              <w:rPr>
                <w:rFonts w:hint="default"/>
                <w:color w:val="auto"/>
                <w:szCs w:val="28"/>
                <w:lang w:val="en-US"/>
              </w:rPr>
            </w:pPr>
            <w:r>
              <w:rPr>
                <w:rFonts w:hint="eastAsia"/>
                <w:color w:val="auto"/>
                <w:szCs w:val="28"/>
                <w:lang w:val="en-US" w:eastAsia="zh-CN"/>
              </w:rPr>
              <w:t>210</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47491650">
            <w:pPr>
              <w:widowControl/>
              <w:adjustRightInd w:val="0"/>
              <w:snapToGrid w:val="0"/>
              <w:spacing w:before="30" w:after="30"/>
              <w:jc w:val="center"/>
              <w:rPr>
                <w:rFonts w:hint="default"/>
                <w:color w:val="auto"/>
                <w:szCs w:val="28"/>
                <w:lang w:val="en-US"/>
              </w:rPr>
            </w:pPr>
            <w:r>
              <w:rPr>
                <w:rFonts w:hint="eastAsia"/>
                <w:color w:val="auto"/>
                <w:szCs w:val="28"/>
                <w:lang w:val="en-US" w:eastAsia="zh-CN"/>
              </w:rPr>
              <w:t>60</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59FB0D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continue"/>
            <w:noWrap w:val="0"/>
            <w:vAlign w:val="center"/>
          </w:tcPr>
          <w:p w14:paraId="343B209F">
            <w:pPr>
              <w:pStyle w:val="49"/>
              <w:spacing w:beforeLines="0" w:afterLines="0" w:line="240" w:lineRule="auto"/>
              <w:rPr>
                <w:rFonts w:ascii="Times New Roman"/>
                <w:snapToGrid w:val="0"/>
                <w:color w:val="auto"/>
                <w:kern w:val="21"/>
                <w:szCs w:val="21"/>
              </w:rPr>
            </w:pPr>
          </w:p>
        </w:tc>
        <w:tc>
          <w:tcPr>
            <w:tcW w:w="1559" w:type="dxa"/>
            <w:noWrap w:val="0"/>
            <w:vAlign w:val="center"/>
          </w:tcPr>
          <w:p w14:paraId="35AEB276">
            <w:pPr>
              <w:pStyle w:val="20"/>
              <w:widowControl w:val="0"/>
              <w:tabs>
                <w:tab w:val="left" w:pos="0"/>
              </w:tabs>
              <w:spacing w:before="0" w:beforeAutospacing="0" w:after="0" w:afterAutospacing="0" w:line="240" w:lineRule="auto"/>
              <w:jc w:val="center"/>
              <w:rPr>
                <w:color w:val="auto"/>
                <w:szCs w:val="21"/>
              </w:rPr>
            </w:pPr>
            <w:r>
              <w:rPr>
                <w:rFonts w:hint="eastAsia" w:ascii="Times New Roman" w:hAnsi="Times New Roman" w:eastAsia="宋体" w:cs="Times New Roman"/>
                <w:color w:val="auto"/>
                <w:sz w:val="21"/>
                <w:szCs w:val="21"/>
                <w:lang w:val="en-US" w:eastAsia="zh-CN"/>
              </w:rPr>
              <w:t>收集的粉尘</w:t>
            </w:r>
          </w:p>
        </w:tc>
        <w:tc>
          <w:tcPr>
            <w:tcW w:w="1701" w:type="dxa"/>
            <w:noWrap w:val="0"/>
            <w:vAlign w:val="center"/>
          </w:tcPr>
          <w:p w14:paraId="1B715B79">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1.45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7B3B980A">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6BF74189">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085D00D0">
            <w:pPr>
              <w:pStyle w:val="73"/>
              <w:rPr>
                <w:rFonts w:hint="default" w:eastAsia="宋体"/>
                <w:color w:val="auto"/>
                <w:szCs w:val="21"/>
                <w:lang w:val="en-US" w:eastAsia="zh-CN"/>
              </w:rPr>
            </w:pPr>
            <w:r>
              <w:rPr>
                <w:rFonts w:hint="eastAsia"/>
                <w:color w:val="auto"/>
                <w:lang w:val="en-US" w:eastAsia="zh-CN"/>
              </w:rPr>
              <w:t>2.03</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00A70078">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-1.45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1D9E034C">
            <w:pPr>
              <w:pStyle w:val="73"/>
              <w:rPr>
                <w:color w:val="auto"/>
                <w:szCs w:val="21"/>
              </w:rPr>
            </w:pPr>
            <w:r>
              <w:rPr>
                <w:rFonts w:hint="eastAsia"/>
                <w:color w:val="auto"/>
                <w:lang w:val="en-US" w:eastAsia="zh-CN"/>
              </w:rPr>
              <w:t>2.03</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24813935">
            <w:pPr>
              <w:pStyle w:val="73"/>
              <w:rPr>
                <w:color w:val="auto"/>
                <w:szCs w:val="21"/>
              </w:rPr>
            </w:pPr>
            <w:r>
              <w:rPr>
                <w:rFonts w:hint="eastAsia"/>
                <w:color w:val="auto"/>
                <w:lang w:val="en-US" w:eastAsia="zh-CN"/>
              </w:rPr>
              <w:t>0.58</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58E4B0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continue"/>
            <w:noWrap w:val="0"/>
            <w:vAlign w:val="center"/>
          </w:tcPr>
          <w:p w14:paraId="6C893923">
            <w:pPr>
              <w:pStyle w:val="49"/>
              <w:spacing w:beforeLines="0" w:afterLines="0" w:line="240" w:lineRule="auto"/>
              <w:rPr>
                <w:rFonts w:ascii="Times New Roman"/>
                <w:snapToGrid w:val="0"/>
                <w:color w:val="auto"/>
                <w:kern w:val="21"/>
                <w:szCs w:val="21"/>
              </w:rPr>
            </w:pPr>
          </w:p>
        </w:tc>
        <w:tc>
          <w:tcPr>
            <w:tcW w:w="1559" w:type="dxa"/>
            <w:noWrap w:val="0"/>
            <w:vAlign w:val="center"/>
          </w:tcPr>
          <w:p w14:paraId="4C2A6EA4">
            <w:pPr>
              <w:pStyle w:val="20"/>
              <w:widowControl w:val="0"/>
              <w:tabs>
                <w:tab w:val="left" w:pos="0"/>
              </w:tabs>
              <w:spacing w:before="0" w:beforeAutospacing="0" w:after="0" w:afterAutospacing="0" w:line="240" w:lineRule="auto"/>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废滤袋</w:t>
            </w:r>
          </w:p>
        </w:tc>
        <w:tc>
          <w:tcPr>
            <w:tcW w:w="1701" w:type="dxa"/>
            <w:noWrap w:val="0"/>
            <w:vAlign w:val="center"/>
          </w:tcPr>
          <w:p w14:paraId="60B9C9ED">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snapToGrid w:val="0"/>
                <w:color w:val="auto"/>
                <w:kern w:val="21"/>
                <w:szCs w:val="21"/>
                <w:lang w:val="en-US" w:eastAsia="zh-CN"/>
              </w:rPr>
            </w:pPr>
            <w:r>
              <w:rPr>
                <w:rFonts w:hint="default"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.0045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04C3D89F">
            <w:pPr>
              <w:spacing w:beforeLines="0" w:afterLines="0" w:line="240" w:lineRule="auto"/>
              <w:jc w:val="center"/>
              <w:rPr>
                <w:rFonts w:hint="eastAsia" w:ascii="Times New Roman"/>
                <w:snapToGrid w:val="0"/>
                <w:color w:val="auto"/>
                <w:kern w:val="21"/>
                <w:szCs w:val="21"/>
                <w:lang w:val="en-US" w:eastAsia="zh-CN"/>
              </w:rPr>
            </w:pPr>
            <w:r>
              <w:rPr>
                <w:rFonts w:hint="eastAsia" w:ascii="Times New Roman"/>
                <w:snapToGrid w:val="0"/>
                <w:color w:val="auto"/>
                <w:kern w:val="21"/>
                <w:szCs w:val="21"/>
                <w:lang w:val="en-US" w:eastAsia="zh-CN"/>
              </w:rPr>
              <w:t>/</w:t>
            </w:r>
          </w:p>
        </w:tc>
        <w:tc>
          <w:tcPr>
            <w:tcW w:w="1701" w:type="dxa"/>
            <w:noWrap w:val="0"/>
            <w:vAlign w:val="center"/>
          </w:tcPr>
          <w:p w14:paraId="714AB58F">
            <w:pPr>
              <w:spacing w:beforeLines="0" w:afterLines="0" w:line="240" w:lineRule="auto"/>
              <w:jc w:val="center"/>
              <w:rPr>
                <w:rFonts w:hint="eastAsia" w:ascii="Times New Roman"/>
                <w:snapToGrid w:val="0"/>
                <w:color w:val="auto"/>
                <w:kern w:val="21"/>
                <w:szCs w:val="21"/>
                <w:lang w:val="en-US" w:eastAsia="zh-CN"/>
              </w:rPr>
            </w:pPr>
            <w:r>
              <w:rPr>
                <w:rFonts w:hint="eastAsia" w:ascii="Times New Roman"/>
                <w:snapToGrid w:val="0"/>
                <w:color w:val="auto"/>
                <w:kern w:val="21"/>
                <w:szCs w:val="21"/>
                <w:lang w:val="en-US" w:eastAsia="zh-CN"/>
              </w:rPr>
              <w:t>/</w:t>
            </w:r>
          </w:p>
        </w:tc>
        <w:tc>
          <w:tcPr>
            <w:tcW w:w="1559" w:type="dxa"/>
            <w:noWrap w:val="0"/>
            <w:vAlign w:val="center"/>
          </w:tcPr>
          <w:p w14:paraId="14D8CD9E">
            <w:pPr>
              <w:pStyle w:val="73"/>
              <w:rPr>
                <w:rFonts w:hint="default"/>
                <w:color w:val="auto"/>
                <w:lang w:val="en-US" w:eastAsia="zh-CN"/>
              </w:rPr>
            </w:pPr>
            <w:r>
              <w:rPr>
                <w:rFonts w:hint="eastAsia"/>
                <w:color w:val="auto"/>
                <w:lang w:val="en-US" w:eastAsia="zh-CN"/>
              </w:rPr>
              <w:t>0.0063</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1A6C88DB">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snapToGrid w:val="0"/>
                <w:color w:val="auto"/>
                <w:kern w:val="21"/>
                <w:szCs w:val="21"/>
                <w:lang w:val="en-US" w:eastAsia="zh-CN"/>
              </w:rPr>
            </w:pPr>
            <w:r>
              <w:rPr>
                <w:rFonts w:hint="eastAsia" w:ascii="Times New Roman" w:hAnsi="Times New Roman" w:eastAsia="宋体" w:cs="Times New Roman"/>
                <w:bCs w:val="0"/>
                <w:snapToGrid w:val="0"/>
                <w:color w:val="auto"/>
                <w:spacing w:val="-6"/>
                <w:kern w:val="21"/>
                <w:sz w:val="21"/>
                <w:szCs w:val="21"/>
                <w:lang w:val="en-US" w:eastAsia="zh-CN" w:bidi="ar-SA"/>
              </w:rPr>
              <w:t>-</w:t>
            </w:r>
            <w:r>
              <w:rPr>
                <w:rFonts w:hint="default" w:ascii="Times New Roman" w:hAnsi="Times New Roman" w:eastAsia="宋体" w:cs="Times New Roman"/>
                <w:bCs w:val="0"/>
                <w:snapToGrid w:val="0"/>
                <w:color w:val="auto"/>
                <w:spacing w:val="-6"/>
                <w:kern w:val="21"/>
                <w:sz w:val="21"/>
                <w:szCs w:val="21"/>
                <w:lang w:val="en-US" w:eastAsia="zh-CN" w:bidi="ar-SA"/>
              </w:rPr>
              <w:t>0</w:t>
            </w:r>
            <w:r>
              <w:rPr>
                <w:rFonts w:hint="eastAsia" w:cs="Times New Roman"/>
                <w:bCs w:val="0"/>
                <w:snapToGrid w:val="0"/>
                <w:color w:val="auto"/>
                <w:spacing w:val="-6"/>
                <w:kern w:val="21"/>
                <w:sz w:val="21"/>
                <w:szCs w:val="21"/>
                <w:lang w:val="en-US" w:eastAsia="zh-CN" w:bidi="ar-SA"/>
              </w:rPr>
              <w:t>.0045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0F26CFBB">
            <w:pPr>
              <w:pStyle w:val="73"/>
              <w:rPr>
                <w:rFonts w:hint="eastAsia"/>
                <w:color w:val="auto"/>
                <w:lang w:val="en-US" w:eastAsia="zh-CN"/>
              </w:rPr>
            </w:pPr>
            <w:r>
              <w:rPr>
                <w:rFonts w:hint="eastAsia"/>
                <w:color w:val="auto"/>
                <w:lang w:val="en-US" w:eastAsia="zh-CN"/>
              </w:rPr>
              <w:t>0.0063</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490F76E3">
            <w:pPr>
              <w:pStyle w:val="73"/>
              <w:rPr>
                <w:rFonts w:hint="eastAsia"/>
                <w:color w:val="auto"/>
                <w:lang w:val="en-US" w:eastAsia="zh-CN"/>
              </w:rPr>
            </w:pPr>
            <w:r>
              <w:rPr>
                <w:rFonts w:hint="eastAsia"/>
                <w:color w:val="auto"/>
                <w:lang w:val="en-US" w:eastAsia="zh-CN"/>
              </w:rPr>
              <w:t>0.0018</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3FDDEA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restart"/>
            <w:noWrap w:val="0"/>
            <w:vAlign w:val="center"/>
          </w:tcPr>
          <w:p w14:paraId="410F4AF4">
            <w:pPr>
              <w:pStyle w:val="49"/>
              <w:spacing w:beforeLines="0" w:afterLines="0" w:line="240" w:lineRule="auto"/>
              <w:rPr>
                <w:rFonts w:ascii="Times New Roman"/>
                <w:snapToGrid w:val="0"/>
                <w:color w:val="auto"/>
                <w:kern w:val="21"/>
                <w:szCs w:val="21"/>
              </w:rPr>
            </w:pPr>
            <w:r>
              <w:rPr>
                <w:rFonts w:ascii="Times New Roman"/>
                <w:snapToGrid w:val="0"/>
                <w:color w:val="auto"/>
                <w:kern w:val="21"/>
                <w:szCs w:val="21"/>
              </w:rPr>
              <w:t>危险废物</w:t>
            </w:r>
          </w:p>
        </w:tc>
        <w:tc>
          <w:tcPr>
            <w:tcW w:w="1559" w:type="dxa"/>
            <w:noWrap w:val="0"/>
            <w:vAlign w:val="center"/>
          </w:tcPr>
          <w:p w14:paraId="15971BD9">
            <w:pPr>
              <w:pStyle w:val="20"/>
              <w:widowControl w:val="0"/>
              <w:tabs>
                <w:tab w:val="left" w:pos="0"/>
              </w:tabs>
              <w:spacing w:before="0" w:beforeAutospacing="0" w:after="0" w:afterAutospacing="0" w:line="240" w:lineRule="auto"/>
              <w:jc w:val="center"/>
              <w:rPr>
                <w:color w:val="auto"/>
                <w:szCs w:val="21"/>
              </w:rPr>
            </w:pPr>
            <w:r>
              <w:rPr>
                <w:rFonts w:hint="default" w:ascii="Times New Roman" w:hAnsi="Times New Roman" w:eastAsia="宋体" w:cs="Times New Roman"/>
                <w:color w:val="auto"/>
                <w:sz w:val="21"/>
                <w:szCs w:val="21"/>
                <w:lang w:val="en-US" w:eastAsia="zh-CN"/>
              </w:rPr>
              <w:t>废活性炭</w:t>
            </w:r>
          </w:p>
        </w:tc>
        <w:tc>
          <w:tcPr>
            <w:tcW w:w="1701" w:type="dxa"/>
            <w:noWrap w:val="0"/>
            <w:vAlign w:val="center"/>
          </w:tcPr>
          <w:p w14:paraId="0BFF240C">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4.03</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1FA98A07">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44548D2D">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764B820E">
            <w:pPr>
              <w:pStyle w:val="73"/>
              <w:rPr>
                <w:rFonts w:hint="default" w:eastAsia="宋体"/>
                <w:color w:val="auto"/>
                <w:szCs w:val="21"/>
                <w:lang w:val="en-US" w:eastAsia="zh-CN"/>
              </w:rPr>
            </w:pPr>
            <w:r>
              <w:rPr>
                <w:rFonts w:hint="eastAsia"/>
                <w:color w:val="auto"/>
                <w:szCs w:val="21"/>
                <w:lang w:val="en-US" w:eastAsia="zh-CN"/>
              </w:rPr>
              <w:t>5.64</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33C1A96C">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-4.03</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36D39A43">
            <w:pPr>
              <w:pStyle w:val="73"/>
              <w:rPr>
                <w:color w:val="auto"/>
                <w:szCs w:val="21"/>
              </w:rPr>
            </w:pPr>
            <w:r>
              <w:rPr>
                <w:rFonts w:hint="eastAsia"/>
                <w:color w:val="auto"/>
                <w:szCs w:val="21"/>
                <w:lang w:val="en-US" w:eastAsia="zh-CN"/>
              </w:rPr>
              <w:t>5.64</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0863D2E9">
            <w:pPr>
              <w:pStyle w:val="73"/>
              <w:rPr>
                <w:color w:val="auto"/>
                <w:szCs w:val="21"/>
              </w:rPr>
            </w:pPr>
            <w:r>
              <w:rPr>
                <w:rFonts w:hint="eastAsia"/>
                <w:color w:val="auto"/>
                <w:szCs w:val="21"/>
                <w:lang w:val="en-US" w:eastAsia="zh-CN"/>
              </w:rPr>
              <w:t>1.61</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71FDA1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continue"/>
            <w:noWrap w:val="0"/>
            <w:vAlign w:val="center"/>
          </w:tcPr>
          <w:p w14:paraId="46E70791">
            <w:pPr>
              <w:pStyle w:val="49"/>
              <w:spacing w:beforeLines="0" w:afterLines="0" w:line="240" w:lineRule="auto"/>
              <w:rPr>
                <w:rFonts w:ascii="Times New Roman"/>
                <w:snapToGrid w:val="0"/>
                <w:color w:val="auto"/>
                <w:kern w:val="21"/>
                <w:szCs w:val="21"/>
              </w:rPr>
            </w:pPr>
          </w:p>
        </w:tc>
        <w:tc>
          <w:tcPr>
            <w:tcW w:w="1559" w:type="dxa"/>
            <w:noWrap w:val="0"/>
            <w:vAlign w:val="center"/>
          </w:tcPr>
          <w:p w14:paraId="2F3B99E7">
            <w:pPr>
              <w:pStyle w:val="20"/>
              <w:widowControl w:val="0"/>
              <w:tabs>
                <w:tab w:val="left" w:pos="0"/>
              </w:tabs>
              <w:spacing w:before="0" w:beforeAutospacing="0" w:after="0" w:afterAutospacing="0" w:line="240" w:lineRule="auto"/>
              <w:jc w:val="center"/>
              <w:rPr>
                <w:color w:val="auto"/>
                <w:szCs w:val="21"/>
              </w:rPr>
            </w:pPr>
            <w:r>
              <w:rPr>
                <w:rFonts w:hint="eastAsia" w:ascii="Times New Roman" w:hAnsi="Times New Roman" w:cs="Times New Roman"/>
                <w:color w:val="auto"/>
                <w:sz w:val="21"/>
                <w:szCs w:val="21"/>
                <w:lang w:val="en-US" w:eastAsia="zh-CN"/>
              </w:rPr>
              <w:t>废润滑油</w:t>
            </w:r>
          </w:p>
        </w:tc>
        <w:tc>
          <w:tcPr>
            <w:tcW w:w="1701" w:type="dxa"/>
            <w:noWrap w:val="0"/>
            <w:vAlign w:val="center"/>
          </w:tcPr>
          <w:p w14:paraId="0A8ECCD9">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0.07</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28F76115">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182EFE7F">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0ECC3939">
            <w:pPr>
              <w:pStyle w:val="73"/>
              <w:rPr>
                <w:rFonts w:hint="default" w:eastAsia="宋体"/>
                <w:color w:val="auto"/>
                <w:lang w:val="en-US" w:eastAsia="zh-CN"/>
              </w:rPr>
            </w:pPr>
            <w:r>
              <w:rPr>
                <w:rFonts w:hint="eastAsia"/>
                <w:color w:val="auto"/>
                <w:lang w:val="en-US" w:eastAsia="zh-CN"/>
              </w:rPr>
              <w:t>0.1</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21321378">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-0.07</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59BDC56D">
            <w:pPr>
              <w:pStyle w:val="73"/>
              <w:rPr>
                <w:color w:val="auto"/>
              </w:rPr>
            </w:pPr>
            <w:r>
              <w:rPr>
                <w:rFonts w:hint="eastAsia"/>
                <w:color w:val="auto"/>
                <w:lang w:val="en-US" w:eastAsia="zh-CN"/>
              </w:rPr>
              <w:t>0.1</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696E15F6">
            <w:pPr>
              <w:pStyle w:val="73"/>
              <w:rPr>
                <w:color w:val="auto"/>
              </w:rPr>
            </w:pPr>
            <w:r>
              <w:rPr>
                <w:rFonts w:hint="eastAsia"/>
                <w:color w:val="auto"/>
                <w:lang w:val="en-US" w:eastAsia="zh-CN"/>
              </w:rPr>
              <w:t>0.03</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6E838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continue"/>
            <w:noWrap w:val="0"/>
            <w:vAlign w:val="center"/>
          </w:tcPr>
          <w:p w14:paraId="597EB20B">
            <w:pPr>
              <w:pStyle w:val="49"/>
              <w:spacing w:beforeLines="0" w:afterLines="0" w:line="240" w:lineRule="auto"/>
              <w:rPr>
                <w:rFonts w:ascii="Times New Roman"/>
                <w:snapToGrid w:val="0"/>
                <w:color w:val="auto"/>
                <w:kern w:val="21"/>
                <w:szCs w:val="21"/>
              </w:rPr>
            </w:pPr>
          </w:p>
        </w:tc>
        <w:tc>
          <w:tcPr>
            <w:tcW w:w="1559" w:type="dxa"/>
            <w:noWrap w:val="0"/>
            <w:vAlign w:val="center"/>
          </w:tcPr>
          <w:p w14:paraId="2B608F60">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废液压油</w:t>
            </w:r>
          </w:p>
        </w:tc>
        <w:tc>
          <w:tcPr>
            <w:tcW w:w="1701" w:type="dxa"/>
            <w:noWrap w:val="0"/>
            <w:vAlign w:val="center"/>
          </w:tcPr>
          <w:p w14:paraId="32AD9D4A">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0.07</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6F324C71">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064596AC">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3205C0F6">
            <w:pPr>
              <w:pStyle w:val="73"/>
              <w:rPr>
                <w:rFonts w:hint="eastAsia"/>
                <w:color w:val="auto"/>
                <w:lang w:val="en-US" w:eastAsia="zh-CN"/>
              </w:rPr>
            </w:pPr>
            <w:r>
              <w:rPr>
                <w:rFonts w:hint="eastAsia"/>
                <w:color w:val="auto"/>
                <w:lang w:val="en-US" w:eastAsia="zh-CN"/>
              </w:rPr>
              <w:t>0.1</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5636CF43">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-0.07</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4B43D2CE">
            <w:pPr>
              <w:pStyle w:val="73"/>
              <w:rPr>
                <w:rFonts w:hint="eastAsia"/>
                <w:color w:val="auto"/>
                <w:lang w:val="en-US" w:eastAsia="zh-CN"/>
              </w:rPr>
            </w:pPr>
            <w:r>
              <w:rPr>
                <w:rFonts w:hint="eastAsia"/>
                <w:color w:val="auto"/>
                <w:lang w:val="en-US" w:eastAsia="zh-CN"/>
              </w:rPr>
              <w:t>0.1</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159C5C77">
            <w:pPr>
              <w:pStyle w:val="73"/>
              <w:rPr>
                <w:rFonts w:hint="eastAsia"/>
                <w:color w:val="auto"/>
                <w:lang w:val="en-US" w:eastAsia="zh-CN"/>
              </w:rPr>
            </w:pPr>
            <w:r>
              <w:rPr>
                <w:rFonts w:hint="eastAsia"/>
                <w:color w:val="auto"/>
                <w:lang w:val="en-US" w:eastAsia="zh-CN"/>
              </w:rPr>
              <w:t>0.03</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23607A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continue"/>
            <w:noWrap w:val="0"/>
            <w:vAlign w:val="center"/>
          </w:tcPr>
          <w:p w14:paraId="4EE908D0">
            <w:pPr>
              <w:pStyle w:val="49"/>
              <w:spacing w:beforeLines="0" w:afterLines="0" w:line="240" w:lineRule="auto"/>
              <w:rPr>
                <w:rFonts w:ascii="Times New Roman"/>
                <w:snapToGrid w:val="0"/>
                <w:color w:val="auto"/>
                <w:kern w:val="21"/>
                <w:szCs w:val="21"/>
              </w:rPr>
            </w:pPr>
          </w:p>
        </w:tc>
        <w:tc>
          <w:tcPr>
            <w:tcW w:w="1559" w:type="dxa"/>
            <w:noWrap w:val="0"/>
            <w:vAlign w:val="center"/>
          </w:tcPr>
          <w:p w14:paraId="5B798CFC">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0"/>
                <w:sz w:val="21"/>
                <w:szCs w:val="21"/>
                <w:lang w:eastAsia="zh-CN"/>
              </w:rPr>
              <w:t>废润滑油桶及废液压油桶</w:t>
            </w:r>
          </w:p>
        </w:tc>
        <w:tc>
          <w:tcPr>
            <w:tcW w:w="1701" w:type="dxa"/>
            <w:noWrap w:val="0"/>
            <w:vAlign w:val="center"/>
          </w:tcPr>
          <w:p w14:paraId="582D9C0B">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0.036</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79936624">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7D26ACB8">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60957C0D">
            <w:pPr>
              <w:pStyle w:val="73"/>
              <w:rPr>
                <w:rFonts w:hint="eastAsia"/>
                <w:color w:val="auto"/>
                <w:lang w:val="en-US" w:eastAsia="zh-CN"/>
              </w:rPr>
            </w:pPr>
            <w:r>
              <w:rPr>
                <w:rFonts w:hint="eastAsia"/>
                <w:color w:val="auto"/>
                <w:lang w:val="en-US" w:eastAsia="zh-CN"/>
              </w:rPr>
              <w:t>0.05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24875B44">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-0.036</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673A7563">
            <w:pPr>
              <w:pStyle w:val="73"/>
              <w:rPr>
                <w:rFonts w:hint="eastAsia"/>
                <w:color w:val="auto"/>
                <w:lang w:val="en-US" w:eastAsia="zh-CN"/>
              </w:rPr>
            </w:pPr>
            <w:r>
              <w:rPr>
                <w:rFonts w:hint="eastAsia"/>
                <w:color w:val="auto"/>
                <w:lang w:val="en-US" w:eastAsia="zh-CN"/>
              </w:rPr>
              <w:t>0.05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648FF796">
            <w:pPr>
              <w:pStyle w:val="73"/>
              <w:rPr>
                <w:rFonts w:hint="eastAsia"/>
                <w:color w:val="auto"/>
                <w:lang w:val="en-US" w:eastAsia="zh-CN"/>
              </w:rPr>
            </w:pPr>
            <w:r>
              <w:rPr>
                <w:rFonts w:hint="eastAsia"/>
                <w:color w:val="auto"/>
                <w:lang w:val="en-US" w:eastAsia="zh-CN"/>
              </w:rPr>
              <w:t>0.014</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4CF2AE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vMerge w:val="continue"/>
            <w:noWrap w:val="0"/>
            <w:vAlign w:val="center"/>
          </w:tcPr>
          <w:p w14:paraId="54B2E742">
            <w:pPr>
              <w:pStyle w:val="49"/>
              <w:spacing w:beforeLines="0" w:afterLines="0" w:line="240" w:lineRule="auto"/>
              <w:rPr>
                <w:rFonts w:ascii="Times New Roman"/>
                <w:snapToGrid w:val="0"/>
                <w:color w:val="auto"/>
                <w:kern w:val="21"/>
                <w:szCs w:val="21"/>
              </w:rPr>
            </w:pPr>
          </w:p>
        </w:tc>
        <w:tc>
          <w:tcPr>
            <w:tcW w:w="1559" w:type="dxa"/>
            <w:noWrap w:val="0"/>
            <w:vAlign w:val="center"/>
          </w:tcPr>
          <w:p w14:paraId="1D3A53E9">
            <w:pPr>
              <w:pStyle w:val="20"/>
              <w:widowControl/>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0"/>
                <w:kern w:val="0"/>
                <w:sz w:val="21"/>
                <w:szCs w:val="21"/>
                <w:lang w:val="en-US" w:eastAsia="zh-CN"/>
              </w:rPr>
              <w:t>废抹布、废劳保手套</w:t>
            </w:r>
          </w:p>
        </w:tc>
        <w:tc>
          <w:tcPr>
            <w:tcW w:w="1701" w:type="dxa"/>
            <w:noWrap w:val="0"/>
            <w:vAlign w:val="center"/>
          </w:tcPr>
          <w:p w14:paraId="1B66740B">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0.007</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38BDBA70">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486F4D71">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63E3A2A8">
            <w:pPr>
              <w:pStyle w:val="73"/>
              <w:rPr>
                <w:rFonts w:hint="eastAsia"/>
                <w:color w:val="auto"/>
                <w:lang w:val="en-US" w:eastAsia="zh-CN"/>
              </w:rPr>
            </w:pPr>
            <w:r>
              <w:rPr>
                <w:rFonts w:hint="eastAsia"/>
                <w:color w:val="auto"/>
                <w:lang w:val="en-US" w:eastAsia="zh-CN"/>
              </w:rPr>
              <w:t>0.01</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29E41984">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-0.007</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5336F6A4">
            <w:pPr>
              <w:pStyle w:val="73"/>
              <w:rPr>
                <w:rFonts w:hint="eastAsia"/>
                <w:color w:val="auto"/>
                <w:lang w:val="en-US" w:eastAsia="zh-CN"/>
              </w:rPr>
            </w:pPr>
            <w:r>
              <w:rPr>
                <w:rFonts w:hint="eastAsia"/>
                <w:color w:val="auto"/>
                <w:lang w:val="en-US" w:eastAsia="zh-CN"/>
              </w:rPr>
              <w:t>0.01</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538A3653">
            <w:pPr>
              <w:pStyle w:val="73"/>
              <w:rPr>
                <w:rFonts w:hint="eastAsia"/>
                <w:color w:val="auto"/>
                <w:lang w:val="en-US" w:eastAsia="zh-CN"/>
              </w:rPr>
            </w:pPr>
            <w:r>
              <w:rPr>
                <w:rFonts w:hint="eastAsia"/>
                <w:color w:val="auto"/>
                <w:lang w:val="en-US" w:eastAsia="zh-CN"/>
              </w:rPr>
              <w:t>0.003</w:t>
            </w:r>
            <w:r>
              <w:rPr>
                <w:rFonts w:hint="default" w:ascii="Times New Roman" w:hAnsi="Times New Roman" w:eastAsia="宋体" w:cs="Times New Roman"/>
                <w:bCs w:val="0"/>
                <w:snapToGrid w:val="0"/>
                <w:color w:val="auto"/>
                <w:spacing w:val="-6"/>
                <w:kern w:val="21"/>
                <w:sz w:val="21"/>
                <w:szCs w:val="21"/>
                <w:lang w:val="en-US" w:eastAsia="zh-CN" w:bidi="ar-SA"/>
              </w:rPr>
              <w:t>t/a</w:t>
            </w:r>
          </w:p>
        </w:tc>
      </w:tr>
      <w:tr w14:paraId="370A2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6" w:type="dxa"/>
            <w:noWrap w:val="0"/>
            <w:vAlign w:val="center"/>
          </w:tcPr>
          <w:p w14:paraId="6F13EAC1">
            <w:pPr>
              <w:pStyle w:val="49"/>
              <w:spacing w:beforeLines="0" w:afterLines="0" w:line="240" w:lineRule="auto"/>
              <w:rPr>
                <w:rFonts w:hint="eastAsia" w:ascii="Times New Roman" w:eastAsia="宋体"/>
                <w:snapToGrid w:val="0"/>
                <w:color w:val="auto"/>
                <w:kern w:val="21"/>
                <w:szCs w:val="21"/>
                <w:lang w:eastAsia="zh-CN"/>
              </w:rPr>
            </w:pPr>
            <w:r>
              <w:rPr>
                <w:rFonts w:hint="eastAsia" w:ascii="Times New Roman"/>
                <w:snapToGrid w:val="0"/>
                <w:color w:val="auto"/>
                <w:kern w:val="21"/>
                <w:szCs w:val="21"/>
                <w:lang w:eastAsia="zh-CN"/>
              </w:rPr>
              <w:t>生活垃圾</w:t>
            </w:r>
          </w:p>
        </w:tc>
        <w:tc>
          <w:tcPr>
            <w:tcW w:w="1559" w:type="dxa"/>
            <w:noWrap w:val="0"/>
            <w:vAlign w:val="center"/>
          </w:tcPr>
          <w:p w14:paraId="79EEE422">
            <w:pPr>
              <w:pStyle w:val="20"/>
              <w:widowControl w:val="0"/>
              <w:tabs>
                <w:tab w:val="left" w:pos="0"/>
              </w:tabs>
              <w:spacing w:before="0" w:beforeAutospacing="0" w:after="0" w:afterAutospacing="0"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701" w:type="dxa"/>
            <w:noWrap w:val="0"/>
            <w:vAlign w:val="center"/>
          </w:tcPr>
          <w:p w14:paraId="57E1F859">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3.3</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276" w:type="dxa"/>
            <w:noWrap w:val="0"/>
            <w:vAlign w:val="center"/>
          </w:tcPr>
          <w:p w14:paraId="032E3A4E">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701" w:type="dxa"/>
            <w:noWrap w:val="0"/>
            <w:vAlign w:val="center"/>
          </w:tcPr>
          <w:p w14:paraId="09C13738">
            <w:pPr>
              <w:spacing w:beforeLines="0" w:afterLines="0" w:line="240" w:lineRule="auto"/>
              <w:jc w:val="center"/>
              <w:rPr>
                <w:rFonts w:ascii="Times New Roman"/>
                <w:snapToGrid w:val="0"/>
                <w:color w:val="auto"/>
                <w:kern w:val="21"/>
                <w:szCs w:val="21"/>
              </w:rPr>
            </w:pPr>
            <w:r>
              <w:rPr>
                <w:rFonts w:hint="eastAsia" w:ascii="Times New Roman"/>
                <w:snapToGrid w:val="0"/>
                <w:color w:val="auto"/>
                <w:kern w:val="21"/>
                <w:szCs w:val="21"/>
                <w:lang w:val="en-US" w:eastAsia="zh-CN"/>
              </w:rPr>
              <w:t>/</w:t>
            </w:r>
          </w:p>
        </w:tc>
        <w:tc>
          <w:tcPr>
            <w:tcW w:w="1559" w:type="dxa"/>
            <w:noWrap w:val="0"/>
            <w:vAlign w:val="center"/>
          </w:tcPr>
          <w:p w14:paraId="72EC6D6E">
            <w:pPr>
              <w:pStyle w:val="73"/>
              <w:rPr>
                <w:rFonts w:hint="default"/>
                <w:color w:val="auto"/>
                <w:lang w:val="en-US" w:eastAsia="zh-CN"/>
              </w:rPr>
            </w:pPr>
            <w:r>
              <w:rPr>
                <w:rFonts w:hint="eastAsia"/>
                <w:color w:val="auto"/>
                <w:lang w:val="en-US" w:eastAsia="zh-CN"/>
              </w:rPr>
              <w:t>4.95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61" w:type="dxa"/>
            <w:noWrap w:val="0"/>
            <w:vAlign w:val="center"/>
          </w:tcPr>
          <w:p w14:paraId="2E772A2F">
            <w:pPr>
              <w:keepNext w:val="0"/>
              <w:keepLines w:val="0"/>
              <w:pageBreakBefore w:val="0"/>
              <w:widowControl w:val="0"/>
              <w:kinsoku/>
              <w:wordWrap/>
              <w:overflowPunct/>
              <w:topLinePunct w:val="0"/>
              <w:autoSpaceDE/>
              <w:autoSpaceDN/>
              <w:bidi w:val="0"/>
              <w:spacing w:line="240" w:lineRule="auto"/>
              <w:jc w:val="center"/>
              <w:textAlignment w:val="auto"/>
              <w:rPr>
                <w:rFonts w:ascii="Times New Roman"/>
                <w:snapToGrid w:val="0"/>
                <w:color w:val="auto"/>
                <w:kern w:val="21"/>
                <w:szCs w:val="21"/>
              </w:rPr>
            </w:pPr>
            <w:r>
              <w:rPr>
                <w:rFonts w:hint="eastAsia" w:cs="Times New Roman"/>
                <w:bCs w:val="0"/>
                <w:snapToGrid w:val="0"/>
                <w:color w:val="auto"/>
                <w:spacing w:val="-6"/>
                <w:kern w:val="21"/>
                <w:sz w:val="21"/>
                <w:szCs w:val="21"/>
                <w:lang w:val="en-US" w:eastAsia="zh-CN" w:bidi="ar-SA"/>
              </w:rPr>
              <w:t>-3.3</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739" w:type="dxa"/>
            <w:noWrap w:val="0"/>
            <w:vAlign w:val="center"/>
          </w:tcPr>
          <w:p w14:paraId="312B4366">
            <w:pPr>
              <w:pStyle w:val="73"/>
              <w:rPr>
                <w:color w:val="auto"/>
              </w:rPr>
            </w:pPr>
            <w:r>
              <w:rPr>
                <w:rFonts w:hint="eastAsia"/>
                <w:color w:val="auto"/>
                <w:lang w:val="en-US" w:eastAsia="zh-CN"/>
              </w:rPr>
              <w:t>4.95</w:t>
            </w:r>
            <w:r>
              <w:rPr>
                <w:rFonts w:hint="default" w:ascii="Times New Roman" w:hAnsi="Times New Roman" w:eastAsia="宋体" w:cs="Times New Roman"/>
                <w:bCs w:val="0"/>
                <w:snapToGrid w:val="0"/>
                <w:color w:val="auto"/>
                <w:spacing w:val="-6"/>
                <w:kern w:val="21"/>
                <w:sz w:val="21"/>
                <w:szCs w:val="21"/>
                <w:lang w:val="en-US" w:eastAsia="zh-CN" w:bidi="ar-SA"/>
              </w:rPr>
              <w:t>t/a</w:t>
            </w:r>
          </w:p>
        </w:tc>
        <w:tc>
          <w:tcPr>
            <w:tcW w:w="1046" w:type="dxa"/>
            <w:noWrap w:val="0"/>
            <w:vAlign w:val="center"/>
          </w:tcPr>
          <w:p w14:paraId="5C537D76">
            <w:pPr>
              <w:pStyle w:val="73"/>
              <w:rPr>
                <w:color w:val="auto"/>
              </w:rPr>
            </w:pPr>
            <w:r>
              <w:rPr>
                <w:rFonts w:hint="eastAsia"/>
                <w:color w:val="auto"/>
                <w:lang w:val="en-US" w:eastAsia="zh-CN"/>
              </w:rPr>
              <w:t>1.65</w:t>
            </w:r>
            <w:r>
              <w:rPr>
                <w:rFonts w:hint="default" w:ascii="Times New Roman" w:hAnsi="Times New Roman" w:eastAsia="宋体" w:cs="Times New Roman"/>
                <w:bCs w:val="0"/>
                <w:snapToGrid w:val="0"/>
                <w:color w:val="auto"/>
                <w:spacing w:val="-6"/>
                <w:kern w:val="21"/>
                <w:sz w:val="21"/>
                <w:szCs w:val="21"/>
                <w:lang w:val="en-US" w:eastAsia="zh-CN" w:bidi="ar-SA"/>
              </w:rPr>
              <w:t>t/a</w:t>
            </w:r>
          </w:p>
        </w:tc>
      </w:tr>
    </w:tbl>
    <w:p w14:paraId="6AF47404">
      <w:pPr>
        <w:pStyle w:val="49"/>
        <w:spacing w:before="192" w:beforeLines="80" w:after="24"/>
        <w:jc w:val="left"/>
        <w:rPr>
          <w:rFonts w:ascii="Times New Roman"/>
          <w:color w:val="auto"/>
        </w:rPr>
      </w:pPr>
      <w:r>
        <w:rPr>
          <w:rFonts w:ascii="Times New Roman"/>
          <w:snapToGrid w:val="0"/>
          <w:color w:val="auto"/>
          <w:kern w:val="21"/>
          <w:szCs w:val="21"/>
        </w:rPr>
        <w:t>注：</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hint="eastAsia" w:hAnsi="宋体" w:cs="宋体"/>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hint="eastAsia" w:hAnsi="宋体" w:cs="宋体"/>
          <w:color w:val="auto"/>
          <w:szCs w:val="21"/>
        </w:rPr>
        <w:t>①</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3 \* GB3 \* MERGEFORMAT </w:instrText>
      </w:r>
      <w:r>
        <w:rPr>
          <w:rFonts w:ascii="Times New Roman"/>
          <w:snapToGrid w:val="0"/>
          <w:color w:val="auto"/>
          <w:spacing w:val="-6"/>
          <w:kern w:val="21"/>
          <w:szCs w:val="21"/>
        </w:rPr>
        <w:fldChar w:fldCharType="separate"/>
      </w:r>
      <w:r>
        <w:rPr>
          <w:rFonts w:hint="eastAsia" w:hAnsi="宋体" w:cs="宋体"/>
          <w:color w:val="auto"/>
          <w:szCs w:val="21"/>
        </w:rPr>
        <w:t>③</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4 \* GB3 \* MERGEFORMAT </w:instrText>
      </w:r>
      <w:r>
        <w:rPr>
          <w:rFonts w:ascii="Times New Roman"/>
          <w:snapToGrid w:val="0"/>
          <w:color w:val="auto"/>
          <w:spacing w:val="-6"/>
          <w:kern w:val="21"/>
          <w:szCs w:val="21"/>
        </w:rPr>
        <w:fldChar w:fldCharType="separate"/>
      </w:r>
      <w:r>
        <w:rPr>
          <w:rFonts w:hint="eastAsia" w:hAnsi="宋体" w:cs="宋体"/>
          <w:color w:val="auto"/>
          <w:szCs w:val="21"/>
        </w:rPr>
        <w:t>④</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5 \* GB3 \* MERGEFORMAT </w:instrText>
      </w:r>
      <w:r>
        <w:rPr>
          <w:rFonts w:ascii="Times New Roman"/>
          <w:snapToGrid w:val="0"/>
          <w:color w:val="auto"/>
          <w:spacing w:val="-16"/>
          <w:kern w:val="21"/>
          <w:szCs w:val="21"/>
        </w:rPr>
        <w:fldChar w:fldCharType="separate"/>
      </w:r>
      <w:r>
        <w:rPr>
          <w:rFonts w:hint="eastAsia" w:hAnsi="宋体" w:cs="宋体"/>
          <w:color w:val="auto"/>
          <w:szCs w:val="21"/>
        </w:rPr>
        <w:t>⑤</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7 \* GB3 \* MERGEFORMAT </w:instrText>
      </w:r>
      <w:r>
        <w:rPr>
          <w:rFonts w:ascii="Times New Roman"/>
          <w:snapToGrid w:val="0"/>
          <w:color w:val="auto"/>
          <w:spacing w:val="-6"/>
          <w:kern w:val="21"/>
          <w:szCs w:val="21"/>
        </w:rPr>
        <w:fldChar w:fldCharType="separate"/>
      </w:r>
      <w:r>
        <w:rPr>
          <w:rFonts w:hint="eastAsia" w:hAnsi="宋体" w:cs="宋体"/>
          <w:color w:val="auto"/>
          <w:szCs w:val="21"/>
        </w:rPr>
        <w:t>⑦</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hint="eastAsia" w:hAnsi="宋体" w:cs="宋体"/>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hint="eastAsia" w:hAnsi="宋体" w:cs="宋体"/>
          <w:color w:val="auto"/>
          <w:szCs w:val="21"/>
        </w:rPr>
        <w:t>①</w:t>
      </w:r>
      <w:r>
        <w:rPr>
          <w:rFonts w:ascii="Times New Roman"/>
          <w:snapToGrid w:val="0"/>
          <w:color w:val="auto"/>
          <w:spacing w:val="-6"/>
          <w:kern w:val="21"/>
          <w:szCs w:val="21"/>
        </w:rPr>
        <w:fldChar w:fldCharType="end"/>
      </w:r>
    </w:p>
    <w:p w14:paraId="0E92C72A">
      <w:pPr>
        <w:rPr>
          <w:color w:val="auto"/>
        </w:rPr>
        <w:sectPr>
          <w:footerReference r:id="rId7" w:type="default"/>
          <w:pgSz w:w="16838" w:h="11906" w:orient="landscape"/>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7ED3523">
      <w:pPr>
        <w:pStyle w:val="73"/>
        <w:rPr>
          <w:rFonts w:hint="default" w:ascii="Times New Roman" w:hAnsi="Times New Roman" w:eastAsia="宋体"/>
          <w:color w:val="auto"/>
          <w:sz w:val="24"/>
          <w:szCs w:val="24"/>
          <w:lang w:val="en-US" w:eastAsia="zh-CN"/>
        </w:rPr>
      </w:pPr>
      <w:r>
        <w:rPr>
          <w:rFonts w:hint="default" w:ascii="Times New Roman" w:hAnsi="Times New Roman" w:eastAsia="宋体"/>
          <w:color w:val="auto"/>
          <w:sz w:val="24"/>
          <w:szCs w:val="24"/>
          <w:lang w:val="en-US" w:eastAsia="zh-CN"/>
        </w:rPr>
        <w:drawing>
          <wp:inline distT="0" distB="0" distL="114300" distR="114300">
            <wp:extent cx="5758180" cy="8141970"/>
            <wp:effectExtent l="0" t="0" r="13970" b="11430"/>
            <wp:docPr id="125" name="图片 125" descr="夸克扫描王_委托书_页面_4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夸克扫描王_委托书_页面_4副本"/>
                    <pic:cNvPicPr>
                      <a:picLocks noChangeAspect="1"/>
                    </pic:cNvPicPr>
                  </pic:nvPicPr>
                  <pic:blipFill>
                    <a:blip r:embed="rId44"/>
                    <a:stretch>
                      <a:fillRect/>
                    </a:stretch>
                  </pic:blipFill>
                  <pic:spPr>
                    <a:xfrm>
                      <a:off x="0" y="0"/>
                      <a:ext cx="5758180" cy="8141970"/>
                    </a:xfrm>
                    <a:prstGeom prst="rect">
                      <a:avLst/>
                    </a:prstGeom>
                  </pic:spPr>
                </pic:pic>
              </a:graphicData>
            </a:graphic>
          </wp:inline>
        </w:drawing>
      </w:r>
    </w:p>
    <w:p w14:paraId="66C2F048">
      <w:pPr>
        <w:pStyle w:val="73"/>
        <w:rPr>
          <w:rFonts w:hint="default" w:ascii="Times New Roman" w:hAnsi="Times New Roman" w:eastAsia="宋体"/>
          <w:color w:val="auto"/>
          <w:sz w:val="24"/>
          <w:szCs w:val="24"/>
          <w:lang w:val="en-US" w:eastAsia="zh-CN"/>
        </w:rPr>
      </w:pPr>
    </w:p>
    <w:p w14:paraId="6F1F6983">
      <w:pPr>
        <w:pStyle w:val="73"/>
        <w:rPr>
          <w:rFonts w:hint="default" w:ascii="Times New Roman" w:hAnsi="Times New Roman" w:eastAsia="宋体"/>
          <w:color w:val="auto"/>
          <w:sz w:val="24"/>
          <w:szCs w:val="24"/>
          <w:lang w:val="en-US" w:eastAsia="zh-CN"/>
        </w:rPr>
      </w:pPr>
    </w:p>
    <w:p w14:paraId="231CD7CA">
      <w:pPr>
        <w:pStyle w:val="73"/>
        <w:rPr>
          <w:rFonts w:hint="default" w:ascii="Times New Roman" w:hAnsi="Times New Roman" w:eastAsia="宋体"/>
          <w:color w:val="auto"/>
          <w:sz w:val="24"/>
          <w:szCs w:val="24"/>
          <w:lang w:val="en-US" w:eastAsia="zh-CN"/>
        </w:rPr>
      </w:pPr>
    </w:p>
    <w:p w14:paraId="489BEE0D">
      <w:pPr>
        <w:pStyle w:val="73"/>
        <w:rPr>
          <w:rFonts w:hint="default" w:ascii="Times New Roman" w:hAnsi="Times New Roman" w:eastAsia="宋体"/>
          <w:color w:val="auto"/>
          <w:sz w:val="24"/>
          <w:szCs w:val="24"/>
          <w:lang w:val="en-US" w:eastAsia="zh-CN"/>
        </w:rPr>
      </w:pPr>
    </w:p>
    <w:p w14:paraId="1D571080">
      <w:pPr>
        <w:pStyle w:val="73"/>
        <w:rPr>
          <w:rFonts w:hint="eastAsia" w:eastAsia="宋体"/>
          <w:color w:val="auto"/>
          <w:lang w:eastAsia="zh-CN"/>
        </w:rPr>
      </w:pPr>
    </w:p>
    <w:p w14:paraId="4D4BB7D8">
      <w:pPr>
        <w:rPr>
          <w:rFonts w:hint="eastAsia"/>
          <w:color w:val="auto"/>
          <w:sz w:val="21"/>
          <w:szCs w:val="24"/>
          <w:lang w:val="en-US" w:eastAsia="zh-CN"/>
        </w:rPr>
      </w:pPr>
      <w:r>
        <w:rPr>
          <w:rFonts w:hint="default" w:ascii="Times New Roman" w:hAnsi="Times New Roman" w:eastAsia="宋体"/>
          <w:color w:val="auto"/>
          <w:sz w:val="24"/>
          <w:szCs w:val="24"/>
          <w:lang w:val="en-US" w:eastAsia="zh-CN"/>
        </w:rPr>
        <w:drawing>
          <wp:inline distT="0" distB="0" distL="114300" distR="114300">
            <wp:extent cx="5757545" cy="8138795"/>
            <wp:effectExtent l="0" t="0" r="14605" b="14605"/>
            <wp:docPr id="126" name="图片 126" descr="夸克扫描王_委托书_页面_5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夸克扫描王_委托书_页面_5副本"/>
                    <pic:cNvPicPr>
                      <a:picLocks noChangeAspect="1"/>
                    </pic:cNvPicPr>
                  </pic:nvPicPr>
                  <pic:blipFill>
                    <a:blip r:embed="rId45"/>
                    <a:stretch>
                      <a:fillRect/>
                    </a:stretch>
                  </pic:blipFill>
                  <pic:spPr>
                    <a:xfrm>
                      <a:off x="0" y="0"/>
                      <a:ext cx="5757545" cy="8138795"/>
                    </a:xfrm>
                    <a:prstGeom prst="rect">
                      <a:avLst/>
                    </a:prstGeom>
                  </pic:spPr>
                </pic:pic>
              </a:graphicData>
            </a:graphic>
          </wp:inline>
        </w:drawing>
      </w:r>
    </w:p>
    <w:sectPr>
      <w:headerReference r:id="rId8" w:type="default"/>
      <w:footerReference r:id="rId9" w:type="default"/>
      <w:pgSz w:w="11906" w:h="16838"/>
      <w:pgMar w:top="1418" w:right="1418" w:bottom="1418" w:left="1418"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gbsnu54">
    <w:altName w:val="Times New Roman"/>
    <w:panose1 w:val="00000000000000000000"/>
    <w:charset w:val="00"/>
    <w:family w:val="auto"/>
    <w:pitch w:val="default"/>
    <w:sig w:usb0="00000000" w:usb1="00000000" w:usb2="00000000" w:usb3="00000000" w:csb0="00000001" w:csb1="00000000"/>
  </w:font>
  <w:font w:name="文鼎CS中宋">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方正小标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973E4">
    <w:pPr>
      <w:pStyle w:val="18"/>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C0B5D">
    <w:pPr>
      <w:pStyle w:val="18"/>
      <w:framePr w:wrap="around" w:vAnchor="text" w:hAnchor="margin" w:xAlign="center" w:y="1"/>
      <w:rPr>
        <w:rStyle w:val="26"/>
      </w:rPr>
    </w:pPr>
    <w:r>
      <w:fldChar w:fldCharType="begin"/>
    </w:r>
    <w:r>
      <w:rPr>
        <w:rStyle w:val="26"/>
      </w:rPr>
      <w:instrText xml:space="preserve">PAGE  </w:instrText>
    </w:r>
    <w:r>
      <w:fldChar w:fldCharType="end"/>
    </w:r>
  </w:p>
  <w:p w14:paraId="46D9A4B4">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07A24">
    <w:pPr>
      <w:pStyle w:val="18"/>
      <w:framePr w:wrap="around" w:vAnchor="text" w:hAnchor="margin" w:xAlign="outside" w:y="1"/>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Style w:val="26"/>
        <w:rFonts w:ascii="宋体" w:hAnsi="宋体"/>
        <w:sz w:val="26"/>
        <w:szCs w:val="26"/>
      </w:rPr>
      <w:fldChar w:fldCharType="begin"/>
    </w:r>
    <w:r>
      <w:rPr>
        <w:rStyle w:val="26"/>
        <w:rFonts w:ascii="宋体" w:hAnsi="宋体"/>
        <w:sz w:val="26"/>
        <w:szCs w:val="26"/>
      </w:rPr>
      <w:instrText xml:space="preserve">PAGE  </w:instrText>
    </w:r>
    <w:r>
      <w:rPr>
        <w:rStyle w:val="26"/>
        <w:rFonts w:ascii="宋体" w:hAnsi="宋体"/>
        <w:sz w:val="26"/>
        <w:szCs w:val="26"/>
      </w:rPr>
      <w:fldChar w:fldCharType="separate"/>
    </w:r>
    <w:r>
      <w:rPr>
        <w:rStyle w:val="26"/>
        <w:rFonts w:ascii="宋体" w:hAnsi="宋体"/>
        <w:sz w:val="26"/>
        <w:szCs w:val="26"/>
      </w:rPr>
      <w:t>52</w:t>
    </w:r>
    <w:r>
      <w:rPr>
        <w:rStyle w:val="26"/>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p w14:paraId="238FCB3E">
    <w:pPr>
      <w:pStyle w:val="18"/>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6E50C">
    <w:pPr>
      <w:pStyle w:val="18"/>
      <w:framePr w:wrap="around" w:vAnchor="text" w:hAnchor="margin" w:xAlign="outside" w:y="1"/>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Style w:val="26"/>
        <w:rFonts w:ascii="宋体" w:hAnsi="宋体"/>
        <w:sz w:val="26"/>
        <w:szCs w:val="26"/>
      </w:rPr>
      <w:fldChar w:fldCharType="begin"/>
    </w:r>
    <w:r>
      <w:rPr>
        <w:rStyle w:val="26"/>
        <w:rFonts w:ascii="宋体" w:hAnsi="宋体"/>
        <w:sz w:val="26"/>
        <w:szCs w:val="26"/>
      </w:rPr>
      <w:instrText xml:space="preserve">PAGE  </w:instrText>
    </w:r>
    <w:r>
      <w:rPr>
        <w:rStyle w:val="26"/>
        <w:rFonts w:ascii="宋体" w:hAnsi="宋体"/>
        <w:sz w:val="26"/>
        <w:szCs w:val="26"/>
      </w:rPr>
      <w:fldChar w:fldCharType="separate"/>
    </w:r>
    <w:r>
      <w:rPr>
        <w:rStyle w:val="26"/>
        <w:rFonts w:ascii="宋体" w:hAnsi="宋体"/>
        <w:sz w:val="26"/>
        <w:szCs w:val="26"/>
      </w:rPr>
      <w:t>52</w:t>
    </w:r>
    <w:r>
      <w:rPr>
        <w:rStyle w:val="26"/>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p w14:paraId="14F1106B">
    <w:pPr>
      <w:pStyle w:val="18"/>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CC3A0">
    <w:pPr>
      <w:pStyle w:val="18"/>
      <w:framePr w:wrap="around" w:vAnchor="text" w:hAnchor="margin" w:xAlign="center" w:y="1"/>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Style w:val="26"/>
        <w:rFonts w:ascii="宋体" w:hAnsi="宋体"/>
        <w:sz w:val="26"/>
        <w:szCs w:val="26"/>
      </w:rPr>
      <w:fldChar w:fldCharType="begin"/>
    </w:r>
    <w:r>
      <w:rPr>
        <w:rStyle w:val="26"/>
        <w:rFonts w:ascii="宋体" w:hAnsi="宋体"/>
        <w:sz w:val="26"/>
        <w:szCs w:val="26"/>
      </w:rPr>
      <w:instrText xml:space="preserve">PAGE  </w:instrText>
    </w:r>
    <w:r>
      <w:rPr>
        <w:rStyle w:val="26"/>
        <w:rFonts w:ascii="宋体" w:hAnsi="宋体"/>
        <w:sz w:val="26"/>
        <w:szCs w:val="26"/>
      </w:rPr>
      <w:fldChar w:fldCharType="separate"/>
    </w:r>
    <w:r>
      <w:rPr>
        <w:rStyle w:val="26"/>
        <w:rFonts w:ascii="宋体" w:hAnsi="宋体"/>
        <w:sz w:val="26"/>
        <w:szCs w:val="26"/>
      </w:rPr>
      <w:t>53</w:t>
    </w:r>
    <w:r>
      <w:rPr>
        <w:rStyle w:val="26"/>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p w14:paraId="7E3806F2">
    <w:pPr>
      <w:pStyle w:val="18"/>
      <w:ind w:right="360" w:firstLine="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ED3C9">
    <w:pPr>
      <w:pStyle w:val="18"/>
      <w:framePr w:wrap="around" w:vAnchor="text" w:hAnchor="margin" w:xAlign="center" w:y="1"/>
      <w:ind w:firstLine="360"/>
      <w:rPr>
        <w:rStyle w:val="26"/>
      </w:rPr>
    </w:pPr>
    <w:r>
      <w:fldChar w:fldCharType="begin"/>
    </w:r>
    <w:r>
      <w:rPr>
        <w:rStyle w:val="26"/>
      </w:rPr>
      <w:instrText xml:space="preserve">PAGE  </w:instrText>
    </w:r>
    <w:r>
      <w:fldChar w:fldCharType="separate"/>
    </w:r>
    <w:r>
      <w:rPr>
        <w:rStyle w:val="26"/>
      </w:rPr>
      <w:t>4</w:t>
    </w:r>
    <w:r>
      <w:fldChar w:fldCharType="end"/>
    </w:r>
  </w:p>
  <w:p w14:paraId="0E701D0C">
    <w:pPr>
      <w:pStyle w:val="1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CAD98">
    <w:pPr>
      <w:pStyle w:val="13"/>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FB1E55"/>
    <w:multiLevelType w:val="singleLevel"/>
    <w:tmpl w:val="AAFB1E55"/>
    <w:lvl w:ilvl="0" w:tentative="0">
      <w:start w:val="1"/>
      <w:numFmt w:val="decimal"/>
      <w:suff w:val="nothing"/>
      <w:lvlText w:val="（%1）"/>
      <w:lvlJc w:val="left"/>
    </w:lvl>
  </w:abstractNum>
  <w:abstractNum w:abstractNumId="1">
    <w:nsid w:val="E70E5409"/>
    <w:multiLevelType w:val="singleLevel"/>
    <w:tmpl w:val="E70E5409"/>
    <w:lvl w:ilvl="0" w:tentative="0">
      <w:start w:val="2"/>
      <w:numFmt w:val="decimal"/>
      <w:suff w:val="nothing"/>
      <w:lvlText w:val="（%1）"/>
      <w:lvlJc w:val="left"/>
    </w:lvl>
  </w:abstractNum>
  <w:abstractNum w:abstractNumId="2">
    <w:nsid w:val="00000010"/>
    <w:multiLevelType w:val="multilevel"/>
    <w:tmpl w:val="00000010"/>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lvlText w:val="%2."/>
      <w:lvlJc w:val="left"/>
      <w:pPr>
        <w:ind w:left="0" w:firstLine="0"/>
      </w:pPr>
      <w:rPr>
        <w:rFonts w:hint="eastAsia"/>
        <w:b w:val="0"/>
        <w:i w:val="0"/>
        <w:sz w:val="32"/>
        <w:szCs w:val="32"/>
      </w:rPr>
    </w:lvl>
    <w:lvl w:ilvl="2" w:tentative="0">
      <w:start w:val="1"/>
      <w:numFmt w:val="decimal"/>
      <w:pStyle w:val="143"/>
      <w:suff w:val="nothing"/>
      <w:lvlText w:val="%1%2.%3　"/>
      <w:lvlJc w:val="left"/>
      <w:pPr>
        <w:ind w:left="426" w:firstLine="0"/>
      </w:pPr>
      <w:rPr>
        <w:rFonts w:hint="eastAsia" w:ascii="黑体" w:hAnsi="Times New Roman" w:eastAsia="黑体"/>
        <w:b w:val="0"/>
        <w:i w:val="0"/>
        <w:sz w:val="28"/>
        <w:szCs w:val="28"/>
      </w:rPr>
    </w:lvl>
    <w:lvl w:ilvl="3" w:tentative="0">
      <w:start w:val="1"/>
      <w:numFmt w:val="decimal"/>
      <w:pStyle w:val="142"/>
      <w:suff w:val="nothing"/>
      <w:lvlText w:val="%1%2.%3.%4　"/>
      <w:lvlJc w:val="left"/>
      <w:pPr>
        <w:ind w:left="0" w:firstLine="0"/>
      </w:pPr>
      <w:rPr>
        <w:rFonts w:hint="eastAsia" w:ascii="黑体" w:hAnsi="Times New Roman" w:eastAsia="黑体"/>
        <w:b w:val="0"/>
        <w:i w:val="0"/>
        <w:sz w:val="24"/>
        <w:szCs w:val="24"/>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0169AC43"/>
    <w:multiLevelType w:val="singleLevel"/>
    <w:tmpl w:val="0169AC43"/>
    <w:lvl w:ilvl="0" w:tentative="0">
      <w:start w:val="2"/>
      <w:numFmt w:val="decimal"/>
      <w:suff w:val="nothing"/>
      <w:lvlText w:val="（%1）"/>
      <w:lvlJc w:val="left"/>
    </w:lvl>
  </w:abstractNum>
  <w:abstractNum w:abstractNumId="4">
    <w:nsid w:val="3F310391"/>
    <w:multiLevelType w:val="multilevel"/>
    <w:tmpl w:val="3F310391"/>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5">
    <w:nsid w:val="612C2EAF"/>
    <w:multiLevelType w:val="multilevel"/>
    <w:tmpl w:val="612C2EAF"/>
    <w:lvl w:ilvl="0" w:tentative="0">
      <w:start w:val="1"/>
      <w:numFmt w:val="chineseCountingThousand"/>
      <w:pStyle w:val="61"/>
      <w:suff w:val="nothing"/>
      <w:lvlText w:val="%1、"/>
      <w:lvlJc w:val="left"/>
      <w:pPr>
        <w:ind w:left="5529" w:firstLine="0"/>
      </w:pPr>
      <w:rPr>
        <w:rFonts w:hint="eastAsia"/>
      </w:rPr>
    </w:lvl>
    <w:lvl w:ilvl="1" w:tentative="0">
      <w:start w:val="1"/>
      <w:numFmt w:val="decimal"/>
      <w:pStyle w:val="54"/>
      <w:isLgl/>
      <w:suff w:val="space"/>
      <w:lvlText w:val="%1.%2"/>
      <w:lvlJc w:val="left"/>
      <w:pPr>
        <w:ind w:left="0" w:firstLine="0"/>
      </w:pPr>
      <w:rPr>
        <w:rFonts w:hint="eastAsia"/>
      </w:rPr>
    </w:lvl>
    <w:lvl w:ilvl="2" w:tentative="0">
      <w:start w:val="1"/>
      <w:numFmt w:val="decimal"/>
      <w:pStyle w:val="62"/>
      <w:isLgl/>
      <w:suff w:val="space"/>
      <w:lvlText w:val="%1.%2.%3"/>
      <w:lvlJc w:val="left"/>
      <w:pPr>
        <w:ind w:left="210" w:firstLine="0"/>
      </w:pPr>
      <w:rPr>
        <w:rFonts w:hint="eastAsia"/>
      </w:rPr>
    </w:lvl>
    <w:lvl w:ilvl="3" w:tentative="0">
      <w:start w:val="1"/>
      <w:numFmt w:val="decimal"/>
      <w:lvlRestart w:val="2"/>
      <w:pStyle w:val="59"/>
      <w:isLgl/>
      <w:suff w:val="space"/>
      <w:lvlText w:val="表%1.%2-%4"/>
      <w:lvlJc w:val="left"/>
      <w:pPr>
        <w:ind w:left="0" w:firstLine="0"/>
      </w:pPr>
      <w:rPr>
        <w:lang w:val="en-US"/>
      </w:rPr>
    </w:lvl>
    <w:lvl w:ilvl="4" w:tentative="0">
      <w:start w:val="1"/>
      <w:numFmt w:val="decimal"/>
      <w:lvlRestart w:val="2"/>
      <w:pStyle w:val="88"/>
      <w:isLgl/>
      <w:suff w:val="space"/>
      <w:lvlText w:val="图%1.%2-%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5"/>
  </w:num>
  <w:num w:numId="2">
    <w:abstractNumId w:val="2"/>
  </w:num>
  <w:num w:numId="3">
    <w:abstractNumId w:val="3"/>
  </w:num>
  <w:num w:numId="4">
    <w:abstractNumId w:val="4"/>
  </w:num>
  <w:num w:numId="5">
    <w:abstractNumId w:val="1"/>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微一笑">
    <w15:presenceInfo w15:providerId="WPS Office" w15:userId="2025266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1"/>
  <w:documentProtection w:edit="trackedChanges" w:enforcement="0"/>
  <w:defaultTabStop w:val="420"/>
  <w:hyphenationZone w:val="360"/>
  <w:doNotHyphenateCaps/>
  <w:drawingGridHorizontalSpacing w:val="105"/>
  <w:drawingGridVerticalSpacing w:val="163"/>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hNjI2ZDNkNzU3MGU4NjQyZjY2NTQ5NDA4ZDU1YjAifQ=="/>
    <w:docVar w:name="KSO_WPS_MARK_KEY" w:val="7423dbb1-8ea4-4067-8452-25d51de569d4"/>
  </w:docVars>
  <w:rsids>
    <w:rsidRoot w:val="009E1E28"/>
    <w:rsid w:val="00007E86"/>
    <w:rsid w:val="00014EE1"/>
    <w:rsid w:val="000155E5"/>
    <w:rsid w:val="00020650"/>
    <w:rsid w:val="000207D7"/>
    <w:rsid w:val="0002117A"/>
    <w:rsid w:val="00021F52"/>
    <w:rsid w:val="00024819"/>
    <w:rsid w:val="00025D10"/>
    <w:rsid w:val="000263F9"/>
    <w:rsid w:val="0002686C"/>
    <w:rsid w:val="00026FF3"/>
    <w:rsid w:val="00027123"/>
    <w:rsid w:val="00030581"/>
    <w:rsid w:val="0003145E"/>
    <w:rsid w:val="0003669B"/>
    <w:rsid w:val="00036D01"/>
    <w:rsid w:val="000416D2"/>
    <w:rsid w:val="00041B18"/>
    <w:rsid w:val="000467F4"/>
    <w:rsid w:val="00047E6B"/>
    <w:rsid w:val="00050A43"/>
    <w:rsid w:val="00051EB4"/>
    <w:rsid w:val="00056D11"/>
    <w:rsid w:val="00057647"/>
    <w:rsid w:val="00060D0F"/>
    <w:rsid w:val="00060E0F"/>
    <w:rsid w:val="000614C1"/>
    <w:rsid w:val="00062327"/>
    <w:rsid w:val="00062EA8"/>
    <w:rsid w:val="00064345"/>
    <w:rsid w:val="00065BC7"/>
    <w:rsid w:val="00075668"/>
    <w:rsid w:val="00075FEB"/>
    <w:rsid w:val="00080849"/>
    <w:rsid w:val="000819FD"/>
    <w:rsid w:val="00085159"/>
    <w:rsid w:val="000904A5"/>
    <w:rsid w:val="000928CD"/>
    <w:rsid w:val="000936D0"/>
    <w:rsid w:val="00096F0C"/>
    <w:rsid w:val="00096FD2"/>
    <w:rsid w:val="000A0729"/>
    <w:rsid w:val="000A1D84"/>
    <w:rsid w:val="000A27B2"/>
    <w:rsid w:val="000A5E7D"/>
    <w:rsid w:val="000B0B7B"/>
    <w:rsid w:val="000B353A"/>
    <w:rsid w:val="000B44D3"/>
    <w:rsid w:val="000B5C67"/>
    <w:rsid w:val="000C1C15"/>
    <w:rsid w:val="000C3D34"/>
    <w:rsid w:val="000C5437"/>
    <w:rsid w:val="000C7386"/>
    <w:rsid w:val="000C7A20"/>
    <w:rsid w:val="000D3448"/>
    <w:rsid w:val="000D4284"/>
    <w:rsid w:val="000D6135"/>
    <w:rsid w:val="000D6308"/>
    <w:rsid w:val="000D7A4A"/>
    <w:rsid w:val="000E0106"/>
    <w:rsid w:val="000E0BFA"/>
    <w:rsid w:val="000E17B4"/>
    <w:rsid w:val="000E46D0"/>
    <w:rsid w:val="000E68D3"/>
    <w:rsid w:val="000F32E8"/>
    <w:rsid w:val="000F3456"/>
    <w:rsid w:val="000F5918"/>
    <w:rsid w:val="000F6DFA"/>
    <w:rsid w:val="000F6E03"/>
    <w:rsid w:val="001023CF"/>
    <w:rsid w:val="00103E04"/>
    <w:rsid w:val="00103FEA"/>
    <w:rsid w:val="0010601D"/>
    <w:rsid w:val="001077E1"/>
    <w:rsid w:val="00111058"/>
    <w:rsid w:val="00111811"/>
    <w:rsid w:val="001264F1"/>
    <w:rsid w:val="001271CA"/>
    <w:rsid w:val="001333BD"/>
    <w:rsid w:val="00135111"/>
    <w:rsid w:val="00143A39"/>
    <w:rsid w:val="00152EE2"/>
    <w:rsid w:val="00163E7E"/>
    <w:rsid w:val="00163EB2"/>
    <w:rsid w:val="00171E93"/>
    <w:rsid w:val="001720A5"/>
    <w:rsid w:val="001809DF"/>
    <w:rsid w:val="0018239C"/>
    <w:rsid w:val="00186DBB"/>
    <w:rsid w:val="00187F0C"/>
    <w:rsid w:val="0019008D"/>
    <w:rsid w:val="001945B9"/>
    <w:rsid w:val="00197051"/>
    <w:rsid w:val="001A24A8"/>
    <w:rsid w:val="001A2C40"/>
    <w:rsid w:val="001A32F9"/>
    <w:rsid w:val="001A3F67"/>
    <w:rsid w:val="001B11E4"/>
    <w:rsid w:val="001B5941"/>
    <w:rsid w:val="001B79DC"/>
    <w:rsid w:val="001C24A5"/>
    <w:rsid w:val="001C3EA2"/>
    <w:rsid w:val="001D5E04"/>
    <w:rsid w:val="001E16F0"/>
    <w:rsid w:val="001E4366"/>
    <w:rsid w:val="001E6123"/>
    <w:rsid w:val="001F2109"/>
    <w:rsid w:val="00201DF3"/>
    <w:rsid w:val="00207BB3"/>
    <w:rsid w:val="00214DD4"/>
    <w:rsid w:val="00215C88"/>
    <w:rsid w:val="002174BE"/>
    <w:rsid w:val="00220492"/>
    <w:rsid w:val="0022055A"/>
    <w:rsid w:val="0022067C"/>
    <w:rsid w:val="00223387"/>
    <w:rsid w:val="00224F0E"/>
    <w:rsid w:val="00225F99"/>
    <w:rsid w:val="0023299D"/>
    <w:rsid w:val="00232C65"/>
    <w:rsid w:val="002336D5"/>
    <w:rsid w:val="00234879"/>
    <w:rsid w:val="00241D2A"/>
    <w:rsid w:val="00242546"/>
    <w:rsid w:val="0025032D"/>
    <w:rsid w:val="002511DE"/>
    <w:rsid w:val="00254DB4"/>
    <w:rsid w:val="00254FAC"/>
    <w:rsid w:val="00255034"/>
    <w:rsid w:val="0025738A"/>
    <w:rsid w:val="00260F12"/>
    <w:rsid w:val="00262777"/>
    <w:rsid w:val="0026479C"/>
    <w:rsid w:val="002659CB"/>
    <w:rsid w:val="0026617B"/>
    <w:rsid w:val="00272ADB"/>
    <w:rsid w:val="00273015"/>
    <w:rsid w:val="00273BFF"/>
    <w:rsid w:val="00275675"/>
    <w:rsid w:val="00281A2F"/>
    <w:rsid w:val="00284B09"/>
    <w:rsid w:val="00285058"/>
    <w:rsid w:val="002955E7"/>
    <w:rsid w:val="002970C4"/>
    <w:rsid w:val="002A43E3"/>
    <w:rsid w:val="002A6431"/>
    <w:rsid w:val="002A665C"/>
    <w:rsid w:val="002A6704"/>
    <w:rsid w:val="002A7F1B"/>
    <w:rsid w:val="002B0157"/>
    <w:rsid w:val="002B250F"/>
    <w:rsid w:val="002B4659"/>
    <w:rsid w:val="002B7154"/>
    <w:rsid w:val="002B73E8"/>
    <w:rsid w:val="002C015B"/>
    <w:rsid w:val="002C3F1F"/>
    <w:rsid w:val="002D4A78"/>
    <w:rsid w:val="002D544B"/>
    <w:rsid w:val="002D586C"/>
    <w:rsid w:val="002D70FD"/>
    <w:rsid w:val="002D7E3F"/>
    <w:rsid w:val="002E6262"/>
    <w:rsid w:val="002E70BC"/>
    <w:rsid w:val="002E7727"/>
    <w:rsid w:val="002F0D6A"/>
    <w:rsid w:val="002F1262"/>
    <w:rsid w:val="002F14D8"/>
    <w:rsid w:val="002F4D0F"/>
    <w:rsid w:val="002F6134"/>
    <w:rsid w:val="002F63EA"/>
    <w:rsid w:val="00301968"/>
    <w:rsid w:val="00306A57"/>
    <w:rsid w:val="00317072"/>
    <w:rsid w:val="00323E6D"/>
    <w:rsid w:val="0032617F"/>
    <w:rsid w:val="0033475C"/>
    <w:rsid w:val="00345103"/>
    <w:rsid w:val="0034622C"/>
    <w:rsid w:val="00346273"/>
    <w:rsid w:val="003462EF"/>
    <w:rsid w:val="0034646F"/>
    <w:rsid w:val="00346AAC"/>
    <w:rsid w:val="00346CA7"/>
    <w:rsid w:val="00353E2B"/>
    <w:rsid w:val="00354754"/>
    <w:rsid w:val="003558E0"/>
    <w:rsid w:val="00356CC8"/>
    <w:rsid w:val="003622C0"/>
    <w:rsid w:val="003632E9"/>
    <w:rsid w:val="00363F22"/>
    <w:rsid w:val="0036560C"/>
    <w:rsid w:val="00365C28"/>
    <w:rsid w:val="00370E2D"/>
    <w:rsid w:val="00382939"/>
    <w:rsid w:val="00383B87"/>
    <w:rsid w:val="0038530C"/>
    <w:rsid w:val="00391B47"/>
    <w:rsid w:val="00397B7A"/>
    <w:rsid w:val="003A347A"/>
    <w:rsid w:val="003A7596"/>
    <w:rsid w:val="003B56B7"/>
    <w:rsid w:val="003B60F5"/>
    <w:rsid w:val="003B68D0"/>
    <w:rsid w:val="003C4C8A"/>
    <w:rsid w:val="003C4FB3"/>
    <w:rsid w:val="003D06CA"/>
    <w:rsid w:val="003D080A"/>
    <w:rsid w:val="003D1D05"/>
    <w:rsid w:val="003D2A08"/>
    <w:rsid w:val="003E0B5B"/>
    <w:rsid w:val="003E0C00"/>
    <w:rsid w:val="003E1B85"/>
    <w:rsid w:val="003E5715"/>
    <w:rsid w:val="003E621F"/>
    <w:rsid w:val="003F24DB"/>
    <w:rsid w:val="003F69E6"/>
    <w:rsid w:val="003F6BB2"/>
    <w:rsid w:val="003F79C9"/>
    <w:rsid w:val="00400E7D"/>
    <w:rsid w:val="00407356"/>
    <w:rsid w:val="00415D9D"/>
    <w:rsid w:val="0042198C"/>
    <w:rsid w:val="00422605"/>
    <w:rsid w:val="00425B6F"/>
    <w:rsid w:val="00427B7B"/>
    <w:rsid w:val="00434EFD"/>
    <w:rsid w:val="0043712E"/>
    <w:rsid w:val="00437941"/>
    <w:rsid w:val="0044665D"/>
    <w:rsid w:val="00447DB7"/>
    <w:rsid w:val="00464B4D"/>
    <w:rsid w:val="00465E8E"/>
    <w:rsid w:val="00470167"/>
    <w:rsid w:val="00474397"/>
    <w:rsid w:val="004758F6"/>
    <w:rsid w:val="004764B2"/>
    <w:rsid w:val="00485CFE"/>
    <w:rsid w:val="0048790C"/>
    <w:rsid w:val="004919B2"/>
    <w:rsid w:val="00491B59"/>
    <w:rsid w:val="00493817"/>
    <w:rsid w:val="0049457E"/>
    <w:rsid w:val="0049737B"/>
    <w:rsid w:val="004A7231"/>
    <w:rsid w:val="004B0EDB"/>
    <w:rsid w:val="004C1608"/>
    <w:rsid w:val="004D512A"/>
    <w:rsid w:val="004D5DDE"/>
    <w:rsid w:val="004D75B7"/>
    <w:rsid w:val="004D7F6F"/>
    <w:rsid w:val="004E0CC4"/>
    <w:rsid w:val="004E2EBF"/>
    <w:rsid w:val="004E362E"/>
    <w:rsid w:val="004F2C60"/>
    <w:rsid w:val="004F73FF"/>
    <w:rsid w:val="00500139"/>
    <w:rsid w:val="00504B7A"/>
    <w:rsid w:val="00504C6D"/>
    <w:rsid w:val="00516444"/>
    <w:rsid w:val="0051740B"/>
    <w:rsid w:val="00520D53"/>
    <w:rsid w:val="005279DD"/>
    <w:rsid w:val="00540E4D"/>
    <w:rsid w:val="0054297F"/>
    <w:rsid w:val="00545D4D"/>
    <w:rsid w:val="00550A07"/>
    <w:rsid w:val="0055309B"/>
    <w:rsid w:val="0055362D"/>
    <w:rsid w:val="0055528F"/>
    <w:rsid w:val="00575D7D"/>
    <w:rsid w:val="0059249F"/>
    <w:rsid w:val="005A0216"/>
    <w:rsid w:val="005A5720"/>
    <w:rsid w:val="005A656A"/>
    <w:rsid w:val="005B00C5"/>
    <w:rsid w:val="005B521B"/>
    <w:rsid w:val="005C3F69"/>
    <w:rsid w:val="005D0EC7"/>
    <w:rsid w:val="005D3BDA"/>
    <w:rsid w:val="005D420D"/>
    <w:rsid w:val="005E18D7"/>
    <w:rsid w:val="005E1CB0"/>
    <w:rsid w:val="005E43E2"/>
    <w:rsid w:val="005F2B7D"/>
    <w:rsid w:val="005F51EA"/>
    <w:rsid w:val="00600CFB"/>
    <w:rsid w:val="006029AD"/>
    <w:rsid w:val="00605015"/>
    <w:rsid w:val="00611CF6"/>
    <w:rsid w:val="00612039"/>
    <w:rsid w:val="006151ED"/>
    <w:rsid w:val="00625A5F"/>
    <w:rsid w:val="006306BA"/>
    <w:rsid w:val="0063080E"/>
    <w:rsid w:val="00631B8E"/>
    <w:rsid w:val="00632544"/>
    <w:rsid w:val="006334DD"/>
    <w:rsid w:val="00640A87"/>
    <w:rsid w:val="00642849"/>
    <w:rsid w:val="00642A3E"/>
    <w:rsid w:val="00650CC4"/>
    <w:rsid w:val="0065183D"/>
    <w:rsid w:val="00653DAB"/>
    <w:rsid w:val="006558FB"/>
    <w:rsid w:val="00657260"/>
    <w:rsid w:val="00657A4C"/>
    <w:rsid w:val="0066159A"/>
    <w:rsid w:val="00662211"/>
    <w:rsid w:val="0066523C"/>
    <w:rsid w:val="0066675C"/>
    <w:rsid w:val="00667C83"/>
    <w:rsid w:val="00667C8F"/>
    <w:rsid w:val="00670DB9"/>
    <w:rsid w:val="00672C0E"/>
    <w:rsid w:val="0067602C"/>
    <w:rsid w:val="00677DC9"/>
    <w:rsid w:val="00680708"/>
    <w:rsid w:val="00681DED"/>
    <w:rsid w:val="0068516E"/>
    <w:rsid w:val="00686562"/>
    <w:rsid w:val="00694257"/>
    <w:rsid w:val="00696121"/>
    <w:rsid w:val="00696D2F"/>
    <w:rsid w:val="006A1884"/>
    <w:rsid w:val="006B2470"/>
    <w:rsid w:val="006B4489"/>
    <w:rsid w:val="006C4AB8"/>
    <w:rsid w:val="006C636A"/>
    <w:rsid w:val="006D20DF"/>
    <w:rsid w:val="006D3ACF"/>
    <w:rsid w:val="006D67CA"/>
    <w:rsid w:val="006E2F1C"/>
    <w:rsid w:val="006E3B60"/>
    <w:rsid w:val="006E428B"/>
    <w:rsid w:val="006E5807"/>
    <w:rsid w:val="006E7BD0"/>
    <w:rsid w:val="006F6B6E"/>
    <w:rsid w:val="00700EAF"/>
    <w:rsid w:val="00701007"/>
    <w:rsid w:val="007017F5"/>
    <w:rsid w:val="00707671"/>
    <w:rsid w:val="007102FF"/>
    <w:rsid w:val="00711626"/>
    <w:rsid w:val="00721124"/>
    <w:rsid w:val="007225F1"/>
    <w:rsid w:val="007237EA"/>
    <w:rsid w:val="007238AC"/>
    <w:rsid w:val="00725B88"/>
    <w:rsid w:val="00727744"/>
    <w:rsid w:val="00733370"/>
    <w:rsid w:val="00735A97"/>
    <w:rsid w:val="00740905"/>
    <w:rsid w:val="007422AB"/>
    <w:rsid w:val="00742FB6"/>
    <w:rsid w:val="00743C64"/>
    <w:rsid w:val="00752C1E"/>
    <w:rsid w:val="00752FFB"/>
    <w:rsid w:val="007539C0"/>
    <w:rsid w:val="00754D03"/>
    <w:rsid w:val="007555C1"/>
    <w:rsid w:val="00763D8A"/>
    <w:rsid w:val="0076455A"/>
    <w:rsid w:val="00764AE8"/>
    <w:rsid w:val="00766775"/>
    <w:rsid w:val="00767DD4"/>
    <w:rsid w:val="00773431"/>
    <w:rsid w:val="00782108"/>
    <w:rsid w:val="0078432D"/>
    <w:rsid w:val="00785FD9"/>
    <w:rsid w:val="00787F90"/>
    <w:rsid w:val="00793517"/>
    <w:rsid w:val="0079408E"/>
    <w:rsid w:val="00796589"/>
    <w:rsid w:val="007A1A54"/>
    <w:rsid w:val="007A7722"/>
    <w:rsid w:val="007A7BF6"/>
    <w:rsid w:val="007C5914"/>
    <w:rsid w:val="007D06CB"/>
    <w:rsid w:val="007D1149"/>
    <w:rsid w:val="007D2DF5"/>
    <w:rsid w:val="007D3E05"/>
    <w:rsid w:val="007D6489"/>
    <w:rsid w:val="007D6877"/>
    <w:rsid w:val="007E1AD3"/>
    <w:rsid w:val="007E3697"/>
    <w:rsid w:val="007E5891"/>
    <w:rsid w:val="007F17A6"/>
    <w:rsid w:val="007F29E6"/>
    <w:rsid w:val="007F3413"/>
    <w:rsid w:val="007F49D8"/>
    <w:rsid w:val="007F6B4C"/>
    <w:rsid w:val="007F7B1E"/>
    <w:rsid w:val="007F7B38"/>
    <w:rsid w:val="0080030E"/>
    <w:rsid w:val="008011D5"/>
    <w:rsid w:val="0080147E"/>
    <w:rsid w:val="00806152"/>
    <w:rsid w:val="0081162A"/>
    <w:rsid w:val="00811808"/>
    <w:rsid w:val="00813D9C"/>
    <w:rsid w:val="0081501E"/>
    <w:rsid w:val="00817AAE"/>
    <w:rsid w:val="00821E8E"/>
    <w:rsid w:val="00825A15"/>
    <w:rsid w:val="008272D8"/>
    <w:rsid w:val="00827979"/>
    <w:rsid w:val="00831B05"/>
    <w:rsid w:val="00832BB4"/>
    <w:rsid w:val="00833820"/>
    <w:rsid w:val="00837429"/>
    <w:rsid w:val="008462A8"/>
    <w:rsid w:val="00850057"/>
    <w:rsid w:val="00850341"/>
    <w:rsid w:val="00864E52"/>
    <w:rsid w:val="00870C90"/>
    <w:rsid w:val="00871532"/>
    <w:rsid w:val="0087159A"/>
    <w:rsid w:val="00874FD3"/>
    <w:rsid w:val="00877247"/>
    <w:rsid w:val="00883EE5"/>
    <w:rsid w:val="0088704E"/>
    <w:rsid w:val="0089574A"/>
    <w:rsid w:val="008A0282"/>
    <w:rsid w:val="008A46D2"/>
    <w:rsid w:val="008A48F5"/>
    <w:rsid w:val="008B1122"/>
    <w:rsid w:val="008C1624"/>
    <w:rsid w:val="008C1969"/>
    <w:rsid w:val="008C1BE6"/>
    <w:rsid w:val="008C4915"/>
    <w:rsid w:val="008C60C4"/>
    <w:rsid w:val="008D253D"/>
    <w:rsid w:val="008D285F"/>
    <w:rsid w:val="008D6EF2"/>
    <w:rsid w:val="008E01E7"/>
    <w:rsid w:val="008E07CE"/>
    <w:rsid w:val="008E3BB9"/>
    <w:rsid w:val="008E3D79"/>
    <w:rsid w:val="008E65F3"/>
    <w:rsid w:val="008F0D37"/>
    <w:rsid w:val="008F1B91"/>
    <w:rsid w:val="008F376C"/>
    <w:rsid w:val="00902377"/>
    <w:rsid w:val="009077B0"/>
    <w:rsid w:val="00921967"/>
    <w:rsid w:val="00925A38"/>
    <w:rsid w:val="00940CD7"/>
    <w:rsid w:val="00942554"/>
    <w:rsid w:val="00942942"/>
    <w:rsid w:val="0094403C"/>
    <w:rsid w:val="009460AC"/>
    <w:rsid w:val="0095080A"/>
    <w:rsid w:val="00951071"/>
    <w:rsid w:val="0095485F"/>
    <w:rsid w:val="00957C58"/>
    <w:rsid w:val="00961E65"/>
    <w:rsid w:val="00967193"/>
    <w:rsid w:val="00974B4D"/>
    <w:rsid w:val="009762D7"/>
    <w:rsid w:val="009804B0"/>
    <w:rsid w:val="00981FF3"/>
    <w:rsid w:val="00982C8A"/>
    <w:rsid w:val="00982E0A"/>
    <w:rsid w:val="00987462"/>
    <w:rsid w:val="00993B39"/>
    <w:rsid w:val="009A3281"/>
    <w:rsid w:val="009B623B"/>
    <w:rsid w:val="009C0335"/>
    <w:rsid w:val="009C0502"/>
    <w:rsid w:val="009C2BDF"/>
    <w:rsid w:val="009C58FE"/>
    <w:rsid w:val="009D6FFA"/>
    <w:rsid w:val="009E1E28"/>
    <w:rsid w:val="009E4147"/>
    <w:rsid w:val="009E52F4"/>
    <w:rsid w:val="009F5A03"/>
    <w:rsid w:val="00A07B1C"/>
    <w:rsid w:val="00A07D5A"/>
    <w:rsid w:val="00A11717"/>
    <w:rsid w:val="00A12741"/>
    <w:rsid w:val="00A179DB"/>
    <w:rsid w:val="00A21EE2"/>
    <w:rsid w:val="00A247E2"/>
    <w:rsid w:val="00A25E18"/>
    <w:rsid w:val="00A3441F"/>
    <w:rsid w:val="00A34EAB"/>
    <w:rsid w:val="00A36C3F"/>
    <w:rsid w:val="00A41982"/>
    <w:rsid w:val="00A423ED"/>
    <w:rsid w:val="00A43525"/>
    <w:rsid w:val="00A57F66"/>
    <w:rsid w:val="00A60370"/>
    <w:rsid w:val="00A702B0"/>
    <w:rsid w:val="00A70EE7"/>
    <w:rsid w:val="00A72D37"/>
    <w:rsid w:val="00A72EF6"/>
    <w:rsid w:val="00A72F04"/>
    <w:rsid w:val="00A77484"/>
    <w:rsid w:val="00A81122"/>
    <w:rsid w:val="00A84B6B"/>
    <w:rsid w:val="00A85AB0"/>
    <w:rsid w:val="00A8633D"/>
    <w:rsid w:val="00A92383"/>
    <w:rsid w:val="00A92602"/>
    <w:rsid w:val="00A935C7"/>
    <w:rsid w:val="00A95EB1"/>
    <w:rsid w:val="00A96E0B"/>
    <w:rsid w:val="00AA53C9"/>
    <w:rsid w:val="00AA71C0"/>
    <w:rsid w:val="00AB52CE"/>
    <w:rsid w:val="00AB779B"/>
    <w:rsid w:val="00AC1061"/>
    <w:rsid w:val="00AC27D9"/>
    <w:rsid w:val="00AC6212"/>
    <w:rsid w:val="00AC700B"/>
    <w:rsid w:val="00AD2EDB"/>
    <w:rsid w:val="00AD35A2"/>
    <w:rsid w:val="00AD4D1D"/>
    <w:rsid w:val="00AE3F77"/>
    <w:rsid w:val="00AF3632"/>
    <w:rsid w:val="00AF515B"/>
    <w:rsid w:val="00AF5C9F"/>
    <w:rsid w:val="00B02713"/>
    <w:rsid w:val="00B02DD5"/>
    <w:rsid w:val="00B03A5B"/>
    <w:rsid w:val="00B106AD"/>
    <w:rsid w:val="00B113FC"/>
    <w:rsid w:val="00B167A2"/>
    <w:rsid w:val="00B20181"/>
    <w:rsid w:val="00B20232"/>
    <w:rsid w:val="00B24A66"/>
    <w:rsid w:val="00B24DDE"/>
    <w:rsid w:val="00B31F17"/>
    <w:rsid w:val="00B3709F"/>
    <w:rsid w:val="00B37914"/>
    <w:rsid w:val="00B4522F"/>
    <w:rsid w:val="00B45A9A"/>
    <w:rsid w:val="00B5069D"/>
    <w:rsid w:val="00B5079F"/>
    <w:rsid w:val="00B55D91"/>
    <w:rsid w:val="00B62368"/>
    <w:rsid w:val="00B63937"/>
    <w:rsid w:val="00B7245F"/>
    <w:rsid w:val="00B75E79"/>
    <w:rsid w:val="00B761B7"/>
    <w:rsid w:val="00B769EB"/>
    <w:rsid w:val="00B822FD"/>
    <w:rsid w:val="00B827CA"/>
    <w:rsid w:val="00B84CE4"/>
    <w:rsid w:val="00B85DA3"/>
    <w:rsid w:val="00B864FB"/>
    <w:rsid w:val="00B86904"/>
    <w:rsid w:val="00B917AE"/>
    <w:rsid w:val="00B922EC"/>
    <w:rsid w:val="00B93680"/>
    <w:rsid w:val="00BB0D93"/>
    <w:rsid w:val="00BB362D"/>
    <w:rsid w:val="00BB3C0C"/>
    <w:rsid w:val="00BB470B"/>
    <w:rsid w:val="00BB70C7"/>
    <w:rsid w:val="00BC0138"/>
    <w:rsid w:val="00BC6461"/>
    <w:rsid w:val="00BC7121"/>
    <w:rsid w:val="00BD1E0C"/>
    <w:rsid w:val="00BD52EF"/>
    <w:rsid w:val="00BD5ACD"/>
    <w:rsid w:val="00BE0294"/>
    <w:rsid w:val="00BE6BFC"/>
    <w:rsid w:val="00BF49E5"/>
    <w:rsid w:val="00C06D7A"/>
    <w:rsid w:val="00C1095B"/>
    <w:rsid w:val="00C14585"/>
    <w:rsid w:val="00C16173"/>
    <w:rsid w:val="00C16EBA"/>
    <w:rsid w:val="00C21999"/>
    <w:rsid w:val="00C220A7"/>
    <w:rsid w:val="00C22865"/>
    <w:rsid w:val="00C24082"/>
    <w:rsid w:val="00C34432"/>
    <w:rsid w:val="00C34D80"/>
    <w:rsid w:val="00C513E0"/>
    <w:rsid w:val="00C51957"/>
    <w:rsid w:val="00C52D9E"/>
    <w:rsid w:val="00C545A1"/>
    <w:rsid w:val="00C565AB"/>
    <w:rsid w:val="00C60C3E"/>
    <w:rsid w:val="00C62FEB"/>
    <w:rsid w:val="00C677C4"/>
    <w:rsid w:val="00C76B14"/>
    <w:rsid w:val="00C776B8"/>
    <w:rsid w:val="00C777F7"/>
    <w:rsid w:val="00C81391"/>
    <w:rsid w:val="00C81FEF"/>
    <w:rsid w:val="00C9027A"/>
    <w:rsid w:val="00C9645C"/>
    <w:rsid w:val="00C976BD"/>
    <w:rsid w:val="00CA0A39"/>
    <w:rsid w:val="00CA38A0"/>
    <w:rsid w:val="00CA7575"/>
    <w:rsid w:val="00CB168B"/>
    <w:rsid w:val="00CB1B09"/>
    <w:rsid w:val="00CC107C"/>
    <w:rsid w:val="00CC4916"/>
    <w:rsid w:val="00CD061A"/>
    <w:rsid w:val="00CD2009"/>
    <w:rsid w:val="00CD4C0E"/>
    <w:rsid w:val="00CD713D"/>
    <w:rsid w:val="00CD78D6"/>
    <w:rsid w:val="00CE0A1F"/>
    <w:rsid w:val="00CE4844"/>
    <w:rsid w:val="00CF023D"/>
    <w:rsid w:val="00CF299B"/>
    <w:rsid w:val="00CF35B3"/>
    <w:rsid w:val="00D0290F"/>
    <w:rsid w:val="00D07039"/>
    <w:rsid w:val="00D111EA"/>
    <w:rsid w:val="00D11E0A"/>
    <w:rsid w:val="00D120E1"/>
    <w:rsid w:val="00D16D4E"/>
    <w:rsid w:val="00D206C7"/>
    <w:rsid w:val="00D31A22"/>
    <w:rsid w:val="00D33F68"/>
    <w:rsid w:val="00D34FC3"/>
    <w:rsid w:val="00D36604"/>
    <w:rsid w:val="00D43280"/>
    <w:rsid w:val="00D43CCB"/>
    <w:rsid w:val="00D51A2D"/>
    <w:rsid w:val="00D51DF3"/>
    <w:rsid w:val="00D53A4F"/>
    <w:rsid w:val="00D55FEE"/>
    <w:rsid w:val="00D60158"/>
    <w:rsid w:val="00D716DA"/>
    <w:rsid w:val="00D717A6"/>
    <w:rsid w:val="00D72568"/>
    <w:rsid w:val="00D72607"/>
    <w:rsid w:val="00D72B98"/>
    <w:rsid w:val="00D75F90"/>
    <w:rsid w:val="00D861F2"/>
    <w:rsid w:val="00D9637F"/>
    <w:rsid w:val="00DA0051"/>
    <w:rsid w:val="00DA3C78"/>
    <w:rsid w:val="00DB1DE6"/>
    <w:rsid w:val="00DB6339"/>
    <w:rsid w:val="00DC06A3"/>
    <w:rsid w:val="00DC1A46"/>
    <w:rsid w:val="00DC5F37"/>
    <w:rsid w:val="00DC6CD2"/>
    <w:rsid w:val="00DC6EC7"/>
    <w:rsid w:val="00DD1568"/>
    <w:rsid w:val="00DD5386"/>
    <w:rsid w:val="00DD54BA"/>
    <w:rsid w:val="00DE3FB8"/>
    <w:rsid w:val="00DF2471"/>
    <w:rsid w:val="00DF3910"/>
    <w:rsid w:val="00DF5EA5"/>
    <w:rsid w:val="00E0178C"/>
    <w:rsid w:val="00E03E70"/>
    <w:rsid w:val="00E05D7E"/>
    <w:rsid w:val="00E10743"/>
    <w:rsid w:val="00E12AF0"/>
    <w:rsid w:val="00E12B34"/>
    <w:rsid w:val="00E16061"/>
    <w:rsid w:val="00E20CF0"/>
    <w:rsid w:val="00E218B1"/>
    <w:rsid w:val="00E25E6E"/>
    <w:rsid w:val="00E26F2D"/>
    <w:rsid w:val="00E329B5"/>
    <w:rsid w:val="00E32D5A"/>
    <w:rsid w:val="00E33659"/>
    <w:rsid w:val="00E40362"/>
    <w:rsid w:val="00E43E4E"/>
    <w:rsid w:val="00E44B46"/>
    <w:rsid w:val="00E46D48"/>
    <w:rsid w:val="00E50CFD"/>
    <w:rsid w:val="00E518FF"/>
    <w:rsid w:val="00E539A5"/>
    <w:rsid w:val="00E56CAD"/>
    <w:rsid w:val="00E610B3"/>
    <w:rsid w:val="00E61261"/>
    <w:rsid w:val="00E70649"/>
    <w:rsid w:val="00E71283"/>
    <w:rsid w:val="00E71BDE"/>
    <w:rsid w:val="00E74332"/>
    <w:rsid w:val="00E7602C"/>
    <w:rsid w:val="00E8163C"/>
    <w:rsid w:val="00E83FD1"/>
    <w:rsid w:val="00E93130"/>
    <w:rsid w:val="00E979C9"/>
    <w:rsid w:val="00EA1CA2"/>
    <w:rsid w:val="00EA2A32"/>
    <w:rsid w:val="00EA3FEE"/>
    <w:rsid w:val="00EA67E0"/>
    <w:rsid w:val="00EB1798"/>
    <w:rsid w:val="00EB6722"/>
    <w:rsid w:val="00EC4D83"/>
    <w:rsid w:val="00EC7F1F"/>
    <w:rsid w:val="00ED0601"/>
    <w:rsid w:val="00ED0745"/>
    <w:rsid w:val="00ED27FA"/>
    <w:rsid w:val="00EE1441"/>
    <w:rsid w:val="00EE60B7"/>
    <w:rsid w:val="00EF2929"/>
    <w:rsid w:val="00EF6940"/>
    <w:rsid w:val="00EF70EA"/>
    <w:rsid w:val="00F00D1D"/>
    <w:rsid w:val="00F106F0"/>
    <w:rsid w:val="00F10841"/>
    <w:rsid w:val="00F1564B"/>
    <w:rsid w:val="00F1589F"/>
    <w:rsid w:val="00F16DFF"/>
    <w:rsid w:val="00F176FD"/>
    <w:rsid w:val="00F24029"/>
    <w:rsid w:val="00F31881"/>
    <w:rsid w:val="00F40FE5"/>
    <w:rsid w:val="00F4128E"/>
    <w:rsid w:val="00F418E2"/>
    <w:rsid w:val="00F44E43"/>
    <w:rsid w:val="00F465FB"/>
    <w:rsid w:val="00F47A25"/>
    <w:rsid w:val="00F54FE6"/>
    <w:rsid w:val="00F57FC1"/>
    <w:rsid w:val="00F6230C"/>
    <w:rsid w:val="00F62E95"/>
    <w:rsid w:val="00F641C2"/>
    <w:rsid w:val="00F64C61"/>
    <w:rsid w:val="00F71C05"/>
    <w:rsid w:val="00F74A57"/>
    <w:rsid w:val="00F802ED"/>
    <w:rsid w:val="00F83B8D"/>
    <w:rsid w:val="00F907CF"/>
    <w:rsid w:val="00F90EBF"/>
    <w:rsid w:val="00F9119C"/>
    <w:rsid w:val="00F9212F"/>
    <w:rsid w:val="00F926C8"/>
    <w:rsid w:val="00F94BFC"/>
    <w:rsid w:val="00F95546"/>
    <w:rsid w:val="00F97E38"/>
    <w:rsid w:val="00FA0A42"/>
    <w:rsid w:val="00FA1C76"/>
    <w:rsid w:val="00FA32F2"/>
    <w:rsid w:val="00FA6B9A"/>
    <w:rsid w:val="00FA6FE2"/>
    <w:rsid w:val="00FB117A"/>
    <w:rsid w:val="00FB1777"/>
    <w:rsid w:val="00FB415F"/>
    <w:rsid w:val="00FB4738"/>
    <w:rsid w:val="00FB4AAD"/>
    <w:rsid w:val="00FC0017"/>
    <w:rsid w:val="00FC273E"/>
    <w:rsid w:val="00FC2B3D"/>
    <w:rsid w:val="00FD2846"/>
    <w:rsid w:val="00FD6F76"/>
    <w:rsid w:val="00FE16E5"/>
    <w:rsid w:val="00FE2573"/>
    <w:rsid w:val="00FE3738"/>
    <w:rsid w:val="00FF0236"/>
    <w:rsid w:val="00FF0CD0"/>
    <w:rsid w:val="00FF6D81"/>
    <w:rsid w:val="010F3B4F"/>
    <w:rsid w:val="01166936"/>
    <w:rsid w:val="011E5C78"/>
    <w:rsid w:val="013851BB"/>
    <w:rsid w:val="013D0A47"/>
    <w:rsid w:val="01445144"/>
    <w:rsid w:val="015C2B0C"/>
    <w:rsid w:val="0194674A"/>
    <w:rsid w:val="0196171D"/>
    <w:rsid w:val="01967DCC"/>
    <w:rsid w:val="01B56A63"/>
    <w:rsid w:val="01C733F4"/>
    <w:rsid w:val="01DD59FB"/>
    <w:rsid w:val="01F7017F"/>
    <w:rsid w:val="020C62E0"/>
    <w:rsid w:val="021175A1"/>
    <w:rsid w:val="021653B1"/>
    <w:rsid w:val="02251150"/>
    <w:rsid w:val="023A13B9"/>
    <w:rsid w:val="023A530D"/>
    <w:rsid w:val="0254180F"/>
    <w:rsid w:val="027D0F8C"/>
    <w:rsid w:val="02B074AC"/>
    <w:rsid w:val="02DF57A3"/>
    <w:rsid w:val="02F76F90"/>
    <w:rsid w:val="03065B89"/>
    <w:rsid w:val="03247659"/>
    <w:rsid w:val="032F07A2"/>
    <w:rsid w:val="033A0C2B"/>
    <w:rsid w:val="034D4E02"/>
    <w:rsid w:val="03595555"/>
    <w:rsid w:val="035F370A"/>
    <w:rsid w:val="036363D4"/>
    <w:rsid w:val="03667C72"/>
    <w:rsid w:val="037557A7"/>
    <w:rsid w:val="03822CFE"/>
    <w:rsid w:val="038A7452"/>
    <w:rsid w:val="03AC64F3"/>
    <w:rsid w:val="03B2154B"/>
    <w:rsid w:val="03B41E8C"/>
    <w:rsid w:val="03D16FFC"/>
    <w:rsid w:val="03DA3C5D"/>
    <w:rsid w:val="04272E41"/>
    <w:rsid w:val="04277401"/>
    <w:rsid w:val="04435012"/>
    <w:rsid w:val="045A77D7"/>
    <w:rsid w:val="045B08B8"/>
    <w:rsid w:val="04736C5E"/>
    <w:rsid w:val="04743F71"/>
    <w:rsid w:val="048101F5"/>
    <w:rsid w:val="04956A61"/>
    <w:rsid w:val="04AB1DE0"/>
    <w:rsid w:val="04C84E35"/>
    <w:rsid w:val="04C918E2"/>
    <w:rsid w:val="04DC01EC"/>
    <w:rsid w:val="04ED064B"/>
    <w:rsid w:val="053036DD"/>
    <w:rsid w:val="05394B20"/>
    <w:rsid w:val="05597B30"/>
    <w:rsid w:val="057448C8"/>
    <w:rsid w:val="05882122"/>
    <w:rsid w:val="05E6498A"/>
    <w:rsid w:val="05EC03D9"/>
    <w:rsid w:val="05F975F3"/>
    <w:rsid w:val="05FA6846"/>
    <w:rsid w:val="0607573C"/>
    <w:rsid w:val="061A3B13"/>
    <w:rsid w:val="063D2F0C"/>
    <w:rsid w:val="06475B39"/>
    <w:rsid w:val="06523A66"/>
    <w:rsid w:val="06532730"/>
    <w:rsid w:val="06585F98"/>
    <w:rsid w:val="06602037"/>
    <w:rsid w:val="067C33C7"/>
    <w:rsid w:val="068B011B"/>
    <w:rsid w:val="068B53D7"/>
    <w:rsid w:val="069A0522"/>
    <w:rsid w:val="069B6328"/>
    <w:rsid w:val="069E285E"/>
    <w:rsid w:val="06AC0092"/>
    <w:rsid w:val="06AE5290"/>
    <w:rsid w:val="06B156A8"/>
    <w:rsid w:val="06B95C13"/>
    <w:rsid w:val="06CE0008"/>
    <w:rsid w:val="06CE625A"/>
    <w:rsid w:val="06D753FF"/>
    <w:rsid w:val="06F21F49"/>
    <w:rsid w:val="072544D3"/>
    <w:rsid w:val="07373DFF"/>
    <w:rsid w:val="07462294"/>
    <w:rsid w:val="07494150"/>
    <w:rsid w:val="074D6B5B"/>
    <w:rsid w:val="07660BE9"/>
    <w:rsid w:val="07697D31"/>
    <w:rsid w:val="076D5A73"/>
    <w:rsid w:val="078F59E9"/>
    <w:rsid w:val="07927288"/>
    <w:rsid w:val="079923C4"/>
    <w:rsid w:val="07AF7E3A"/>
    <w:rsid w:val="07C82CA9"/>
    <w:rsid w:val="07E7448A"/>
    <w:rsid w:val="07F43A9E"/>
    <w:rsid w:val="07FD6DF7"/>
    <w:rsid w:val="08002443"/>
    <w:rsid w:val="08030185"/>
    <w:rsid w:val="087B5F6E"/>
    <w:rsid w:val="08834396"/>
    <w:rsid w:val="088C1C6B"/>
    <w:rsid w:val="088F1A65"/>
    <w:rsid w:val="089074FE"/>
    <w:rsid w:val="08953A2F"/>
    <w:rsid w:val="08B03E69"/>
    <w:rsid w:val="08B33959"/>
    <w:rsid w:val="08B63BCD"/>
    <w:rsid w:val="08C07E24"/>
    <w:rsid w:val="08CB2A51"/>
    <w:rsid w:val="08D13DE0"/>
    <w:rsid w:val="08E73603"/>
    <w:rsid w:val="08E81855"/>
    <w:rsid w:val="08E91129"/>
    <w:rsid w:val="08E92ED7"/>
    <w:rsid w:val="08FD6983"/>
    <w:rsid w:val="09047756"/>
    <w:rsid w:val="09047D11"/>
    <w:rsid w:val="09067F2D"/>
    <w:rsid w:val="091A525E"/>
    <w:rsid w:val="091A7535"/>
    <w:rsid w:val="091F4B4B"/>
    <w:rsid w:val="09267C87"/>
    <w:rsid w:val="092901AB"/>
    <w:rsid w:val="09391199"/>
    <w:rsid w:val="096768E9"/>
    <w:rsid w:val="09714C39"/>
    <w:rsid w:val="097951E0"/>
    <w:rsid w:val="0991427C"/>
    <w:rsid w:val="09BC05EC"/>
    <w:rsid w:val="09C676BC"/>
    <w:rsid w:val="09D516AE"/>
    <w:rsid w:val="09E71B0D"/>
    <w:rsid w:val="0A00497C"/>
    <w:rsid w:val="0A0A57FB"/>
    <w:rsid w:val="0A0E6C19"/>
    <w:rsid w:val="0A1B3564"/>
    <w:rsid w:val="0A2543E3"/>
    <w:rsid w:val="0A2C5DDE"/>
    <w:rsid w:val="0A347112"/>
    <w:rsid w:val="0A45018B"/>
    <w:rsid w:val="0A5151D8"/>
    <w:rsid w:val="0A6071C9"/>
    <w:rsid w:val="0A7B2255"/>
    <w:rsid w:val="0AB13EC9"/>
    <w:rsid w:val="0AB62155"/>
    <w:rsid w:val="0AC0410C"/>
    <w:rsid w:val="0AC7549A"/>
    <w:rsid w:val="0ACC485F"/>
    <w:rsid w:val="0AD211C7"/>
    <w:rsid w:val="0AD656DD"/>
    <w:rsid w:val="0AED7096"/>
    <w:rsid w:val="0AF50259"/>
    <w:rsid w:val="0B0B35D9"/>
    <w:rsid w:val="0B100BEF"/>
    <w:rsid w:val="0B156206"/>
    <w:rsid w:val="0B41349E"/>
    <w:rsid w:val="0B526308"/>
    <w:rsid w:val="0B5F56D3"/>
    <w:rsid w:val="0B601DAA"/>
    <w:rsid w:val="0B705B32"/>
    <w:rsid w:val="0B81225D"/>
    <w:rsid w:val="0B8E57A5"/>
    <w:rsid w:val="0B902A1C"/>
    <w:rsid w:val="0BBC28CE"/>
    <w:rsid w:val="0BC07081"/>
    <w:rsid w:val="0BCD088E"/>
    <w:rsid w:val="0BD75BB1"/>
    <w:rsid w:val="0BDC4F75"/>
    <w:rsid w:val="0BED673E"/>
    <w:rsid w:val="0C004C5B"/>
    <w:rsid w:val="0C040028"/>
    <w:rsid w:val="0C264442"/>
    <w:rsid w:val="0C393B45"/>
    <w:rsid w:val="0C416E95"/>
    <w:rsid w:val="0C4847EA"/>
    <w:rsid w:val="0C573148"/>
    <w:rsid w:val="0C5E463C"/>
    <w:rsid w:val="0C632FA1"/>
    <w:rsid w:val="0C643F5E"/>
    <w:rsid w:val="0C7C7A78"/>
    <w:rsid w:val="0C96202E"/>
    <w:rsid w:val="0CAB4DAE"/>
    <w:rsid w:val="0CC90F7D"/>
    <w:rsid w:val="0CD13E3A"/>
    <w:rsid w:val="0D040760"/>
    <w:rsid w:val="0D0504FC"/>
    <w:rsid w:val="0D1349C7"/>
    <w:rsid w:val="0D240982"/>
    <w:rsid w:val="0D2C02BA"/>
    <w:rsid w:val="0D3037CB"/>
    <w:rsid w:val="0D330BC5"/>
    <w:rsid w:val="0D3B3F1D"/>
    <w:rsid w:val="0D4C65C3"/>
    <w:rsid w:val="0D613984"/>
    <w:rsid w:val="0D6B751E"/>
    <w:rsid w:val="0D704EDD"/>
    <w:rsid w:val="0D735465"/>
    <w:rsid w:val="0D7B050D"/>
    <w:rsid w:val="0D9321D9"/>
    <w:rsid w:val="0D9F44AC"/>
    <w:rsid w:val="0D9F625A"/>
    <w:rsid w:val="0DB6446C"/>
    <w:rsid w:val="0DCB34F3"/>
    <w:rsid w:val="0DCD1019"/>
    <w:rsid w:val="0DF33CFD"/>
    <w:rsid w:val="0DF50A94"/>
    <w:rsid w:val="0DF73A45"/>
    <w:rsid w:val="0E0347A4"/>
    <w:rsid w:val="0E1E3623"/>
    <w:rsid w:val="0E264BEA"/>
    <w:rsid w:val="0E2D7D0A"/>
    <w:rsid w:val="0E323572"/>
    <w:rsid w:val="0E3A5F83"/>
    <w:rsid w:val="0E440BB0"/>
    <w:rsid w:val="0E6974A5"/>
    <w:rsid w:val="0E772D33"/>
    <w:rsid w:val="0E835B7C"/>
    <w:rsid w:val="0E8F4578"/>
    <w:rsid w:val="0E936B43"/>
    <w:rsid w:val="0E947667"/>
    <w:rsid w:val="0E9953A0"/>
    <w:rsid w:val="0EA16002"/>
    <w:rsid w:val="0EAA36B5"/>
    <w:rsid w:val="0EDB1514"/>
    <w:rsid w:val="0EF56D77"/>
    <w:rsid w:val="0EF92712"/>
    <w:rsid w:val="0F12129A"/>
    <w:rsid w:val="0F340C24"/>
    <w:rsid w:val="0F4E618A"/>
    <w:rsid w:val="0F4F5A5E"/>
    <w:rsid w:val="0F76748F"/>
    <w:rsid w:val="0F9B0D24"/>
    <w:rsid w:val="0FA316FB"/>
    <w:rsid w:val="0FA45C82"/>
    <w:rsid w:val="0FAB7138"/>
    <w:rsid w:val="0FB71F81"/>
    <w:rsid w:val="0FBF4DBA"/>
    <w:rsid w:val="0FC621C4"/>
    <w:rsid w:val="0FD75461"/>
    <w:rsid w:val="0FDB79B4"/>
    <w:rsid w:val="10101691"/>
    <w:rsid w:val="101C0036"/>
    <w:rsid w:val="1028470E"/>
    <w:rsid w:val="102D5D9F"/>
    <w:rsid w:val="103A04BC"/>
    <w:rsid w:val="104B091B"/>
    <w:rsid w:val="10505FAA"/>
    <w:rsid w:val="1055399D"/>
    <w:rsid w:val="10572E1C"/>
    <w:rsid w:val="1060779A"/>
    <w:rsid w:val="10864295"/>
    <w:rsid w:val="108D4A90"/>
    <w:rsid w:val="108F25B6"/>
    <w:rsid w:val="10927EDE"/>
    <w:rsid w:val="10951DF0"/>
    <w:rsid w:val="10967DE9"/>
    <w:rsid w:val="109C39B4"/>
    <w:rsid w:val="10E24DDC"/>
    <w:rsid w:val="10EA0134"/>
    <w:rsid w:val="10EA72E2"/>
    <w:rsid w:val="10EB7CBC"/>
    <w:rsid w:val="10FB40F0"/>
    <w:rsid w:val="11032FA4"/>
    <w:rsid w:val="1111325C"/>
    <w:rsid w:val="112278CE"/>
    <w:rsid w:val="113A263D"/>
    <w:rsid w:val="11405FA6"/>
    <w:rsid w:val="11553800"/>
    <w:rsid w:val="11B83D8F"/>
    <w:rsid w:val="11B8721D"/>
    <w:rsid w:val="11C049F1"/>
    <w:rsid w:val="11D02E86"/>
    <w:rsid w:val="11D24E50"/>
    <w:rsid w:val="11D32976"/>
    <w:rsid w:val="11D34725"/>
    <w:rsid w:val="11D64215"/>
    <w:rsid w:val="11FA6155"/>
    <w:rsid w:val="11FD79F3"/>
    <w:rsid w:val="12331667"/>
    <w:rsid w:val="124612D2"/>
    <w:rsid w:val="12647A72"/>
    <w:rsid w:val="126D127D"/>
    <w:rsid w:val="126F53B1"/>
    <w:rsid w:val="127001C5"/>
    <w:rsid w:val="1272218F"/>
    <w:rsid w:val="127A1522"/>
    <w:rsid w:val="128E47CA"/>
    <w:rsid w:val="12942106"/>
    <w:rsid w:val="12A52565"/>
    <w:rsid w:val="12AA7B7B"/>
    <w:rsid w:val="12CC1C47"/>
    <w:rsid w:val="12CD5618"/>
    <w:rsid w:val="12E52BEC"/>
    <w:rsid w:val="12F232D0"/>
    <w:rsid w:val="13076D7C"/>
    <w:rsid w:val="130F51C0"/>
    <w:rsid w:val="132502C8"/>
    <w:rsid w:val="1336140F"/>
    <w:rsid w:val="134712B9"/>
    <w:rsid w:val="13486233"/>
    <w:rsid w:val="13685340"/>
    <w:rsid w:val="137361BF"/>
    <w:rsid w:val="13854144"/>
    <w:rsid w:val="13965E36"/>
    <w:rsid w:val="139879D4"/>
    <w:rsid w:val="13D53C2F"/>
    <w:rsid w:val="13E56991"/>
    <w:rsid w:val="13E96F0A"/>
    <w:rsid w:val="13EB3EF3"/>
    <w:rsid w:val="13FD6DAC"/>
    <w:rsid w:val="14116BCD"/>
    <w:rsid w:val="1412662C"/>
    <w:rsid w:val="14196170"/>
    <w:rsid w:val="142851FC"/>
    <w:rsid w:val="144B046B"/>
    <w:rsid w:val="145853B5"/>
    <w:rsid w:val="145E2AD3"/>
    <w:rsid w:val="14885C4A"/>
    <w:rsid w:val="14902DA1"/>
    <w:rsid w:val="1497412F"/>
    <w:rsid w:val="14A354D4"/>
    <w:rsid w:val="14AD5701"/>
    <w:rsid w:val="14B60DBE"/>
    <w:rsid w:val="14BB18F8"/>
    <w:rsid w:val="14D42C8D"/>
    <w:rsid w:val="14D625F3"/>
    <w:rsid w:val="14E76398"/>
    <w:rsid w:val="151412DC"/>
    <w:rsid w:val="15175270"/>
    <w:rsid w:val="152534E9"/>
    <w:rsid w:val="152A3A00"/>
    <w:rsid w:val="15323E58"/>
    <w:rsid w:val="153F759E"/>
    <w:rsid w:val="1548367B"/>
    <w:rsid w:val="15610299"/>
    <w:rsid w:val="15634011"/>
    <w:rsid w:val="15761F97"/>
    <w:rsid w:val="15991506"/>
    <w:rsid w:val="15A731DD"/>
    <w:rsid w:val="15A801E6"/>
    <w:rsid w:val="15C01464"/>
    <w:rsid w:val="15C058D8"/>
    <w:rsid w:val="1615355E"/>
    <w:rsid w:val="161D2575"/>
    <w:rsid w:val="161F43DC"/>
    <w:rsid w:val="163069CD"/>
    <w:rsid w:val="163C4F94"/>
    <w:rsid w:val="16436B43"/>
    <w:rsid w:val="164E311F"/>
    <w:rsid w:val="16504596"/>
    <w:rsid w:val="1666200B"/>
    <w:rsid w:val="16692514"/>
    <w:rsid w:val="16781D3E"/>
    <w:rsid w:val="168460D8"/>
    <w:rsid w:val="16873D30"/>
    <w:rsid w:val="169F1079"/>
    <w:rsid w:val="16BA2357"/>
    <w:rsid w:val="16D17C2C"/>
    <w:rsid w:val="16D52CED"/>
    <w:rsid w:val="16D80E4D"/>
    <w:rsid w:val="16DB47A7"/>
    <w:rsid w:val="16E55624"/>
    <w:rsid w:val="16EB0762"/>
    <w:rsid w:val="16ED6288"/>
    <w:rsid w:val="171E28E6"/>
    <w:rsid w:val="17335AB8"/>
    <w:rsid w:val="174340FA"/>
    <w:rsid w:val="174A5489"/>
    <w:rsid w:val="175D4E15"/>
    <w:rsid w:val="177B1AE6"/>
    <w:rsid w:val="17C04C67"/>
    <w:rsid w:val="17C820DA"/>
    <w:rsid w:val="17E27FC0"/>
    <w:rsid w:val="1830159B"/>
    <w:rsid w:val="18365A0D"/>
    <w:rsid w:val="18456D28"/>
    <w:rsid w:val="187D53EA"/>
    <w:rsid w:val="18A633DF"/>
    <w:rsid w:val="18AD10E5"/>
    <w:rsid w:val="18BE7B6B"/>
    <w:rsid w:val="18BF0FFB"/>
    <w:rsid w:val="18CC5859"/>
    <w:rsid w:val="18E5610C"/>
    <w:rsid w:val="18E831AB"/>
    <w:rsid w:val="18F03E0E"/>
    <w:rsid w:val="19086316"/>
    <w:rsid w:val="19153BD9"/>
    <w:rsid w:val="19263CD4"/>
    <w:rsid w:val="194505FE"/>
    <w:rsid w:val="197267B0"/>
    <w:rsid w:val="19805192"/>
    <w:rsid w:val="19834C82"/>
    <w:rsid w:val="198E2E15"/>
    <w:rsid w:val="198F37EE"/>
    <w:rsid w:val="19C076D7"/>
    <w:rsid w:val="19E41F02"/>
    <w:rsid w:val="19E5593D"/>
    <w:rsid w:val="19E716B5"/>
    <w:rsid w:val="1A001FE9"/>
    <w:rsid w:val="1A0A7151"/>
    <w:rsid w:val="1A1544AE"/>
    <w:rsid w:val="1A161863"/>
    <w:rsid w:val="1A381D2F"/>
    <w:rsid w:val="1A383CBF"/>
    <w:rsid w:val="1A433660"/>
    <w:rsid w:val="1A4F5002"/>
    <w:rsid w:val="1A50725A"/>
    <w:rsid w:val="1A626F8D"/>
    <w:rsid w:val="1A6E148E"/>
    <w:rsid w:val="1A9D5F54"/>
    <w:rsid w:val="1AA91077"/>
    <w:rsid w:val="1AB01AA7"/>
    <w:rsid w:val="1AB570BD"/>
    <w:rsid w:val="1AB86BAD"/>
    <w:rsid w:val="1ABC044C"/>
    <w:rsid w:val="1AC90DBB"/>
    <w:rsid w:val="1AD05CA5"/>
    <w:rsid w:val="1AD10211"/>
    <w:rsid w:val="1ADA74DD"/>
    <w:rsid w:val="1AE14356"/>
    <w:rsid w:val="1B014FB5"/>
    <w:rsid w:val="1B0B13D3"/>
    <w:rsid w:val="1B102545"/>
    <w:rsid w:val="1B157B5C"/>
    <w:rsid w:val="1B252495"/>
    <w:rsid w:val="1B304B82"/>
    <w:rsid w:val="1B486183"/>
    <w:rsid w:val="1B742600"/>
    <w:rsid w:val="1B747AF5"/>
    <w:rsid w:val="1B7C5E2D"/>
    <w:rsid w:val="1BAA0F5B"/>
    <w:rsid w:val="1BB750B7"/>
    <w:rsid w:val="1BD712B5"/>
    <w:rsid w:val="1BE32A9F"/>
    <w:rsid w:val="1BE539D2"/>
    <w:rsid w:val="1BE55780"/>
    <w:rsid w:val="1BF8447F"/>
    <w:rsid w:val="1C054074"/>
    <w:rsid w:val="1C0C5403"/>
    <w:rsid w:val="1C33473D"/>
    <w:rsid w:val="1C422BD3"/>
    <w:rsid w:val="1C4D015E"/>
    <w:rsid w:val="1C512E16"/>
    <w:rsid w:val="1C5F3784"/>
    <w:rsid w:val="1C7275DA"/>
    <w:rsid w:val="1C744D56"/>
    <w:rsid w:val="1C7A5BF0"/>
    <w:rsid w:val="1C827473"/>
    <w:rsid w:val="1C840654"/>
    <w:rsid w:val="1C8C02F2"/>
    <w:rsid w:val="1C96390F"/>
    <w:rsid w:val="1CB07C53"/>
    <w:rsid w:val="1CC730D8"/>
    <w:rsid w:val="1CE04EDC"/>
    <w:rsid w:val="1CE14D19"/>
    <w:rsid w:val="1CE67A02"/>
    <w:rsid w:val="1CFC0FF0"/>
    <w:rsid w:val="1CFD1B8F"/>
    <w:rsid w:val="1D1D0F4A"/>
    <w:rsid w:val="1D262F66"/>
    <w:rsid w:val="1D2815CA"/>
    <w:rsid w:val="1D51673F"/>
    <w:rsid w:val="1D526E45"/>
    <w:rsid w:val="1D55133D"/>
    <w:rsid w:val="1D6628F1"/>
    <w:rsid w:val="1D7019C1"/>
    <w:rsid w:val="1D7A3E1C"/>
    <w:rsid w:val="1D975F15"/>
    <w:rsid w:val="1DCD0BC2"/>
    <w:rsid w:val="1DE303E5"/>
    <w:rsid w:val="1DE75393"/>
    <w:rsid w:val="1DFF0AA0"/>
    <w:rsid w:val="1E197963"/>
    <w:rsid w:val="1E2C09AB"/>
    <w:rsid w:val="1E2C7696"/>
    <w:rsid w:val="1E2D340E"/>
    <w:rsid w:val="1E320A25"/>
    <w:rsid w:val="1E326C77"/>
    <w:rsid w:val="1E3B1B63"/>
    <w:rsid w:val="1E71154D"/>
    <w:rsid w:val="1E9A18CE"/>
    <w:rsid w:val="1EB458DE"/>
    <w:rsid w:val="1EC11E8C"/>
    <w:rsid w:val="1EDA17E8"/>
    <w:rsid w:val="1F100D66"/>
    <w:rsid w:val="1F1F544D"/>
    <w:rsid w:val="1F54493D"/>
    <w:rsid w:val="1F69491A"/>
    <w:rsid w:val="1F8B7A40"/>
    <w:rsid w:val="1F9E45C4"/>
    <w:rsid w:val="1FB4618F"/>
    <w:rsid w:val="1FE10954"/>
    <w:rsid w:val="1FE745EE"/>
    <w:rsid w:val="200D2AFA"/>
    <w:rsid w:val="200F7270"/>
    <w:rsid w:val="20196340"/>
    <w:rsid w:val="201B4EAC"/>
    <w:rsid w:val="203A014D"/>
    <w:rsid w:val="203B62B7"/>
    <w:rsid w:val="203E013A"/>
    <w:rsid w:val="2043516B"/>
    <w:rsid w:val="20490E7D"/>
    <w:rsid w:val="20514B81"/>
    <w:rsid w:val="20665C82"/>
    <w:rsid w:val="207F2647"/>
    <w:rsid w:val="20970344"/>
    <w:rsid w:val="20A57B28"/>
    <w:rsid w:val="20B87907"/>
    <w:rsid w:val="20B91DEB"/>
    <w:rsid w:val="20D858B3"/>
    <w:rsid w:val="20E56222"/>
    <w:rsid w:val="20E701EC"/>
    <w:rsid w:val="20FA7F20"/>
    <w:rsid w:val="210668C5"/>
    <w:rsid w:val="211B2B83"/>
    <w:rsid w:val="211B3CCD"/>
    <w:rsid w:val="211C60E8"/>
    <w:rsid w:val="21246D4B"/>
    <w:rsid w:val="2140502C"/>
    <w:rsid w:val="21423675"/>
    <w:rsid w:val="214F751D"/>
    <w:rsid w:val="21A32365"/>
    <w:rsid w:val="21BC3427"/>
    <w:rsid w:val="21BF0821"/>
    <w:rsid w:val="21DE339D"/>
    <w:rsid w:val="21E62252"/>
    <w:rsid w:val="21EE1107"/>
    <w:rsid w:val="22105521"/>
    <w:rsid w:val="2211309A"/>
    <w:rsid w:val="22113B54"/>
    <w:rsid w:val="2241427B"/>
    <w:rsid w:val="22495465"/>
    <w:rsid w:val="224B0307"/>
    <w:rsid w:val="22775FDE"/>
    <w:rsid w:val="227C4964"/>
    <w:rsid w:val="228054F5"/>
    <w:rsid w:val="228A7081"/>
    <w:rsid w:val="228C3783"/>
    <w:rsid w:val="22B365D8"/>
    <w:rsid w:val="22CB0FE7"/>
    <w:rsid w:val="22D24584"/>
    <w:rsid w:val="22D63328"/>
    <w:rsid w:val="22D91657"/>
    <w:rsid w:val="22D93553"/>
    <w:rsid w:val="22DE117B"/>
    <w:rsid w:val="22E569AE"/>
    <w:rsid w:val="22E62E69"/>
    <w:rsid w:val="22F67C86"/>
    <w:rsid w:val="23053BDC"/>
    <w:rsid w:val="23226D6D"/>
    <w:rsid w:val="23250B58"/>
    <w:rsid w:val="232D71CC"/>
    <w:rsid w:val="234611FA"/>
    <w:rsid w:val="23562F7F"/>
    <w:rsid w:val="23582CDC"/>
    <w:rsid w:val="235A2EF8"/>
    <w:rsid w:val="236C49D9"/>
    <w:rsid w:val="23737B15"/>
    <w:rsid w:val="23782997"/>
    <w:rsid w:val="2391665E"/>
    <w:rsid w:val="23940D6E"/>
    <w:rsid w:val="23BC770E"/>
    <w:rsid w:val="23C91E2B"/>
    <w:rsid w:val="23E822B1"/>
    <w:rsid w:val="23ED3D6C"/>
    <w:rsid w:val="23F171DD"/>
    <w:rsid w:val="24003A9F"/>
    <w:rsid w:val="24015121"/>
    <w:rsid w:val="24547947"/>
    <w:rsid w:val="245636BF"/>
    <w:rsid w:val="246057D0"/>
    <w:rsid w:val="247327B6"/>
    <w:rsid w:val="247E43DB"/>
    <w:rsid w:val="248F6BD1"/>
    <w:rsid w:val="24A84E40"/>
    <w:rsid w:val="24DB5714"/>
    <w:rsid w:val="24E44819"/>
    <w:rsid w:val="24F028B0"/>
    <w:rsid w:val="24FA6740"/>
    <w:rsid w:val="25007ACF"/>
    <w:rsid w:val="25011468"/>
    <w:rsid w:val="252217F3"/>
    <w:rsid w:val="252B4B4C"/>
    <w:rsid w:val="25396B3D"/>
    <w:rsid w:val="253F5C04"/>
    <w:rsid w:val="25547212"/>
    <w:rsid w:val="25557579"/>
    <w:rsid w:val="255D0A7D"/>
    <w:rsid w:val="25634A83"/>
    <w:rsid w:val="25826736"/>
    <w:rsid w:val="259832BC"/>
    <w:rsid w:val="259C77F7"/>
    <w:rsid w:val="25D1410B"/>
    <w:rsid w:val="25D845A8"/>
    <w:rsid w:val="25E84FC3"/>
    <w:rsid w:val="260E5C0A"/>
    <w:rsid w:val="262275D1"/>
    <w:rsid w:val="26272215"/>
    <w:rsid w:val="26435EC5"/>
    <w:rsid w:val="26626DF1"/>
    <w:rsid w:val="269229A8"/>
    <w:rsid w:val="269D2A64"/>
    <w:rsid w:val="26A85D28"/>
    <w:rsid w:val="26AD77E2"/>
    <w:rsid w:val="26BE0515"/>
    <w:rsid w:val="26C13330"/>
    <w:rsid w:val="26C16DEA"/>
    <w:rsid w:val="26CD578F"/>
    <w:rsid w:val="26DD7622"/>
    <w:rsid w:val="26DE6A53"/>
    <w:rsid w:val="26F40F6D"/>
    <w:rsid w:val="27007912"/>
    <w:rsid w:val="270C275B"/>
    <w:rsid w:val="27123908"/>
    <w:rsid w:val="2714366E"/>
    <w:rsid w:val="272D1181"/>
    <w:rsid w:val="2733137D"/>
    <w:rsid w:val="27547C5E"/>
    <w:rsid w:val="275E288B"/>
    <w:rsid w:val="27744BDB"/>
    <w:rsid w:val="27872CDC"/>
    <w:rsid w:val="278C564A"/>
    <w:rsid w:val="27A714F0"/>
    <w:rsid w:val="27AB1CB6"/>
    <w:rsid w:val="27AE3812"/>
    <w:rsid w:val="27BC5F2F"/>
    <w:rsid w:val="27C13545"/>
    <w:rsid w:val="27C6290A"/>
    <w:rsid w:val="27DD1DCA"/>
    <w:rsid w:val="27E86D24"/>
    <w:rsid w:val="27FB343B"/>
    <w:rsid w:val="27FD29EE"/>
    <w:rsid w:val="280653FC"/>
    <w:rsid w:val="284321AC"/>
    <w:rsid w:val="28615E54"/>
    <w:rsid w:val="28642123"/>
    <w:rsid w:val="286B34B1"/>
    <w:rsid w:val="28754330"/>
    <w:rsid w:val="2898228E"/>
    <w:rsid w:val="2898368E"/>
    <w:rsid w:val="289A2E7C"/>
    <w:rsid w:val="28A212CC"/>
    <w:rsid w:val="28A6098D"/>
    <w:rsid w:val="28A76B1D"/>
    <w:rsid w:val="28C450E2"/>
    <w:rsid w:val="28D91F7F"/>
    <w:rsid w:val="28E079FB"/>
    <w:rsid w:val="28E31299"/>
    <w:rsid w:val="28E36414"/>
    <w:rsid w:val="290F3679"/>
    <w:rsid w:val="292A511A"/>
    <w:rsid w:val="292F3B58"/>
    <w:rsid w:val="293E0BC6"/>
    <w:rsid w:val="294F4B81"/>
    <w:rsid w:val="295B1778"/>
    <w:rsid w:val="296F0D7F"/>
    <w:rsid w:val="297D349C"/>
    <w:rsid w:val="298567F4"/>
    <w:rsid w:val="298F4F7D"/>
    <w:rsid w:val="29A6176B"/>
    <w:rsid w:val="29AB102C"/>
    <w:rsid w:val="29B15C26"/>
    <w:rsid w:val="29D84B76"/>
    <w:rsid w:val="29E311E9"/>
    <w:rsid w:val="2A004A26"/>
    <w:rsid w:val="2A016B5D"/>
    <w:rsid w:val="2A027E45"/>
    <w:rsid w:val="2A4A387B"/>
    <w:rsid w:val="2A5F4600"/>
    <w:rsid w:val="2A636B36"/>
    <w:rsid w:val="2A696F9E"/>
    <w:rsid w:val="2A77438F"/>
    <w:rsid w:val="2A7778D7"/>
    <w:rsid w:val="2A8E3487"/>
    <w:rsid w:val="2A924740"/>
    <w:rsid w:val="2A950CB9"/>
    <w:rsid w:val="2A97058D"/>
    <w:rsid w:val="2A9A4101"/>
    <w:rsid w:val="2AB27175"/>
    <w:rsid w:val="2ABE5B1A"/>
    <w:rsid w:val="2AC536F9"/>
    <w:rsid w:val="2AD73DDA"/>
    <w:rsid w:val="2AE44BDB"/>
    <w:rsid w:val="2AE46958"/>
    <w:rsid w:val="2AF619F1"/>
    <w:rsid w:val="2AFE060C"/>
    <w:rsid w:val="2B083239"/>
    <w:rsid w:val="2B377690"/>
    <w:rsid w:val="2B397896"/>
    <w:rsid w:val="2B3C0931"/>
    <w:rsid w:val="2B3F72B2"/>
    <w:rsid w:val="2B5114A7"/>
    <w:rsid w:val="2B683CD8"/>
    <w:rsid w:val="2B760820"/>
    <w:rsid w:val="2B7D0DE1"/>
    <w:rsid w:val="2BAD01D4"/>
    <w:rsid w:val="2BC41856"/>
    <w:rsid w:val="2BE315B0"/>
    <w:rsid w:val="2BF11F1F"/>
    <w:rsid w:val="2C0003B4"/>
    <w:rsid w:val="2C213F02"/>
    <w:rsid w:val="2C3116AB"/>
    <w:rsid w:val="2C3F0EDD"/>
    <w:rsid w:val="2C3F2C8B"/>
    <w:rsid w:val="2C472C8F"/>
    <w:rsid w:val="2C491D5B"/>
    <w:rsid w:val="2C6426F1"/>
    <w:rsid w:val="2C71252E"/>
    <w:rsid w:val="2C9034E6"/>
    <w:rsid w:val="2CAE7E10"/>
    <w:rsid w:val="2CC969F8"/>
    <w:rsid w:val="2CD23AFF"/>
    <w:rsid w:val="2CD86C3B"/>
    <w:rsid w:val="2CDC7038"/>
    <w:rsid w:val="2CE818B5"/>
    <w:rsid w:val="2CF972DD"/>
    <w:rsid w:val="2D2325AC"/>
    <w:rsid w:val="2D3A669D"/>
    <w:rsid w:val="2D411C4E"/>
    <w:rsid w:val="2D454904"/>
    <w:rsid w:val="2D46629B"/>
    <w:rsid w:val="2D664671"/>
    <w:rsid w:val="2D6C3F53"/>
    <w:rsid w:val="2D7B7CF2"/>
    <w:rsid w:val="2D8079FF"/>
    <w:rsid w:val="2D855015"/>
    <w:rsid w:val="2D865F64"/>
    <w:rsid w:val="2DA2119A"/>
    <w:rsid w:val="2DAE631A"/>
    <w:rsid w:val="2DD70495"/>
    <w:rsid w:val="2DE7182C"/>
    <w:rsid w:val="2DF14D73"/>
    <w:rsid w:val="2DFA32FB"/>
    <w:rsid w:val="2E055FFA"/>
    <w:rsid w:val="2E0648EE"/>
    <w:rsid w:val="2E165C6D"/>
    <w:rsid w:val="2E224155"/>
    <w:rsid w:val="2E393C79"/>
    <w:rsid w:val="2E3C3D01"/>
    <w:rsid w:val="2E424AD5"/>
    <w:rsid w:val="2E4E49E1"/>
    <w:rsid w:val="2E516D92"/>
    <w:rsid w:val="2E6B1B30"/>
    <w:rsid w:val="2E825006"/>
    <w:rsid w:val="2E8A00DF"/>
    <w:rsid w:val="2E91136B"/>
    <w:rsid w:val="2E955D79"/>
    <w:rsid w:val="2EA80FBB"/>
    <w:rsid w:val="2EAD65D1"/>
    <w:rsid w:val="2EC2561E"/>
    <w:rsid w:val="2EC34B5D"/>
    <w:rsid w:val="2ECA1E1A"/>
    <w:rsid w:val="2ED7364E"/>
    <w:rsid w:val="2EE572FA"/>
    <w:rsid w:val="2EFA10EB"/>
    <w:rsid w:val="2EFF4953"/>
    <w:rsid w:val="2F041F69"/>
    <w:rsid w:val="2F0F2DE8"/>
    <w:rsid w:val="2F2B5748"/>
    <w:rsid w:val="2F2B5BD1"/>
    <w:rsid w:val="2F3C19BE"/>
    <w:rsid w:val="2F4A3E20"/>
    <w:rsid w:val="2F527179"/>
    <w:rsid w:val="2F5E5B1E"/>
    <w:rsid w:val="2F900E7D"/>
    <w:rsid w:val="2F936A4E"/>
    <w:rsid w:val="2F996B56"/>
    <w:rsid w:val="2FA8323D"/>
    <w:rsid w:val="2FC54262"/>
    <w:rsid w:val="2FC64B35"/>
    <w:rsid w:val="2FCA46BE"/>
    <w:rsid w:val="30073ABF"/>
    <w:rsid w:val="300D4E4E"/>
    <w:rsid w:val="301B3A0F"/>
    <w:rsid w:val="3025663B"/>
    <w:rsid w:val="30687C32"/>
    <w:rsid w:val="306C73A6"/>
    <w:rsid w:val="309D4424"/>
    <w:rsid w:val="30A43A04"/>
    <w:rsid w:val="30CC4D09"/>
    <w:rsid w:val="30D35C55"/>
    <w:rsid w:val="30DC3D95"/>
    <w:rsid w:val="30DE2356"/>
    <w:rsid w:val="30ED7159"/>
    <w:rsid w:val="31112094"/>
    <w:rsid w:val="31126BC0"/>
    <w:rsid w:val="3113544D"/>
    <w:rsid w:val="311D62CC"/>
    <w:rsid w:val="314314D2"/>
    <w:rsid w:val="31464ABB"/>
    <w:rsid w:val="318F6462"/>
    <w:rsid w:val="3196159F"/>
    <w:rsid w:val="319B4E07"/>
    <w:rsid w:val="31B77767"/>
    <w:rsid w:val="31BB57A6"/>
    <w:rsid w:val="31C205E6"/>
    <w:rsid w:val="31D64091"/>
    <w:rsid w:val="31E16592"/>
    <w:rsid w:val="31ED3189"/>
    <w:rsid w:val="31F14A27"/>
    <w:rsid w:val="31F97D80"/>
    <w:rsid w:val="32031B53"/>
    <w:rsid w:val="32096215"/>
    <w:rsid w:val="32100D0D"/>
    <w:rsid w:val="32221084"/>
    <w:rsid w:val="3227669B"/>
    <w:rsid w:val="322F554F"/>
    <w:rsid w:val="32427031"/>
    <w:rsid w:val="32582CF8"/>
    <w:rsid w:val="327626B1"/>
    <w:rsid w:val="329047D2"/>
    <w:rsid w:val="32935ADE"/>
    <w:rsid w:val="32980F88"/>
    <w:rsid w:val="329E6426"/>
    <w:rsid w:val="32A20056"/>
    <w:rsid w:val="32AB482D"/>
    <w:rsid w:val="32CC0FF0"/>
    <w:rsid w:val="32CD1AC6"/>
    <w:rsid w:val="32D87995"/>
    <w:rsid w:val="32E8120D"/>
    <w:rsid w:val="32F249FD"/>
    <w:rsid w:val="32F65818"/>
    <w:rsid w:val="32F72E33"/>
    <w:rsid w:val="32FA05AD"/>
    <w:rsid w:val="33082BA8"/>
    <w:rsid w:val="330864CC"/>
    <w:rsid w:val="3312208F"/>
    <w:rsid w:val="331533CF"/>
    <w:rsid w:val="331A7FAD"/>
    <w:rsid w:val="33264BA4"/>
    <w:rsid w:val="332734BE"/>
    <w:rsid w:val="332D5F33"/>
    <w:rsid w:val="33604FDD"/>
    <w:rsid w:val="339E473B"/>
    <w:rsid w:val="33A85DB5"/>
    <w:rsid w:val="33A930DF"/>
    <w:rsid w:val="33C1667B"/>
    <w:rsid w:val="33ED56C2"/>
    <w:rsid w:val="33F425AD"/>
    <w:rsid w:val="33F66C16"/>
    <w:rsid w:val="34066269"/>
    <w:rsid w:val="340842AA"/>
    <w:rsid w:val="341471F8"/>
    <w:rsid w:val="34314977"/>
    <w:rsid w:val="34320A5D"/>
    <w:rsid w:val="344277BC"/>
    <w:rsid w:val="34563267"/>
    <w:rsid w:val="345656C7"/>
    <w:rsid w:val="345974E2"/>
    <w:rsid w:val="34637732"/>
    <w:rsid w:val="347003C1"/>
    <w:rsid w:val="347D25A2"/>
    <w:rsid w:val="34840E39"/>
    <w:rsid w:val="34981FFB"/>
    <w:rsid w:val="34B568F9"/>
    <w:rsid w:val="34B85CD0"/>
    <w:rsid w:val="34C77CC1"/>
    <w:rsid w:val="351F3657"/>
    <w:rsid w:val="35414B88"/>
    <w:rsid w:val="35472BB0"/>
    <w:rsid w:val="354B26A0"/>
    <w:rsid w:val="3550415A"/>
    <w:rsid w:val="35552F89"/>
    <w:rsid w:val="355C48AD"/>
    <w:rsid w:val="356F257B"/>
    <w:rsid w:val="35725E7F"/>
    <w:rsid w:val="359C114E"/>
    <w:rsid w:val="35C6441D"/>
    <w:rsid w:val="35D8546E"/>
    <w:rsid w:val="35F04FF6"/>
    <w:rsid w:val="35F817A9"/>
    <w:rsid w:val="360A4309"/>
    <w:rsid w:val="36116DAA"/>
    <w:rsid w:val="3613710F"/>
    <w:rsid w:val="36227EF3"/>
    <w:rsid w:val="36257395"/>
    <w:rsid w:val="363D46DF"/>
    <w:rsid w:val="36443918"/>
    <w:rsid w:val="364F7F6E"/>
    <w:rsid w:val="36676E76"/>
    <w:rsid w:val="36B75AD0"/>
    <w:rsid w:val="36D05553"/>
    <w:rsid w:val="36D36DF1"/>
    <w:rsid w:val="36D44917"/>
    <w:rsid w:val="36E42DAC"/>
    <w:rsid w:val="36F81A2E"/>
    <w:rsid w:val="37175BB2"/>
    <w:rsid w:val="37411994"/>
    <w:rsid w:val="37543CF6"/>
    <w:rsid w:val="37645E40"/>
    <w:rsid w:val="37647A49"/>
    <w:rsid w:val="376B0DD8"/>
    <w:rsid w:val="37751BBE"/>
    <w:rsid w:val="377F6482"/>
    <w:rsid w:val="3783605E"/>
    <w:rsid w:val="37887BDC"/>
    <w:rsid w:val="37893954"/>
    <w:rsid w:val="378974B0"/>
    <w:rsid w:val="378B3228"/>
    <w:rsid w:val="37971BCD"/>
    <w:rsid w:val="37D06FCA"/>
    <w:rsid w:val="37D42E21"/>
    <w:rsid w:val="37DF5041"/>
    <w:rsid w:val="37EA43F2"/>
    <w:rsid w:val="38075A82"/>
    <w:rsid w:val="380B6117"/>
    <w:rsid w:val="38347F72"/>
    <w:rsid w:val="383B2EA0"/>
    <w:rsid w:val="38432CA3"/>
    <w:rsid w:val="38A109B2"/>
    <w:rsid w:val="38B44A00"/>
    <w:rsid w:val="38C634C2"/>
    <w:rsid w:val="38D13A7E"/>
    <w:rsid w:val="38D34E86"/>
    <w:rsid w:val="38EC7CF6"/>
    <w:rsid w:val="38EF24BC"/>
    <w:rsid w:val="38F1355F"/>
    <w:rsid w:val="390019F4"/>
    <w:rsid w:val="3912667C"/>
    <w:rsid w:val="39186D3D"/>
    <w:rsid w:val="392B4CC2"/>
    <w:rsid w:val="392C0A3B"/>
    <w:rsid w:val="393924A8"/>
    <w:rsid w:val="393C6ED0"/>
    <w:rsid w:val="394406F9"/>
    <w:rsid w:val="394713D0"/>
    <w:rsid w:val="39550FAC"/>
    <w:rsid w:val="395F2BBE"/>
    <w:rsid w:val="397A17A6"/>
    <w:rsid w:val="39865BAA"/>
    <w:rsid w:val="39877988"/>
    <w:rsid w:val="39897C3B"/>
    <w:rsid w:val="39916AF0"/>
    <w:rsid w:val="39930009"/>
    <w:rsid w:val="399C796E"/>
    <w:rsid w:val="39A607ED"/>
    <w:rsid w:val="39AE31FE"/>
    <w:rsid w:val="39B76556"/>
    <w:rsid w:val="39CD3FCC"/>
    <w:rsid w:val="39EB6200"/>
    <w:rsid w:val="39FF1CAB"/>
    <w:rsid w:val="3A03179B"/>
    <w:rsid w:val="3A2B6F44"/>
    <w:rsid w:val="3A3B3547"/>
    <w:rsid w:val="3A483652"/>
    <w:rsid w:val="3A7601BF"/>
    <w:rsid w:val="3A82188E"/>
    <w:rsid w:val="3A95616C"/>
    <w:rsid w:val="3A977C56"/>
    <w:rsid w:val="3AB111F7"/>
    <w:rsid w:val="3AB64A60"/>
    <w:rsid w:val="3AC3717D"/>
    <w:rsid w:val="3AC727C9"/>
    <w:rsid w:val="3ACF167E"/>
    <w:rsid w:val="3AF51991"/>
    <w:rsid w:val="3B131EB2"/>
    <w:rsid w:val="3B381919"/>
    <w:rsid w:val="3B3D6A07"/>
    <w:rsid w:val="3B520EE6"/>
    <w:rsid w:val="3B5B20B0"/>
    <w:rsid w:val="3B6C6C8F"/>
    <w:rsid w:val="3B710987"/>
    <w:rsid w:val="3B726878"/>
    <w:rsid w:val="3B903948"/>
    <w:rsid w:val="3BBA28F3"/>
    <w:rsid w:val="3BC62A80"/>
    <w:rsid w:val="3BCC2061"/>
    <w:rsid w:val="3BD50F16"/>
    <w:rsid w:val="3BDE6599"/>
    <w:rsid w:val="3C2F4ACA"/>
    <w:rsid w:val="3C371A00"/>
    <w:rsid w:val="3C5B366D"/>
    <w:rsid w:val="3CA01523"/>
    <w:rsid w:val="3CC86CCC"/>
    <w:rsid w:val="3CD76F0F"/>
    <w:rsid w:val="3CE82ECA"/>
    <w:rsid w:val="3CEB6517"/>
    <w:rsid w:val="3CF96982"/>
    <w:rsid w:val="3D162A5F"/>
    <w:rsid w:val="3D3303F0"/>
    <w:rsid w:val="3D343881"/>
    <w:rsid w:val="3D3C0959"/>
    <w:rsid w:val="3D404023"/>
    <w:rsid w:val="3D4225DB"/>
    <w:rsid w:val="3D580050"/>
    <w:rsid w:val="3D5B18EE"/>
    <w:rsid w:val="3D815830"/>
    <w:rsid w:val="3D840E45"/>
    <w:rsid w:val="3D9B10FE"/>
    <w:rsid w:val="3DA70690"/>
    <w:rsid w:val="3DC751D2"/>
    <w:rsid w:val="3DCA278C"/>
    <w:rsid w:val="3DDA5B24"/>
    <w:rsid w:val="3DE03BA2"/>
    <w:rsid w:val="3DEC2546"/>
    <w:rsid w:val="3E1A3557"/>
    <w:rsid w:val="3E2E0DB1"/>
    <w:rsid w:val="3E3C34CE"/>
    <w:rsid w:val="3E495BEB"/>
    <w:rsid w:val="3E8A31A2"/>
    <w:rsid w:val="3E91465F"/>
    <w:rsid w:val="3EB47508"/>
    <w:rsid w:val="3EB5502E"/>
    <w:rsid w:val="3EBC6FA7"/>
    <w:rsid w:val="3EC508FB"/>
    <w:rsid w:val="3EC534C3"/>
    <w:rsid w:val="3ECA0C41"/>
    <w:rsid w:val="3ED5122D"/>
    <w:rsid w:val="3EE94258"/>
    <w:rsid w:val="3EFE4C27"/>
    <w:rsid w:val="3F010273"/>
    <w:rsid w:val="3F0F473E"/>
    <w:rsid w:val="3F32667F"/>
    <w:rsid w:val="3F3453F5"/>
    <w:rsid w:val="3F4C5993"/>
    <w:rsid w:val="3F5601A9"/>
    <w:rsid w:val="3F634A8A"/>
    <w:rsid w:val="3F656A54"/>
    <w:rsid w:val="3F8F587F"/>
    <w:rsid w:val="3FA44006"/>
    <w:rsid w:val="3FA96941"/>
    <w:rsid w:val="3FAE608F"/>
    <w:rsid w:val="3FB66D1A"/>
    <w:rsid w:val="3FBA749C"/>
    <w:rsid w:val="3FC76DC7"/>
    <w:rsid w:val="3FCA4B09"/>
    <w:rsid w:val="3FD657EF"/>
    <w:rsid w:val="3FEB114F"/>
    <w:rsid w:val="401D10DD"/>
    <w:rsid w:val="403A57EB"/>
    <w:rsid w:val="403C77B5"/>
    <w:rsid w:val="404448BC"/>
    <w:rsid w:val="40644F5E"/>
    <w:rsid w:val="40646D0C"/>
    <w:rsid w:val="407927B7"/>
    <w:rsid w:val="40AA0BC3"/>
    <w:rsid w:val="40AD06B3"/>
    <w:rsid w:val="40B51316"/>
    <w:rsid w:val="40B808FD"/>
    <w:rsid w:val="40CD48B1"/>
    <w:rsid w:val="40CE6837"/>
    <w:rsid w:val="40F1363E"/>
    <w:rsid w:val="40FB141E"/>
    <w:rsid w:val="410440E3"/>
    <w:rsid w:val="41100491"/>
    <w:rsid w:val="41133AC8"/>
    <w:rsid w:val="4121627F"/>
    <w:rsid w:val="412E0E49"/>
    <w:rsid w:val="413B181B"/>
    <w:rsid w:val="415838D3"/>
    <w:rsid w:val="415B6BDC"/>
    <w:rsid w:val="415D5AA1"/>
    <w:rsid w:val="416A0352"/>
    <w:rsid w:val="418F600A"/>
    <w:rsid w:val="41AA074E"/>
    <w:rsid w:val="41AF2209"/>
    <w:rsid w:val="41B24CC0"/>
    <w:rsid w:val="41CE6B33"/>
    <w:rsid w:val="41DD28D2"/>
    <w:rsid w:val="41E6251B"/>
    <w:rsid w:val="41E87CE3"/>
    <w:rsid w:val="41F36599"/>
    <w:rsid w:val="42042555"/>
    <w:rsid w:val="42257B0D"/>
    <w:rsid w:val="423654AA"/>
    <w:rsid w:val="423F17DF"/>
    <w:rsid w:val="4252760F"/>
    <w:rsid w:val="425A6618"/>
    <w:rsid w:val="426D6123"/>
    <w:rsid w:val="428A217B"/>
    <w:rsid w:val="429B0086"/>
    <w:rsid w:val="42AB29D0"/>
    <w:rsid w:val="42B17F68"/>
    <w:rsid w:val="42E87780"/>
    <w:rsid w:val="42E95878"/>
    <w:rsid w:val="42F53F10"/>
    <w:rsid w:val="430D007F"/>
    <w:rsid w:val="431A1904"/>
    <w:rsid w:val="431D59F5"/>
    <w:rsid w:val="433107D0"/>
    <w:rsid w:val="4337171F"/>
    <w:rsid w:val="43523CE3"/>
    <w:rsid w:val="43552508"/>
    <w:rsid w:val="436112E1"/>
    <w:rsid w:val="437B4D47"/>
    <w:rsid w:val="438B4CBB"/>
    <w:rsid w:val="439714AA"/>
    <w:rsid w:val="43B94602"/>
    <w:rsid w:val="43C10F01"/>
    <w:rsid w:val="43CF26EE"/>
    <w:rsid w:val="43D77858"/>
    <w:rsid w:val="43FA3C0F"/>
    <w:rsid w:val="43FB34E3"/>
    <w:rsid w:val="443864E5"/>
    <w:rsid w:val="443D287E"/>
    <w:rsid w:val="4440539A"/>
    <w:rsid w:val="444C3D3F"/>
    <w:rsid w:val="445361E5"/>
    <w:rsid w:val="445448B1"/>
    <w:rsid w:val="446F7A2D"/>
    <w:rsid w:val="447D7880"/>
    <w:rsid w:val="448F4EDD"/>
    <w:rsid w:val="44935E12"/>
    <w:rsid w:val="449432A7"/>
    <w:rsid w:val="44957494"/>
    <w:rsid w:val="44A91191"/>
    <w:rsid w:val="44E421C9"/>
    <w:rsid w:val="44E81303"/>
    <w:rsid w:val="45187186"/>
    <w:rsid w:val="45196317"/>
    <w:rsid w:val="45207111"/>
    <w:rsid w:val="454323EA"/>
    <w:rsid w:val="45594965"/>
    <w:rsid w:val="45633A36"/>
    <w:rsid w:val="45703A5D"/>
    <w:rsid w:val="45974308"/>
    <w:rsid w:val="459B4964"/>
    <w:rsid w:val="459C6DF2"/>
    <w:rsid w:val="459E3CDB"/>
    <w:rsid w:val="45A04342"/>
    <w:rsid w:val="45A656D1"/>
    <w:rsid w:val="45D109A0"/>
    <w:rsid w:val="45E701C3"/>
    <w:rsid w:val="45EA0136"/>
    <w:rsid w:val="45F57A15"/>
    <w:rsid w:val="46081EE8"/>
    <w:rsid w:val="4614088C"/>
    <w:rsid w:val="46191654"/>
    <w:rsid w:val="4665733A"/>
    <w:rsid w:val="46670303"/>
    <w:rsid w:val="466B2BA2"/>
    <w:rsid w:val="467D0912"/>
    <w:rsid w:val="46827EEC"/>
    <w:rsid w:val="469D6AD4"/>
    <w:rsid w:val="46C6602A"/>
    <w:rsid w:val="46E1771B"/>
    <w:rsid w:val="46E464B1"/>
    <w:rsid w:val="46E82445"/>
    <w:rsid w:val="46ED1809"/>
    <w:rsid w:val="4700000A"/>
    <w:rsid w:val="47002110"/>
    <w:rsid w:val="47156F84"/>
    <w:rsid w:val="472114B3"/>
    <w:rsid w:val="47321912"/>
    <w:rsid w:val="473311D8"/>
    <w:rsid w:val="47332F94"/>
    <w:rsid w:val="4739757E"/>
    <w:rsid w:val="473E02B7"/>
    <w:rsid w:val="473E2065"/>
    <w:rsid w:val="474A63D8"/>
    <w:rsid w:val="474D22A8"/>
    <w:rsid w:val="476A3014"/>
    <w:rsid w:val="476B0980"/>
    <w:rsid w:val="47864444"/>
    <w:rsid w:val="47AC3472"/>
    <w:rsid w:val="47BF74EC"/>
    <w:rsid w:val="47D44777"/>
    <w:rsid w:val="47D91D8D"/>
    <w:rsid w:val="47DC0FD2"/>
    <w:rsid w:val="47E33B32"/>
    <w:rsid w:val="47E50732"/>
    <w:rsid w:val="48021C3E"/>
    <w:rsid w:val="48054931"/>
    <w:rsid w:val="48330132"/>
    <w:rsid w:val="483671E0"/>
    <w:rsid w:val="48643D4D"/>
    <w:rsid w:val="48720C6F"/>
    <w:rsid w:val="48783354"/>
    <w:rsid w:val="487D3D7D"/>
    <w:rsid w:val="48BC37D4"/>
    <w:rsid w:val="48D662CD"/>
    <w:rsid w:val="48E22EC4"/>
    <w:rsid w:val="48EA3B26"/>
    <w:rsid w:val="48F331AB"/>
    <w:rsid w:val="49172B6D"/>
    <w:rsid w:val="49295900"/>
    <w:rsid w:val="493C25D4"/>
    <w:rsid w:val="496D4E83"/>
    <w:rsid w:val="499A7976"/>
    <w:rsid w:val="49D7054F"/>
    <w:rsid w:val="49DC7913"/>
    <w:rsid w:val="49E8763C"/>
    <w:rsid w:val="49F72B9B"/>
    <w:rsid w:val="49FE52CC"/>
    <w:rsid w:val="4A0D21C2"/>
    <w:rsid w:val="4A42359B"/>
    <w:rsid w:val="4A541B9F"/>
    <w:rsid w:val="4A6855C7"/>
    <w:rsid w:val="4A706076"/>
    <w:rsid w:val="4A726072"/>
    <w:rsid w:val="4A797552"/>
    <w:rsid w:val="4A9D52F4"/>
    <w:rsid w:val="4AA85A47"/>
    <w:rsid w:val="4AD44F71"/>
    <w:rsid w:val="4ADB406F"/>
    <w:rsid w:val="4AE8353B"/>
    <w:rsid w:val="4B055C59"/>
    <w:rsid w:val="4B094738"/>
    <w:rsid w:val="4B3732AB"/>
    <w:rsid w:val="4B3F0159"/>
    <w:rsid w:val="4B571947"/>
    <w:rsid w:val="4B83098E"/>
    <w:rsid w:val="4B86222C"/>
    <w:rsid w:val="4B8645ED"/>
    <w:rsid w:val="4B933874"/>
    <w:rsid w:val="4BA45417"/>
    <w:rsid w:val="4BBA0040"/>
    <w:rsid w:val="4BDB2A28"/>
    <w:rsid w:val="4BFD741C"/>
    <w:rsid w:val="4BFE7D23"/>
    <w:rsid w:val="4C2757BD"/>
    <w:rsid w:val="4C28128E"/>
    <w:rsid w:val="4C44060E"/>
    <w:rsid w:val="4C4C6FD2"/>
    <w:rsid w:val="4C4F1E34"/>
    <w:rsid w:val="4C681932"/>
    <w:rsid w:val="4C7327B1"/>
    <w:rsid w:val="4C9D15DC"/>
    <w:rsid w:val="4C9D5A7F"/>
    <w:rsid w:val="4CBD1C7E"/>
    <w:rsid w:val="4CC52826"/>
    <w:rsid w:val="4CD05CDB"/>
    <w:rsid w:val="4CDC1F1A"/>
    <w:rsid w:val="4CF3569F"/>
    <w:rsid w:val="4D056F74"/>
    <w:rsid w:val="4D0734F8"/>
    <w:rsid w:val="4D0A6710"/>
    <w:rsid w:val="4D1D536F"/>
    <w:rsid w:val="4D327A38"/>
    <w:rsid w:val="4D341814"/>
    <w:rsid w:val="4D3A507C"/>
    <w:rsid w:val="4D471406"/>
    <w:rsid w:val="4D654BD1"/>
    <w:rsid w:val="4D782049"/>
    <w:rsid w:val="4D7A191D"/>
    <w:rsid w:val="4DA8648A"/>
    <w:rsid w:val="4DBB0CBC"/>
    <w:rsid w:val="4DC62DB4"/>
    <w:rsid w:val="4DC908DA"/>
    <w:rsid w:val="4DFB1126"/>
    <w:rsid w:val="4E031912"/>
    <w:rsid w:val="4E287D9F"/>
    <w:rsid w:val="4E52289A"/>
    <w:rsid w:val="4E5C5106"/>
    <w:rsid w:val="4E772448"/>
    <w:rsid w:val="4E791BD4"/>
    <w:rsid w:val="4E7C5AD8"/>
    <w:rsid w:val="4E853C5A"/>
    <w:rsid w:val="4EA922D3"/>
    <w:rsid w:val="4EBE1CDD"/>
    <w:rsid w:val="4ECD3CCE"/>
    <w:rsid w:val="4EE3513A"/>
    <w:rsid w:val="4EF0595D"/>
    <w:rsid w:val="4F005E52"/>
    <w:rsid w:val="4F0A1774"/>
    <w:rsid w:val="4F0C7024"/>
    <w:rsid w:val="4F1E452A"/>
    <w:rsid w:val="4F205D20"/>
    <w:rsid w:val="4F3A75B6"/>
    <w:rsid w:val="4F3F105D"/>
    <w:rsid w:val="4F5B752C"/>
    <w:rsid w:val="4F7725B8"/>
    <w:rsid w:val="4F9273F2"/>
    <w:rsid w:val="4FA21F7E"/>
    <w:rsid w:val="4FA6502A"/>
    <w:rsid w:val="4FBF7FD9"/>
    <w:rsid w:val="4FDD43E5"/>
    <w:rsid w:val="4FFF435B"/>
    <w:rsid w:val="500109DB"/>
    <w:rsid w:val="500B2D00"/>
    <w:rsid w:val="501A1195"/>
    <w:rsid w:val="501B0E34"/>
    <w:rsid w:val="501C6CBB"/>
    <w:rsid w:val="50235F7D"/>
    <w:rsid w:val="502E3F4E"/>
    <w:rsid w:val="505A51B9"/>
    <w:rsid w:val="50681F00"/>
    <w:rsid w:val="507819BE"/>
    <w:rsid w:val="50A373DC"/>
    <w:rsid w:val="50B079EF"/>
    <w:rsid w:val="50B82E88"/>
    <w:rsid w:val="50B96C00"/>
    <w:rsid w:val="50BE6C2F"/>
    <w:rsid w:val="50D6330E"/>
    <w:rsid w:val="50F11EF6"/>
    <w:rsid w:val="50F25C6E"/>
    <w:rsid w:val="50FE3AA7"/>
    <w:rsid w:val="51263104"/>
    <w:rsid w:val="51291BE5"/>
    <w:rsid w:val="512C40C2"/>
    <w:rsid w:val="5141204E"/>
    <w:rsid w:val="51496E30"/>
    <w:rsid w:val="514C5085"/>
    <w:rsid w:val="5156444F"/>
    <w:rsid w:val="5159071B"/>
    <w:rsid w:val="517F5754"/>
    <w:rsid w:val="51890380"/>
    <w:rsid w:val="518E1E3B"/>
    <w:rsid w:val="519136D9"/>
    <w:rsid w:val="51C17ADB"/>
    <w:rsid w:val="51DC3D24"/>
    <w:rsid w:val="51EF0B56"/>
    <w:rsid w:val="51FF6894"/>
    <w:rsid w:val="520C4302"/>
    <w:rsid w:val="521265C8"/>
    <w:rsid w:val="52195BA8"/>
    <w:rsid w:val="52662470"/>
    <w:rsid w:val="52782E09"/>
    <w:rsid w:val="52836E16"/>
    <w:rsid w:val="529E7E5B"/>
    <w:rsid w:val="52BB0A0D"/>
    <w:rsid w:val="52BC7203"/>
    <w:rsid w:val="52C02E16"/>
    <w:rsid w:val="52CA29FF"/>
    <w:rsid w:val="52CB0DE9"/>
    <w:rsid w:val="52CB6777"/>
    <w:rsid w:val="52D946DE"/>
    <w:rsid w:val="52E00CEC"/>
    <w:rsid w:val="52E87329"/>
    <w:rsid w:val="52E923B8"/>
    <w:rsid w:val="52F52BFF"/>
    <w:rsid w:val="52FC2DD4"/>
    <w:rsid w:val="53131E78"/>
    <w:rsid w:val="53195734"/>
    <w:rsid w:val="532B20FA"/>
    <w:rsid w:val="53302189"/>
    <w:rsid w:val="535920E8"/>
    <w:rsid w:val="536777EC"/>
    <w:rsid w:val="53990E46"/>
    <w:rsid w:val="539F032F"/>
    <w:rsid w:val="53A2397B"/>
    <w:rsid w:val="53A61446"/>
    <w:rsid w:val="53D9073D"/>
    <w:rsid w:val="53E43F94"/>
    <w:rsid w:val="53E923D0"/>
    <w:rsid w:val="53FF0DCE"/>
    <w:rsid w:val="5403433C"/>
    <w:rsid w:val="540463E4"/>
    <w:rsid w:val="540802F9"/>
    <w:rsid w:val="54210D44"/>
    <w:rsid w:val="54422A6C"/>
    <w:rsid w:val="545309D2"/>
    <w:rsid w:val="54596730"/>
    <w:rsid w:val="546B2CBD"/>
    <w:rsid w:val="548337AD"/>
    <w:rsid w:val="54C608A6"/>
    <w:rsid w:val="54C759CF"/>
    <w:rsid w:val="54CA318A"/>
    <w:rsid w:val="54CD4A28"/>
    <w:rsid w:val="55115D7C"/>
    <w:rsid w:val="55126369"/>
    <w:rsid w:val="552A00CC"/>
    <w:rsid w:val="55344AA7"/>
    <w:rsid w:val="553920BD"/>
    <w:rsid w:val="55482300"/>
    <w:rsid w:val="555B47FD"/>
    <w:rsid w:val="55605470"/>
    <w:rsid w:val="55966914"/>
    <w:rsid w:val="55A62052"/>
    <w:rsid w:val="55A77D63"/>
    <w:rsid w:val="55A97243"/>
    <w:rsid w:val="55C776C9"/>
    <w:rsid w:val="55FF50B5"/>
    <w:rsid w:val="5600279B"/>
    <w:rsid w:val="56020701"/>
    <w:rsid w:val="56050AAB"/>
    <w:rsid w:val="561769D4"/>
    <w:rsid w:val="563A433F"/>
    <w:rsid w:val="563B3C13"/>
    <w:rsid w:val="56403F8E"/>
    <w:rsid w:val="564252D5"/>
    <w:rsid w:val="56464A92"/>
    <w:rsid w:val="565371AF"/>
    <w:rsid w:val="56666EE2"/>
    <w:rsid w:val="567B1BC0"/>
    <w:rsid w:val="56896082"/>
    <w:rsid w:val="568F468B"/>
    <w:rsid w:val="56A25A40"/>
    <w:rsid w:val="56AB494D"/>
    <w:rsid w:val="56AE5057"/>
    <w:rsid w:val="56C44B23"/>
    <w:rsid w:val="56D04506"/>
    <w:rsid w:val="56D93B58"/>
    <w:rsid w:val="56FD1DFA"/>
    <w:rsid w:val="56FE35BF"/>
    <w:rsid w:val="5705494D"/>
    <w:rsid w:val="572052E3"/>
    <w:rsid w:val="573B036F"/>
    <w:rsid w:val="5748483A"/>
    <w:rsid w:val="574A71E8"/>
    <w:rsid w:val="575B6C94"/>
    <w:rsid w:val="576D24F2"/>
    <w:rsid w:val="57805DDE"/>
    <w:rsid w:val="57966E62"/>
    <w:rsid w:val="57AE6D93"/>
    <w:rsid w:val="57BB500C"/>
    <w:rsid w:val="57BD6FD6"/>
    <w:rsid w:val="57C9715E"/>
    <w:rsid w:val="57CE2F91"/>
    <w:rsid w:val="57E26A3C"/>
    <w:rsid w:val="5811271B"/>
    <w:rsid w:val="58315A42"/>
    <w:rsid w:val="58675193"/>
    <w:rsid w:val="587F1B42"/>
    <w:rsid w:val="58966F98"/>
    <w:rsid w:val="589F2EBA"/>
    <w:rsid w:val="58BD1C9B"/>
    <w:rsid w:val="58E16CF4"/>
    <w:rsid w:val="58E30CBE"/>
    <w:rsid w:val="59026DDF"/>
    <w:rsid w:val="59056087"/>
    <w:rsid w:val="59092A13"/>
    <w:rsid w:val="591A3FB4"/>
    <w:rsid w:val="59367040"/>
    <w:rsid w:val="594D6137"/>
    <w:rsid w:val="59564738"/>
    <w:rsid w:val="59617E35"/>
    <w:rsid w:val="59694B3F"/>
    <w:rsid w:val="596C5104"/>
    <w:rsid w:val="597E2608"/>
    <w:rsid w:val="597F3196"/>
    <w:rsid w:val="5992648C"/>
    <w:rsid w:val="59965D30"/>
    <w:rsid w:val="59AD47DF"/>
    <w:rsid w:val="59AD4E28"/>
    <w:rsid w:val="59BE7035"/>
    <w:rsid w:val="59D61BA3"/>
    <w:rsid w:val="59D7060E"/>
    <w:rsid w:val="59D75F91"/>
    <w:rsid w:val="59DD570D"/>
    <w:rsid w:val="59F20A8D"/>
    <w:rsid w:val="5A0B0A85"/>
    <w:rsid w:val="5A0E58C7"/>
    <w:rsid w:val="5A2C0AD2"/>
    <w:rsid w:val="5A4A42D9"/>
    <w:rsid w:val="5A517EA9"/>
    <w:rsid w:val="5A6710A2"/>
    <w:rsid w:val="5A74453C"/>
    <w:rsid w:val="5A785436"/>
    <w:rsid w:val="5A8B6F17"/>
    <w:rsid w:val="5A9102A6"/>
    <w:rsid w:val="5A9445B3"/>
    <w:rsid w:val="5A957D96"/>
    <w:rsid w:val="5A9B2ED2"/>
    <w:rsid w:val="5A9D5D69"/>
    <w:rsid w:val="5AA1673B"/>
    <w:rsid w:val="5AA224B3"/>
    <w:rsid w:val="5AA40997"/>
    <w:rsid w:val="5AB035F8"/>
    <w:rsid w:val="5AB50438"/>
    <w:rsid w:val="5AC32B55"/>
    <w:rsid w:val="5ACA341E"/>
    <w:rsid w:val="5ACB1A0A"/>
    <w:rsid w:val="5ADD2BA5"/>
    <w:rsid w:val="5AE54598"/>
    <w:rsid w:val="5AE66844"/>
    <w:rsid w:val="5B0D4A78"/>
    <w:rsid w:val="5B14201D"/>
    <w:rsid w:val="5B183BA3"/>
    <w:rsid w:val="5B1C2265"/>
    <w:rsid w:val="5B305D11"/>
    <w:rsid w:val="5B3C46B5"/>
    <w:rsid w:val="5B573600"/>
    <w:rsid w:val="5B5B0FE0"/>
    <w:rsid w:val="5B801186"/>
    <w:rsid w:val="5B8E4EA6"/>
    <w:rsid w:val="5B9A0DFA"/>
    <w:rsid w:val="5BA01302"/>
    <w:rsid w:val="5BBF7A6C"/>
    <w:rsid w:val="5BDE751B"/>
    <w:rsid w:val="5C184475"/>
    <w:rsid w:val="5C394E4E"/>
    <w:rsid w:val="5C5123E2"/>
    <w:rsid w:val="5C5E1665"/>
    <w:rsid w:val="5C5F68AD"/>
    <w:rsid w:val="5C62014C"/>
    <w:rsid w:val="5C685840"/>
    <w:rsid w:val="5C6B141E"/>
    <w:rsid w:val="5C765997"/>
    <w:rsid w:val="5C7E6689"/>
    <w:rsid w:val="5C9148FE"/>
    <w:rsid w:val="5C970444"/>
    <w:rsid w:val="5C9D73D6"/>
    <w:rsid w:val="5C9F314E"/>
    <w:rsid w:val="5CA22C3E"/>
    <w:rsid w:val="5CB32755"/>
    <w:rsid w:val="5CC6692D"/>
    <w:rsid w:val="5CCB3F43"/>
    <w:rsid w:val="5CD01559"/>
    <w:rsid w:val="5D0C62CC"/>
    <w:rsid w:val="5D25151A"/>
    <w:rsid w:val="5D380C0A"/>
    <w:rsid w:val="5D5757D7"/>
    <w:rsid w:val="5D59154F"/>
    <w:rsid w:val="5D95403F"/>
    <w:rsid w:val="5DA622BA"/>
    <w:rsid w:val="5DAD53F7"/>
    <w:rsid w:val="5DB4653D"/>
    <w:rsid w:val="5DC866D4"/>
    <w:rsid w:val="5DEA664B"/>
    <w:rsid w:val="5DF72B16"/>
    <w:rsid w:val="5DFC2E44"/>
    <w:rsid w:val="5DFD637E"/>
    <w:rsid w:val="5E134288"/>
    <w:rsid w:val="5E137D70"/>
    <w:rsid w:val="5E196F30"/>
    <w:rsid w:val="5E1C432A"/>
    <w:rsid w:val="5E1E3F89"/>
    <w:rsid w:val="5E211941"/>
    <w:rsid w:val="5E2542F0"/>
    <w:rsid w:val="5E260E6F"/>
    <w:rsid w:val="5E2C7A84"/>
    <w:rsid w:val="5E510478"/>
    <w:rsid w:val="5E541D16"/>
    <w:rsid w:val="5E5E639C"/>
    <w:rsid w:val="5E6D4A94"/>
    <w:rsid w:val="5E9842F9"/>
    <w:rsid w:val="5EA27B33"/>
    <w:rsid w:val="5EAE58CA"/>
    <w:rsid w:val="5EC628A8"/>
    <w:rsid w:val="5ECA31F3"/>
    <w:rsid w:val="5ED846F5"/>
    <w:rsid w:val="5EFD153A"/>
    <w:rsid w:val="5F001680"/>
    <w:rsid w:val="5F0C25F1"/>
    <w:rsid w:val="5F0E0117"/>
    <w:rsid w:val="5F1576F7"/>
    <w:rsid w:val="5F3202A9"/>
    <w:rsid w:val="5F5D4BFA"/>
    <w:rsid w:val="5F6917F1"/>
    <w:rsid w:val="5F747B35"/>
    <w:rsid w:val="5F864151"/>
    <w:rsid w:val="5F952235"/>
    <w:rsid w:val="5FA7023D"/>
    <w:rsid w:val="5FAF1A92"/>
    <w:rsid w:val="5FDD794C"/>
    <w:rsid w:val="5FF9489B"/>
    <w:rsid w:val="600A3F4F"/>
    <w:rsid w:val="600E39A8"/>
    <w:rsid w:val="601479AF"/>
    <w:rsid w:val="60363DC9"/>
    <w:rsid w:val="60457B68"/>
    <w:rsid w:val="604E1113"/>
    <w:rsid w:val="60583D40"/>
    <w:rsid w:val="60911000"/>
    <w:rsid w:val="60966616"/>
    <w:rsid w:val="609F7BE7"/>
    <w:rsid w:val="60E57176"/>
    <w:rsid w:val="60EB178E"/>
    <w:rsid w:val="60EE1FAE"/>
    <w:rsid w:val="60F17CF0"/>
    <w:rsid w:val="612B6C21"/>
    <w:rsid w:val="612C0D28"/>
    <w:rsid w:val="613D2AF5"/>
    <w:rsid w:val="615247AB"/>
    <w:rsid w:val="615679AB"/>
    <w:rsid w:val="61596B36"/>
    <w:rsid w:val="616218C1"/>
    <w:rsid w:val="619012B7"/>
    <w:rsid w:val="62141EE8"/>
    <w:rsid w:val="621F43E9"/>
    <w:rsid w:val="622163B3"/>
    <w:rsid w:val="622A66CA"/>
    <w:rsid w:val="622F6D22"/>
    <w:rsid w:val="623F08B6"/>
    <w:rsid w:val="62481B92"/>
    <w:rsid w:val="62593D9F"/>
    <w:rsid w:val="625B4D27"/>
    <w:rsid w:val="62883D54"/>
    <w:rsid w:val="62A34689"/>
    <w:rsid w:val="62AA45FB"/>
    <w:rsid w:val="62C531E2"/>
    <w:rsid w:val="62DE42A4"/>
    <w:rsid w:val="62F133AA"/>
    <w:rsid w:val="62F92E8C"/>
    <w:rsid w:val="631F6D97"/>
    <w:rsid w:val="633914DA"/>
    <w:rsid w:val="635051A2"/>
    <w:rsid w:val="63531638"/>
    <w:rsid w:val="6360709F"/>
    <w:rsid w:val="636F7DBB"/>
    <w:rsid w:val="63B13148"/>
    <w:rsid w:val="63BB0188"/>
    <w:rsid w:val="63C416EC"/>
    <w:rsid w:val="63D0686F"/>
    <w:rsid w:val="64191A38"/>
    <w:rsid w:val="641D655D"/>
    <w:rsid w:val="641E704E"/>
    <w:rsid w:val="642971F1"/>
    <w:rsid w:val="64346872"/>
    <w:rsid w:val="64414AEB"/>
    <w:rsid w:val="64432611"/>
    <w:rsid w:val="6444367D"/>
    <w:rsid w:val="64460353"/>
    <w:rsid w:val="64572A3A"/>
    <w:rsid w:val="645C1924"/>
    <w:rsid w:val="645F01E2"/>
    <w:rsid w:val="646D2593"/>
    <w:rsid w:val="646F1242"/>
    <w:rsid w:val="646F1658"/>
    <w:rsid w:val="64836F9B"/>
    <w:rsid w:val="64850E7B"/>
    <w:rsid w:val="64864E63"/>
    <w:rsid w:val="64A63F25"/>
    <w:rsid w:val="64AF5EF8"/>
    <w:rsid w:val="64B27796"/>
    <w:rsid w:val="64C42F83"/>
    <w:rsid w:val="64C57E1B"/>
    <w:rsid w:val="64D55A50"/>
    <w:rsid w:val="64D63485"/>
    <w:rsid w:val="64EC2CA8"/>
    <w:rsid w:val="64FB6AD3"/>
    <w:rsid w:val="65167D25"/>
    <w:rsid w:val="651D2E62"/>
    <w:rsid w:val="652D59E4"/>
    <w:rsid w:val="652D60B5"/>
    <w:rsid w:val="65302769"/>
    <w:rsid w:val="654C3747"/>
    <w:rsid w:val="65561E5B"/>
    <w:rsid w:val="6582360D"/>
    <w:rsid w:val="65B35574"/>
    <w:rsid w:val="65B72C1F"/>
    <w:rsid w:val="65B83ADD"/>
    <w:rsid w:val="65CC6636"/>
    <w:rsid w:val="65DE6309"/>
    <w:rsid w:val="65EC0A86"/>
    <w:rsid w:val="65F242EE"/>
    <w:rsid w:val="65F53318"/>
    <w:rsid w:val="664D3C1B"/>
    <w:rsid w:val="664D7474"/>
    <w:rsid w:val="66524D8D"/>
    <w:rsid w:val="666845B1"/>
    <w:rsid w:val="66805D9E"/>
    <w:rsid w:val="66887A48"/>
    <w:rsid w:val="669B6734"/>
    <w:rsid w:val="66AA4A4F"/>
    <w:rsid w:val="66D460EA"/>
    <w:rsid w:val="66E3632D"/>
    <w:rsid w:val="66FE6113"/>
    <w:rsid w:val="67303132"/>
    <w:rsid w:val="67310E46"/>
    <w:rsid w:val="673821D5"/>
    <w:rsid w:val="6739419F"/>
    <w:rsid w:val="67430B7A"/>
    <w:rsid w:val="674B075F"/>
    <w:rsid w:val="674C0C8F"/>
    <w:rsid w:val="675F481A"/>
    <w:rsid w:val="676C1E7F"/>
    <w:rsid w:val="678673E4"/>
    <w:rsid w:val="679118E5"/>
    <w:rsid w:val="67A91325"/>
    <w:rsid w:val="67C130F4"/>
    <w:rsid w:val="67CC6DC1"/>
    <w:rsid w:val="67D55C76"/>
    <w:rsid w:val="67D62605"/>
    <w:rsid w:val="67EC2FBF"/>
    <w:rsid w:val="67EE0AE5"/>
    <w:rsid w:val="67F408C3"/>
    <w:rsid w:val="67F500C6"/>
    <w:rsid w:val="67F81964"/>
    <w:rsid w:val="682164D1"/>
    <w:rsid w:val="683C3F47"/>
    <w:rsid w:val="684B396E"/>
    <w:rsid w:val="685E5C6B"/>
    <w:rsid w:val="68637725"/>
    <w:rsid w:val="686F7E78"/>
    <w:rsid w:val="687053BE"/>
    <w:rsid w:val="687D1CB4"/>
    <w:rsid w:val="68955405"/>
    <w:rsid w:val="689B57EB"/>
    <w:rsid w:val="68B477F1"/>
    <w:rsid w:val="68B91322"/>
    <w:rsid w:val="68B91BAE"/>
    <w:rsid w:val="68BA19E3"/>
    <w:rsid w:val="68DC56D3"/>
    <w:rsid w:val="68E1689C"/>
    <w:rsid w:val="69296276"/>
    <w:rsid w:val="692D42A9"/>
    <w:rsid w:val="69320EA6"/>
    <w:rsid w:val="6945507D"/>
    <w:rsid w:val="694729C8"/>
    <w:rsid w:val="694F1A58"/>
    <w:rsid w:val="694F3806"/>
    <w:rsid w:val="69740266"/>
    <w:rsid w:val="697F233D"/>
    <w:rsid w:val="699B2EEF"/>
    <w:rsid w:val="69B1341E"/>
    <w:rsid w:val="69BC41B9"/>
    <w:rsid w:val="69BE4592"/>
    <w:rsid w:val="69D65AA7"/>
    <w:rsid w:val="69E06B54"/>
    <w:rsid w:val="69F223CE"/>
    <w:rsid w:val="6A002D52"/>
    <w:rsid w:val="6A072332"/>
    <w:rsid w:val="6A2353BE"/>
    <w:rsid w:val="6A2C2E2F"/>
    <w:rsid w:val="6A4B221F"/>
    <w:rsid w:val="6A5F5118"/>
    <w:rsid w:val="6A660130"/>
    <w:rsid w:val="6A6E5F0E"/>
    <w:rsid w:val="6A7E0847"/>
    <w:rsid w:val="6A813E93"/>
    <w:rsid w:val="6A86594D"/>
    <w:rsid w:val="6A8B6AC0"/>
    <w:rsid w:val="6A9040D6"/>
    <w:rsid w:val="6AB2229E"/>
    <w:rsid w:val="6AB73D58"/>
    <w:rsid w:val="6AD278A5"/>
    <w:rsid w:val="6ADE12E5"/>
    <w:rsid w:val="6AE06571"/>
    <w:rsid w:val="6AEC1C54"/>
    <w:rsid w:val="6B052831"/>
    <w:rsid w:val="6B0B4096"/>
    <w:rsid w:val="6B2E09FC"/>
    <w:rsid w:val="6B3E1D84"/>
    <w:rsid w:val="6B405AFC"/>
    <w:rsid w:val="6B451364"/>
    <w:rsid w:val="6B4A0729"/>
    <w:rsid w:val="6B4F5D3F"/>
    <w:rsid w:val="6B590C8D"/>
    <w:rsid w:val="6B5C045C"/>
    <w:rsid w:val="6B623CC4"/>
    <w:rsid w:val="6B6F304C"/>
    <w:rsid w:val="6B8F7699"/>
    <w:rsid w:val="6B9E2823"/>
    <w:rsid w:val="6BA50055"/>
    <w:rsid w:val="6BAA7E5B"/>
    <w:rsid w:val="6BAF67DE"/>
    <w:rsid w:val="6BC51FA8"/>
    <w:rsid w:val="6BD91AAD"/>
    <w:rsid w:val="6BE272A9"/>
    <w:rsid w:val="6BFB7C75"/>
    <w:rsid w:val="6C046B2A"/>
    <w:rsid w:val="6C111246"/>
    <w:rsid w:val="6C272818"/>
    <w:rsid w:val="6C274A13"/>
    <w:rsid w:val="6C5555D7"/>
    <w:rsid w:val="6C5C0714"/>
    <w:rsid w:val="6C691F43"/>
    <w:rsid w:val="6C904861"/>
    <w:rsid w:val="6CB542C8"/>
    <w:rsid w:val="6CBD2CAF"/>
    <w:rsid w:val="6CBE12B4"/>
    <w:rsid w:val="6CC85EAF"/>
    <w:rsid w:val="6CD01102"/>
    <w:rsid w:val="6CD02EB0"/>
    <w:rsid w:val="6CD24E7A"/>
    <w:rsid w:val="6CD7423E"/>
    <w:rsid w:val="6CDA21F4"/>
    <w:rsid w:val="6CE4695B"/>
    <w:rsid w:val="6CEF77DA"/>
    <w:rsid w:val="6CF22D7E"/>
    <w:rsid w:val="6CF9346B"/>
    <w:rsid w:val="6D0843F7"/>
    <w:rsid w:val="6D16193B"/>
    <w:rsid w:val="6D1A3941"/>
    <w:rsid w:val="6D25144D"/>
    <w:rsid w:val="6D401F4A"/>
    <w:rsid w:val="6D407C37"/>
    <w:rsid w:val="6D604233"/>
    <w:rsid w:val="6D8D1E2E"/>
    <w:rsid w:val="6DA81247"/>
    <w:rsid w:val="6DB70DD5"/>
    <w:rsid w:val="6DD94AFC"/>
    <w:rsid w:val="6DDA58E0"/>
    <w:rsid w:val="6DDB2EA4"/>
    <w:rsid w:val="6DE210EC"/>
    <w:rsid w:val="6DEE183F"/>
    <w:rsid w:val="6E184B0E"/>
    <w:rsid w:val="6E192634"/>
    <w:rsid w:val="6E241705"/>
    <w:rsid w:val="6E3336F6"/>
    <w:rsid w:val="6E337B9A"/>
    <w:rsid w:val="6E35746E"/>
    <w:rsid w:val="6E361438"/>
    <w:rsid w:val="6E3A456E"/>
    <w:rsid w:val="6E4C47B8"/>
    <w:rsid w:val="6E586939"/>
    <w:rsid w:val="6E641B01"/>
    <w:rsid w:val="6E7640FD"/>
    <w:rsid w:val="6E7938BD"/>
    <w:rsid w:val="6E810905"/>
    <w:rsid w:val="6E8827BD"/>
    <w:rsid w:val="6E8C2E06"/>
    <w:rsid w:val="6EA3661F"/>
    <w:rsid w:val="6EB05D06"/>
    <w:rsid w:val="6EB4111D"/>
    <w:rsid w:val="6EB8009F"/>
    <w:rsid w:val="6EBD0F52"/>
    <w:rsid w:val="6EC5140B"/>
    <w:rsid w:val="6EE449F0"/>
    <w:rsid w:val="6F094457"/>
    <w:rsid w:val="6F103A37"/>
    <w:rsid w:val="6F286FD3"/>
    <w:rsid w:val="6F3232B4"/>
    <w:rsid w:val="6F35716C"/>
    <w:rsid w:val="6F3E05A4"/>
    <w:rsid w:val="6F437969"/>
    <w:rsid w:val="6F506FA1"/>
    <w:rsid w:val="6F6A3147"/>
    <w:rsid w:val="6F7D6439"/>
    <w:rsid w:val="6F9E7295"/>
    <w:rsid w:val="6FA04DBB"/>
    <w:rsid w:val="6FC16D7D"/>
    <w:rsid w:val="6FCD1928"/>
    <w:rsid w:val="6FCE295C"/>
    <w:rsid w:val="6FDB4045"/>
    <w:rsid w:val="6FE367CE"/>
    <w:rsid w:val="6FEA30B8"/>
    <w:rsid w:val="6FEB7D36"/>
    <w:rsid w:val="6FEF2100"/>
    <w:rsid w:val="6FF35087"/>
    <w:rsid w:val="70001FD7"/>
    <w:rsid w:val="7005270A"/>
    <w:rsid w:val="70156BD3"/>
    <w:rsid w:val="70253512"/>
    <w:rsid w:val="70385063"/>
    <w:rsid w:val="703D6AAE"/>
    <w:rsid w:val="705067E1"/>
    <w:rsid w:val="7073427E"/>
    <w:rsid w:val="707A560C"/>
    <w:rsid w:val="70A72179"/>
    <w:rsid w:val="70B86DF1"/>
    <w:rsid w:val="70C573B0"/>
    <w:rsid w:val="70C57A65"/>
    <w:rsid w:val="70D84614"/>
    <w:rsid w:val="70F76C5D"/>
    <w:rsid w:val="70F829D5"/>
    <w:rsid w:val="70F93F8B"/>
    <w:rsid w:val="71031AA6"/>
    <w:rsid w:val="71080E6A"/>
    <w:rsid w:val="71142FD9"/>
    <w:rsid w:val="7128150C"/>
    <w:rsid w:val="713752AB"/>
    <w:rsid w:val="71B10595"/>
    <w:rsid w:val="71C05268"/>
    <w:rsid w:val="71D76A8E"/>
    <w:rsid w:val="71E50EA6"/>
    <w:rsid w:val="71F4319C"/>
    <w:rsid w:val="71F92EA9"/>
    <w:rsid w:val="7202467C"/>
    <w:rsid w:val="72077373"/>
    <w:rsid w:val="7231619E"/>
    <w:rsid w:val="7233236D"/>
    <w:rsid w:val="7238577F"/>
    <w:rsid w:val="72444124"/>
    <w:rsid w:val="724759C2"/>
    <w:rsid w:val="724908EF"/>
    <w:rsid w:val="72551065"/>
    <w:rsid w:val="725956F5"/>
    <w:rsid w:val="72874E4D"/>
    <w:rsid w:val="72B604A9"/>
    <w:rsid w:val="72BD5C84"/>
    <w:rsid w:val="72C07522"/>
    <w:rsid w:val="72C94629"/>
    <w:rsid w:val="72D81BBC"/>
    <w:rsid w:val="72D93D15"/>
    <w:rsid w:val="72DA752E"/>
    <w:rsid w:val="72E43444"/>
    <w:rsid w:val="72EB459F"/>
    <w:rsid w:val="730422FC"/>
    <w:rsid w:val="73133AF6"/>
    <w:rsid w:val="731C0BFD"/>
    <w:rsid w:val="733135C3"/>
    <w:rsid w:val="73353C08"/>
    <w:rsid w:val="733C707A"/>
    <w:rsid w:val="733F6699"/>
    <w:rsid w:val="734463A5"/>
    <w:rsid w:val="73497518"/>
    <w:rsid w:val="735C724B"/>
    <w:rsid w:val="73610D05"/>
    <w:rsid w:val="738F6E40"/>
    <w:rsid w:val="73A02439"/>
    <w:rsid w:val="73BD5AAB"/>
    <w:rsid w:val="73D019E7"/>
    <w:rsid w:val="73D268B9"/>
    <w:rsid w:val="73DB2866"/>
    <w:rsid w:val="73E13BF4"/>
    <w:rsid w:val="73E54E99"/>
    <w:rsid w:val="73FC265C"/>
    <w:rsid w:val="743957DE"/>
    <w:rsid w:val="743C413F"/>
    <w:rsid w:val="74402CEE"/>
    <w:rsid w:val="748A603A"/>
    <w:rsid w:val="748C0004"/>
    <w:rsid w:val="7499671F"/>
    <w:rsid w:val="74A569D0"/>
    <w:rsid w:val="74A92964"/>
    <w:rsid w:val="74B15375"/>
    <w:rsid w:val="74B82BA7"/>
    <w:rsid w:val="74D7388C"/>
    <w:rsid w:val="74FB2A94"/>
    <w:rsid w:val="74FE0C26"/>
    <w:rsid w:val="750E27C7"/>
    <w:rsid w:val="752A283E"/>
    <w:rsid w:val="75306BE1"/>
    <w:rsid w:val="754601B3"/>
    <w:rsid w:val="75475CD9"/>
    <w:rsid w:val="754B1A72"/>
    <w:rsid w:val="756B19C7"/>
    <w:rsid w:val="756D3991"/>
    <w:rsid w:val="75703482"/>
    <w:rsid w:val="75774810"/>
    <w:rsid w:val="758A6E3D"/>
    <w:rsid w:val="758D193E"/>
    <w:rsid w:val="75A1363B"/>
    <w:rsid w:val="75B07D22"/>
    <w:rsid w:val="75B82733"/>
    <w:rsid w:val="75BE49D0"/>
    <w:rsid w:val="75C31803"/>
    <w:rsid w:val="75CD2682"/>
    <w:rsid w:val="75EA61EC"/>
    <w:rsid w:val="75F419BD"/>
    <w:rsid w:val="75FF0362"/>
    <w:rsid w:val="760F67F7"/>
    <w:rsid w:val="76116A13"/>
    <w:rsid w:val="761B163F"/>
    <w:rsid w:val="7621652A"/>
    <w:rsid w:val="76315255"/>
    <w:rsid w:val="76320737"/>
    <w:rsid w:val="76393874"/>
    <w:rsid w:val="76766EC8"/>
    <w:rsid w:val="768144ED"/>
    <w:rsid w:val="768371E5"/>
    <w:rsid w:val="76D6393C"/>
    <w:rsid w:val="76D65566"/>
    <w:rsid w:val="770F1301"/>
    <w:rsid w:val="77163BB5"/>
    <w:rsid w:val="77291B3A"/>
    <w:rsid w:val="774C5829"/>
    <w:rsid w:val="775E5C88"/>
    <w:rsid w:val="77621259"/>
    <w:rsid w:val="7791148D"/>
    <w:rsid w:val="77A60210"/>
    <w:rsid w:val="77AD276B"/>
    <w:rsid w:val="77B75398"/>
    <w:rsid w:val="77BA0F87"/>
    <w:rsid w:val="77BA4E88"/>
    <w:rsid w:val="77CB499F"/>
    <w:rsid w:val="77D0645A"/>
    <w:rsid w:val="77D21087"/>
    <w:rsid w:val="77D31AA6"/>
    <w:rsid w:val="77DE57B1"/>
    <w:rsid w:val="77FA7033"/>
    <w:rsid w:val="78006D3F"/>
    <w:rsid w:val="780126CE"/>
    <w:rsid w:val="781C69F0"/>
    <w:rsid w:val="7820118F"/>
    <w:rsid w:val="78235781"/>
    <w:rsid w:val="782555FC"/>
    <w:rsid w:val="78281DF2"/>
    <w:rsid w:val="78283BA0"/>
    <w:rsid w:val="783A5084"/>
    <w:rsid w:val="786372CE"/>
    <w:rsid w:val="78753951"/>
    <w:rsid w:val="787741D1"/>
    <w:rsid w:val="78797D0E"/>
    <w:rsid w:val="78EA6370"/>
    <w:rsid w:val="79022643"/>
    <w:rsid w:val="790F4D60"/>
    <w:rsid w:val="79124D9C"/>
    <w:rsid w:val="791D122B"/>
    <w:rsid w:val="792F0F87"/>
    <w:rsid w:val="7961380D"/>
    <w:rsid w:val="79701CA2"/>
    <w:rsid w:val="798F1B41"/>
    <w:rsid w:val="79BF22E2"/>
    <w:rsid w:val="79F06E7C"/>
    <w:rsid w:val="79FF300D"/>
    <w:rsid w:val="7A177DD8"/>
    <w:rsid w:val="7A195E96"/>
    <w:rsid w:val="7A24483B"/>
    <w:rsid w:val="7A282DD4"/>
    <w:rsid w:val="7A300AA1"/>
    <w:rsid w:val="7A5015BA"/>
    <w:rsid w:val="7A5275FA"/>
    <w:rsid w:val="7A6228A3"/>
    <w:rsid w:val="7A6B246A"/>
    <w:rsid w:val="7A9068DB"/>
    <w:rsid w:val="7A924ABE"/>
    <w:rsid w:val="7A936F9E"/>
    <w:rsid w:val="7AC758F2"/>
    <w:rsid w:val="7AD924B1"/>
    <w:rsid w:val="7AE3596B"/>
    <w:rsid w:val="7AF20495"/>
    <w:rsid w:val="7B051D9D"/>
    <w:rsid w:val="7B127FDA"/>
    <w:rsid w:val="7B205002"/>
    <w:rsid w:val="7B2C7E4B"/>
    <w:rsid w:val="7B31453E"/>
    <w:rsid w:val="7B4056A4"/>
    <w:rsid w:val="7B51165F"/>
    <w:rsid w:val="7B5D6256"/>
    <w:rsid w:val="7B5F5B2A"/>
    <w:rsid w:val="7B6D3AF2"/>
    <w:rsid w:val="7B98728E"/>
    <w:rsid w:val="7BBD2838"/>
    <w:rsid w:val="7BC167E5"/>
    <w:rsid w:val="7BE25BDD"/>
    <w:rsid w:val="7BE75B20"/>
    <w:rsid w:val="7C042B76"/>
    <w:rsid w:val="7C091F3A"/>
    <w:rsid w:val="7C206E0F"/>
    <w:rsid w:val="7C227142"/>
    <w:rsid w:val="7C235C41"/>
    <w:rsid w:val="7C58454B"/>
    <w:rsid w:val="7C6D5616"/>
    <w:rsid w:val="7C727BD2"/>
    <w:rsid w:val="7C7C095E"/>
    <w:rsid w:val="7C8E41ED"/>
    <w:rsid w:val="7C9932BE"/>
    <w:rsid w:val="7CA26A10"/>
    <w:rsid w:val="7CB2346E"/>
    <w:rsid w:val="7CD67907"/>
    <w:rsid w:val="7CDE5175"/>
    <w:rsid w:val="7CE04A49"/>
    <w:rsid w:val="7CE64029"/>
    <w:rsid w:val="7CF348C1"/>
    <w:rsid w:val="7D0107D4"/>
    <w:rsid w:val="7D342FE7"/>
    <w:rsid w:val="7D4C7472"/>
    <w:rsid w:val="7D5A68B5"/>
    <w:rsid w:val="7D782ED3"/>
    <w:rsid w:val="7D7C30CE"/>
    <w:rsid w:val="7D8775AD"/>
    <w:rsid w:val="7D8E26F7"/>
    <w:rsid w:val="7D943A85"/>
    <w:rsid w:val="7D9D5F5B"/>
    <w:rsid w:val="7DB50159"/>
    <w:rsid w:val="7DC974BE"/>
    <w:rsid w:val="7DD85BFF"/>
    <w:rsid w:val="7DE22A43"/>
    <w:rsid w:val="7DF64E2A"/>
    <w:rsid w:val="7E2E67E5"/>
    <w:rsid w:val="7E3239CA"/>
    <w:rsid w:val="7E7044F2"/>
    <w:rsid w:val="7E926217"/>
    <w:rsid w:val="7E9755DB"/>
    <w:rsid w:val="7E9C5189"/>
    <w:rsid w:val="7EAF5740"/>
    <w:rsid w:val="7EC84324"/>
    <w:rsid w:val="7EE53C64"/>
    <w:rsid w:val="7EE747B5"/>
    <w:rsid w:val="7EFC5D86"/>
    <w:rsid w:val="7EFE565A"/>
    <w:rsid w:val="7F054D4A"/>
    <w:rsid w:val="7F290442"/>
    <w:rsid w:val="7F49284B"/>
    <w:rsid w:val="7F54171E"/>
    <w:rsid w:val="7F547970"/>
    <w:rsid w:val="7F5A0CAF"/>
    <w:rsid w:val="7F62208D"/>
    <w:rsid w:val="7F6C4CBA"/>
    <w:rsid w:val="7F6C6A68"/>
    <w:rsid w:val="7F6F0306"/>
    <w:rsid w:val="7F8F4DE4"/>
    <w:rsid w:val="7F9E20FB"/>
    <w:rsid w:val="7FAA7590"/>
    <w:rsid w:val="7FAC4722"/>
    <w:rsid w:val="7FAE0E2E"/>
    <w:rsid w:val="7FB93F9A"/>
    <w:rsid w:val="7FCC5758"/>
    <w:rsid w:val="7FEC1957"/>
    <w:rsid w:val="7FFD591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 w:semiHidden="0" w:name="heading 2" w:locked="1"/>
    <w:lsdException w:qFormat="1" w:uiPriority="9" w:semiHidden="0" w:name="heading 3" w:locked="1"/>
    <w:lsdException w:qFormat="1" w:uiPriority="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qFormat="1"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qFormat="1" w:unhideWhenUsed="0" w:uiPriority="39"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unhideWhenUsed="0" w:uiPriority="0" w:semiHidden="0" w:name="Subtitle" w:locked="1"/>
    <w:lsdException w:qFormat="1" w:uiPriority="99" w:semiHidden="0" w:name="Salutation" w:locked="1"/>
    <w:lsdException w:qFormat="1" w:unhideWhenUsed="0" w:uiPriority="0" w:semiHidden="0" w:name="Date"/>
    <w:lsdException w:qFormat="1" w:unhideWhenUsed="0" w:uiPriority="0" w:semiHidden="0" w:name="Body Text First Indent" w:locked="1"/>
    <w:lsdException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unhideWhenUsed="0" w:uiPriority="0" w:semiHidden="0" w:name="Strong" w:locked="1"/>
    <w:lsdException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32"/>
    <w:qFormat/>
    <w:locked/>
    <w:uiPriority w:val="9"/>
    <w:pPr>
      <w:keepNext/>
      <w:keepLines/>
      <w:spacing w:before="260" w:after="260" w:line="416" w:lineRule="auto"/>
      <w:outlineLvl w:val="1"/>
    </w:pPr>
    <w:rPr>
      <w:rFonts w:ascii="等线 Light" w:hAnsi="等线 Light" w:eastAsia="等线 Light" w:cs="Times New Roman"/>
      <w:b/>
      <w:bCs/>
      <w:sz w:val="32"/>
      <w:szCs w:val="32"/>
    </w:rPr>
  </w:style>
  <w:style w:type="paragraph" w:styleId="4">
    <w:name w:val="heading 3"/>
    <w:basedOn w:val="1"/>
    <w:next w:val="1"/>
    <w:link w:val="33"/>
    <w:unhideWhenUsed/>
    <w:qFormat/>
    <w:locked/>
    <w:uiPriority w:val="9"/>
    <w:pPr>
      <w:keepNext/>
      <w:keepLines/>
      <w:adjustRightInd w:val="0"/>
      <w:spacing w:line="360" w:lineRule="auto"/>
      <w:jc w:val="left"/>
      <w:outlineLvl w:val="2"/>
    </w:pPr>
    <w:rPr>
      <w:rFonts w:cs="Times New Roman"/>
      <w:b/>
      <w:bCs/>
      <w:sz w:val="24"/>
      <w:szCs w:val="32"/>
    </w:rPr>
  </w:style>
  <w:style w:type="paragraph" w:styleId="5">
    <w:name w:val="heading 4"/>
    <w:basedOn w:val="1"/>
    <w:next w:val="1"/>
    <w:link w:val="34"/>
    <w:unhideWhenUsed/>
    <w:qFormat/>
    <w:locked/>
    <w:uiPriority w:val="9"/>
    <w:pPr>
      <w:keepNext/>
      <w:keepLines/>
      <w:adjustRightInd w:val="0"/>
      <w:spacing w:line="360" w:lineRule="auto"/>
      <w:jc w:val="left"/>
      <w:outlineLvl w:val="3"/>
    </w:pPr>
    <w:rPr>
      <w:rFonts w:cs="Times New Roman"/>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toc 7"/>
    <w:basedOn w:val="1"/>
    <w:next w:val="1"/>
    <w:qFormat/>
    <w:locked/>
    <w:uiPriority w:val="39"/>
    <w:pPr>
      <w:ind w:left="1260"/>
      <w:jc w:val="left"/>
    </w:pPr>
    <w:rPr>
      <w:sz w:val="20"/>
      <w:szCs w:val="20"/>
    </w:rPr>
  </w:style>
  <w:style w:type="paragraph" w:styleId="7">
    <w:name w:val="Normal Indent"/>
    <w:basedOn w:val="1"/>
    <w:link w:val="35"/>
    <w:qFormat/>
    <w:locked/>
    <w:uiPriority w:val="0"/>
    <w:pPr>
      <w:adjustRightInd w:val="0"/>
      <w:snapToGrid w:val="0"/>
      <w:spacing w:line="300" w:lineRule="auto"/>
      <w:ind w:firstLine="200" w:firstLineChars="200"/>
    </w:pPr>
    <w:rPr>
      <w:rFonts w:ascii="仿宋_GB2312" w:eastAsia="仿宋_GB2312"/>
      <w:sz w:val="28"/>
      <w:szCs w:val="20"/>
    </w:rPr>
  </w:style>
  <w:style w:type="paragraph" w:styleId="8">
    <w:name w:val="annotation text"/>
    <w:basedOn w:val="1"/>
    <w:link w:val="36"/>
    <w:qFormat/>
    <w:uiPriority w:val="0"/>
    <w:pPr>
      <w:jc w:val="left"/>
    </w:pPr>
    <w:rPr>
      <w:kern w:val="0"/>
      <w:sz w:val="24"/>
      <w:szCs w:val="20"/>
    </w:rPr>
  </w:style>
  <w:style w:type="paragraph" w:styleId="9">
    <w:name w:val="index 6"/>
    <w:basedOn w:val="1"/>
    <w:next w:val="1"/>
    <w:qFormat/>
    <w:locked/>
    <w:uiPriority w:val="0"/>
    <w:pPr>
      <w:ind w:left="1000" w:leftChars="1000"/>
    </w:pPr>
  </w:style>
  <w:style w:type="paragraph" w:styleId="10">
    <w:name w:val="Salutation"/>
    <w:next w:val="1"/>
    <w:unhideWhenUsed/>
    <w:qFormat/>
    <w:locked/>
    <w:uiPriority w:val="99"/>
    <w:pPr>
      <w:widowControl w:val="0"/>
      <w:spacing w:line="307" w:lineRule="auto"/>
      <w:jc w:val="both"/>
    </w:pPr>
    <w:rPr>
      <w:rFonts w:ascii="Calibri" w:hAnsi="Calibri" w:eastAsia="宋体" w:cs="Times New Roman"/>
      <w:kern w:val="2"/>
      <w:sz w:val="21"/>
      <w:szCs w:val="24"/>
      <w:lang w:val="en-US" w:eastAsia="zh-CN" w:bidi="ar-SA"/>
    </w:rPr>
  </w:style>
  <w:style w:type="paragraph" w:styleId="11">
    <w:name w:val="Body Text"/>
    <w:basedOn w:val="1"/>
    <w:next w:val="10"/>
    <w:link w:val="29"/>
    <w:qFormat/>
    <w:uiPriority w:val="0"/>
    <w:pPr>
      <w:widowControl/>
      <w:snapToGrid w:val="0"/>
      <w:spacing w:before="60" w:after="160" w:line="259" w:lineRule="auto"/>
      <w:ind w:right="113"/>
    </w:pPr>
    <w:rPr>
      <w:kern w:val="0"/>
      <w:sz w:val="18"/>
      <w:szCs w:val="20"/>
    </w:rPr>
  </w:style>
  <w:style w:type="paragraph" w:styleId="12">
    <w:name w:val="Body Text Indent"/>
    <w:basedOn w:val="1"/>
    <w:next w:val="13"/>
    <w:link w:val="37"/>
    <w:qFormat/>
    <w:uiPriority w:val="0"/>
    <w:pPr>
      <w:spacing w:after="120"/>
      <w:ind w:left="420" w:leftChars="200"/>
    </w:pPr>
    <w:rPr>
      <w:kern w:val="0"/>
      <w:sz w:val="24"/>
      <w:szCs w:val="20"/>
    </w:rPr>
  </w:style>
  <w:style w:type="paragraph" w:styleId="13">
    <w:name w:val="header"/>
    <w:basedOn w:val="1"/>
    <w:next w:val="14"/>
    <w:link w:val="42"/>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4">
    <w:name w:val="样式5"/>
    <w:qFormat/>
    <w:uiPriority w:val="0"/>
    <w:pPr>
      <w:spacing w:line="360" w:lineRule="auto"/>
    </w:pPr>
    <w:rPr>
      <w:rFonts w:ascii="Times New Roman" w:hAnsi="Times New Roman" w:eastAsia="宋体" w:cs="Times New Roman"/>
      <w:b/>
      <w:bCs/>
      <w:sz w:val="28"/>
      <w:lang w:val="en-US" w:eastAsia="zh-CN" w:bidi="ar-SA"/>
    </w:rPr>
  </w:style>
  <w:style w:type="paragraph" w:styleId="15">
    <w:name w:val="Plain Text"/>
    <w:basedOn w:val="1"/>
    <w:link w:val="38"/>
    <w:qFormat/>
    <w:locked/>
    <w:uiPriority w:val="0"/>
    <w:pPr>
      <w:autoSpaceDE w:val="0"/>
      <w:autoSpaceDN w:val="0"/>
      <w:jc w:val="left"/>
    </w:pPr>
    <w:rPr>
      <w:rFonts w:ascii="宋体" w:hAnsi="Courier New" w:cs="宋体"/>
      <w:kern w:val="0"/>
      <w:sz w:val="24"/>
      <w:szCs w:val="22"/>
      <w:lang w:val="zh-CN" w:bidi="zh-CN"/>
    </w:rPr>
  </w:style>
  <w:style w:type="paragraph" w:styleId="16">
    <w:name w:val="Date"/>
    <w:basedOn w:val="1"/>
    <w:next w:val="1"/>
    <w:link w:val="39"/>
    <w:qFormat/>
    <w:uiPriority w:val="0"/>
    <w:pPr>
      <w:ind w:left="100" w:leftChars="2500"/>
    </w:pPr>
    <w:rPr>
      <w:kern w:val="0"/>
      <w:sz w:val="24"/>
      <w:szCs w:val="20"/>
    </w:rPr>
  </w:style>
  <w:style w:type="paragraph" w:styleId="17">
    <w:name w:val="Balloon Text"/>
    <w:basedOn w:val="1"/>
    <w:link w:val="40"/>
    <w:semiHidden/>
    <w:qFormat/>
    <w:uiPriority w:val="0"/>
    <w:rPr>
      <w:kern w:val="0"/>
      <w:sz w:val="18"/>
      <w:szCs w:val="20"/>
    </w:rPr>
  </w:style>
  <w:style w:type="paragraph" w:styleId="18">
    <w:name w:val="footer"/>
    <w:basedOn w:val="1"/>
    <w:link w:val="41"/>
    <w:qFormat/>
    <w:uiPriority w:val="99"/>
    <w:pPr>
      <w:tabs>
        <w:tab w:val="center" w:pos="4153"/>
        <w:tab w:val="right" w:pos="8306"/>
      </w:tabs>
      <w:snapToGrid w:val="0"/>
      <w:jc w:val="left"/>
    </w:pPr>
    <w:rPr>
      <w:kern w:val="0"/>
      <w:sz w:val="18"/>
      <w:szCs w:val="20"/>
    </w:rPr>
  </w:style>
  <w:style w:type="paragraph" w:styleId="19">
    <w:name w:val="toc 1"/>
    <w:basedOn w:val="1"/>
    <w:next w:val="1"/>
    <w:unhideWhenUsed/>
    <w:qFormat/>
    <w:locked/>
    <w:uiPriority w:val="0"/>
    <w:pPr>
      <w:spacing w:line="240" w:lineRule="auto"/>
    </w:pPr>
    <w:rPr>
      <w:rFonts w:ascii="Calibri" w:hAnsi="Calibri"/>
      <w:sz w:val="21"/>
      <w:szCs w:val="21"/>
    </w:rPr>
  </w:style>
  <w:style w:type="paragraph" w:styleId="20">
    <w:name w:val="Normal (Web)"/>
    <w:basedOn w:val="1"/>
    <w:link w:val="43"/>
    <w:qFormat/>
    <w:uiPriority w:val="0"/>
    <w:pPr>
      <w:widowControl/>
      <w:spacing w:before="100" w:beforeAutospacing="1" w:after="100" w:afterAutospacing="1"/>
      <w:jc w:val="left"/>
    </w:pPr>
    <w:rPr>
      <w:rFonts w:ascii="宋体" w:hAnsi="宋体"/>
      <w:kern w:val="0"/>
      <w:sz w:val="24"/>
      <w:szCs w:val="20"/>
    </w:rPr>
  </w:style>
  <w:style w:type="paragraph" w:styleId="21">
    <w:name w:val="annotation subject"/>
    <w:basedOn w:val="8"/>
    <w:next w:val="8"/>
    <w:link w:val="44"/>
    <w:semiHidden/>
    <w:qFormat/>
    <w:uiPriority w:val="0"/>
    <w:rPr>
      <w:b/>
      <w:sz w:val="24"/>
      <w:szCs w:val="20"/>
    </w:rPr>
  </w:style>
  <w:style w:type="paragraph" w:styleId="22">
    <w:name w:val="Body Text First Indent"/>
    <w:basedOn w:val="11"/>
    <w:next w:val="1"/>
    <w:link w:val="45"/>
    <w:qFormat/>
    <w:locked/>
    <w:uiPriority w:val="0"/>
    <w:pPr>
      <w:snapToGrid/>
      <w:spacing w:before="0" w:after="120" w:line="240" w:lineRule="auto"/>
      <w:ind w:right="0" w:firstLine="420" w:firstLineChars="100"/>
      <w:jc w:val="left"/>
    </w:pPr>
    <w:rPr>
      <w:sz w:val="24"/>
      <w:szCs w:val="24"/>
    </w:rPr>
  </w:style>
  <w:style w:type="table" w:styleId="24">
    <w:name w:val="Table Grid"/>
    <w:basedOn w:val="2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locked/>
    <w:uiPriority w:val="0"/>
  </w:style>
  <w:style w:type="character" w:styleId="27">
    <w:name w:val="annotation reference"/>
    <w:basedOn w:val="25"/>
    <w:semiHidden/>
    <w:qFormat/>
    <w:uiPriority w:val="0"/>
    <w:rPr>
      <w:sz w:val="21"/>
    </w:rPr>
  </w:style>
  <w:style w:type="paragraph" w:customStyle="1" w:styleId="28">
    <w:name w:val="表头"/>
    <w:basedOn w:val="1"/>
    <w:link w:val="63"/>
    <w:qFormat/>
    <w:uiPriority w:val="0"/>
    <w:pPr>
      <w:adjustRightInd w:val="0"/>
      <w:snapToGrid w:val="0"/>
      <w:jc w:val="center"/>
    </w:pPr>
    <w:rPr>
      <w:rFonts w:ascii="宋体" w:hAnsi="宋体"/>
      <w:b/>
      <w:kern w:val="0"/>
      <w:sz w:val="24"/>
    </w:rPr>
  </w:style>
  <w:style w:type="character" w:customStyle="1" w:styleId="29">
    <w:name w:val="正文文本 Char"/>
    <w:link w:val="11"/>
    <w:qFormat/>
    <w:locked/>
    <w:uiPriority w:val="0"/>
    <w:rPr>
      <w:sz w:val="18"/>
    </w:rPr>
  </w:style>
  <w:style w:type="paragraph" w:customStyle="1" w:styleId="30">
    <w:name w:val="表格内容"/>
    <w:link w:val="71"/>
    <w:qFormat/>
    <w:uiPriority w:val="0"/>
    <w:pPr>
      <w:adjustRightInd w:val="0"/>
      <w:snapToGrid w:val="0"/>
      <w:jc w:val="center"/>
    </w:pPr>
    <w:rPr>
      <w:rFonts w:ascii="Times New Roman" w:hAnsi="Times New Roman" w:eastAsia="宋体" w:cs="Times New Roman"/>
      <w:kern w:val="2"/>
      <w:sz w:val="21"/>
      <w:szCs w:val="28"/>
      <w:lang w:val="en-US" w:eastAsia="zh-CN" w:bidi="ar-SA"/>
    </w:rPr>
  </w:style>
  <w:style w:type="paragraph" w:customStyle="1" w:styleId="31">
    <w:name w:val="xl27"/>
    <w:basedOn w:val="1"/>
    <w:next w:val="1"/>
    <w:qFormat/>
    <w:uiPriority w:val="0"/>
    <w:pPr>
      <w:widowControl/>
      <w:spacing w:before="100" w:beforeAutospacing="1" w:after="100" w:afterAutospacing="1"/>
      <w:jc w:val="center"/>
    </w:pPr>
    <w:rPr>
      <w:rFonts w:ascii="新宋体-18030" w:hAnsi="新宋体-18030" w:eastAsia="新宋体-18030" w:cs="新宋体-18030"/>
      <w:kern w:val="0"/>
    </w:rPr>
  </w:style>
  <w:style w:type="character" w:customStyle="1" w:styleId="32">
    <w:name w:val="标题 2 Char"/>
    <w:link w:val="3"/>
    <w:semiHidden/>
    <w:qFormat/>
    <w:uiPriority w:val="0"/>
    <w:rPr>
      <w:rFonts w:ascii="等线 Light" w:hAnsi="等线 Light" w:eastAsia="等线 Light" w:cs="Times New Roman"/>
      <w:b/>
      <w:bCs/>
      <w:kern w:val="2"/>
      <w:sz w:val="32"/>
      <w:szCs w:val="32"/>
    </w:rPr>
  </w:style>
  <w:style w:type="character" w:customStyle="1" w:styleId="33">
    <w:name w:val="标题 3 字符"/>
    <w:link w:val="4"/>
    <w:qFormat/>
    <w:uiPriority w:val="9"/>
    <w:rPr>
      <w:b/>
      <w:bCs/>
      <w:kern w:val="2"/>
      <w:sz w:val="24"/>
      <w:szCs w:val="32"/>
    </w:rPr>
  </w:style>
  <w:style w:type="character" w:customStyle="1" w:styleId="34">
    <w:name w:val="标题 4 字符"/>
    <w:link w:val="5"/>
    <w:qFormat/>
    <w:uiPriority w:val="9"/>
    <w:rPr>
      <w:b/>
      <w:bCs/>
      <w:kern w:val="2"/>
      <w:sz w:val="28"/>
      <w:szCs w:val="28"/>
    </w:rPr>
  </w:style>
  <w:style w:type="character" w:customStyle="1" w:styleId="35">
    <w:name w:val="正文缩进 Char"/>
    <w:link w:val="7"/>
    <w:qFormat/>
    <w:locked/>
    <w:uiPriority w:val="0"/>
    <w:rPr>
      <w:rFonts w:ascii="仿宋_GB2312" w:eastAsia="仿宋_GB2312"/>
      <w:kern w:val="2"/>
      <w:sz w:val="28"/>
    </w:rPr>
  </w:style>
  <w:style w:type="character" w:customStyle="1" w:styleId="36">
    <w:name w:val="批注文字 Char"/>
    <w:link w:val="8"/>
    <w:qFormat/>
    <w:locked/>
    <w:uiPriority w:val="0"/>
    <w:rPr>
      <w:rFonts w:ascii="Times New Roman" w:hAnsi="Times New Roman" w:eastAsia="宋体"/>
      <w:sz w:val="24"/>
    </w:rPr>
  </w:style>
  <w:style w:type="character" w:customStyle="1" w:styleId="37">
    <w:name w:val="正文文本缩进 Char"/>
    <w:link w:val="12"/>
    <w:semiHidden/>
    <w:qFormat/>
    <w:locked/>
    <w:uiPriority w:val="0"/>
    <w:rPr>
      <w:rFonts w:ascii="Times New Roman" w:hAnsi="Times New Roman" w:eastAsia="宋体"/>
      <w:sz w:val="24"/>
    </w:rPr>
  </w:style>
  <w:style w:type="character" w:customStyle="1" w:styleId="38">
    <w:name w:val="纯文本 Char"/>
    <w:link w:val="15"/>
    <w:qFormat/>
    <w:uiPriority w:val="0"/>
    <w:rPr>
      <w:rFonts w:ascii="宋体" w:hAnsi="Courier New" w:cs="宋体"/>
      <w:sz w:val="24"/>
      <w:szCs w:val="22"/>
      <w:lang w:val="zh-CN" w:bidi="zh-CN"/>
    </w:rPr>
  </w:style>
  <w:style w:type="character" w:customStyle="1" w:styleId="39">
    <w:name w:val="日期 Char"/>
    <w:link w:val="16"/>
    <w:qFormat/>
    <w:locked/>
    <w:uiPriority w:val="0"/>
    <w:rPr>
      <w:rFonts w:ascii="Times New Roman" w:hAnsi="Times New Roman" w:eastAsia="宋体"/>
      <w:sz w:val="24"/>
    </w:rPr>
  </w:style>
  <w:style w:type="character" w:customStyle="1" w:styleId="40">
    <w:name w:val="批注框文本 Char"/>
    <w:link w:val="17"/>
    <w:semiHidden/>
    <w:qFormat/>
    <w:locked/>
    <w:uiPriority w:val="0"/>
    <w:rPr>
      <w:rFonts w:ascii="Times New Roman" w:hAnsi="Times New Roman" w:eastAsia="宋体"/>
      <w:sz w:val="18"/>
    </w:rPr>
  </w:style>
  <w:style w:type="character" w:customStyle="1" w:styleId="41">
    <w:name w:val="页脚 Char"/>
    <w:link w:val="18"/>
    <w:qFormat/>
    <w:locked/>
    <w:uiPriority w:val="99"/>
    <w:rPr>
      <w:sz w:val="18"/>
    </w:rPr>
  </w:style>
  <w:style w:type="character" w:customStyle="1" w:styleId="42">
    <w:name w:val="页眉 Char"/>
    <w:link w:val="13"/>
    <w:qFormat/>
    <w:locked/>
    <w:uiPriority w:val="0"/>
    <w:rPr>
      <w:sz w:val="18"/>
    </w:rPr>
  </w:style>
  <w:style w:type="character" w:customStyle="1" w:styleId="43">
    <w:name w:val="普通(网站) Char"/>
    <w:link w:val="20"/>
    <w:qFormat/>
    <w:locked/>
    <w:uiPriority w:val="0"/>
    <w:rPr>
      <w:rFonts w:ascii="宋体" w:hAnsi="宋体" w:eastAsia="宋体"/>
      <w:sz w:val="24"/>
    </w:rPr>
  </w:style>
  <w:style w:type="character" w:customStyle="1" w:styleId="44">
    <w:name w:val="批注主题 Char"/>
    <w:link w:val="21"/>
    <w:semiHidden/>
    <w:qFormat/>
    <w:locked/>
    <w:uiPriority w:val="0"/>
    <w:rPr>
      <w:rFonts w:ascii="Times New Roman" w:hAnsi="Times New Roman" w:eastAsia="宋体"/>
      <w:b/>
      <w:kern w:val="2"/>
      <w:sz w:val="24"/>
    </w:rPr>
  </w:style>
  <w:style w:type="character" w:customStyle="1" w:styleId="45">
    <w:name w:val="正文首行缩进 Char"/>
    <w:link w:val="22"/>
    <w:qFormat/>
    <w:uiPriority w:val="0"/>
    <w:rPr>
      <w:sz w:val="24"/>
      <w:szCs w:val="24"/>
    </w:rPr>
  </w:style>
  <w:style w:type="character" w:customStyle="1" w:styleId="46">
    <w:name w:val="页脚 字符"/>
    <w:qFormat/>
    <w:uiPriority w:val="99"/>
  </w:style>
  <w:style w:type="character" w:customStyle="1" w:styleId="47">
    <w:name w:val="正文文本 字符1"/>
    <w:semiHidden/>
    <w:qFormat/>
    <w:uiPriority w:val="0"/>
    <w:rPr>
      <w:rFonts w:ascii="Times New Roman" w:hAnsi="Times New Roman" w:eastAsia="宋体"/>
      <w:sz w:val="24"/>
    </w:rPr>
  </w:style>
  <w:style w:type="character" w:customStyle="1" w:styleId="48">
    <w:name w:val="表格 Char"/>
    <w:link w:val="49"/>
    <w:qFormat/>
    <w:locked/>
    <w:uiPriority w:val="0"/>
    <w:rPr>
      <w:rFonts w:ascii="宋体"/>
      <w:sz w:val="21"/>
    </w:rPr>
  </w:style>
  <w:style w:type="paragraph" w:customStyle="1" w:styleId="49">
    <w:name w:val="表格"/>
    <w:basedOn w:val="1"/>
    <w:next w:val="1"/>
    <w:link w:val="48"/>
    <w:qFormat/>
    <w:uiPriority w:val="0"/>
    <w:pPr>
      <w:adjustRightInd w:val="0"/>
      <w:snapToGrid w:val="0"/>
      <w:spacing w:beforeLines="10" w:afterLines="10" w:line="259" w:lineRule="auto"/>
      <w:jc w:val="center"/>
    </w:pPr>
    <w:rPr>
      <w:rFonts w:ascii="宋体"/>
      <w:kern w:val="0"/>
      <w:szCs w:val="20"/>
    </w:rPr>
  </w:style>
  <w:style w:type="character" w:customStyle="1" w:styleId="50">
    <w:name w:val="日期 字符"/>
    <w:qFormat/>
    <w:uiPriority w:val="0"/>
    <w:rPr>
      <w:rFonts w:ascii="Times New Roman" w:hAnsi="Times New Roman" w:eastAsia="宋体"/>
      <w:sz w:val="24"/>
    </w:rPr>
  </w:style>
  <w:style w:type="character" w:customStyle="1" w:styleId="51">
    <w:name w:val="批注文字 字符1"/>
    <w:semiHidden/>
    <w:qFormat/>
    <w:uiPriority w:val="0"/>
    <w:rPr>
      <w:rFonts w:ascii="Times New Roman" w:hAnsi="Times New Roman" w:eastAsia="宋体"/>
      <w:sz w:val="24"/>
    </w:rPr>
  </w:style>
  <w:style w:type="paragraph" w:customStyle="1" w:styleId="52">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4">
    <w:name w:val="2级标题"/>
    <w:basedOn w:val="1"/>
    <w:next w:val="55"/>
    <w:qFormat/>
    <w:uiPriority w:val="0"/>
    <w:pPr>
      <w:numPr>
        <w:ilvl w:val="1"/>
        <w:numId w:val="1"/>
      </w:numPr>
      <w:spacing w:line="360" w:lineRule="auto"/>
      <w:contextualSpacing/>
      <w:jc w:val="left"/>
    </w:pPr>
    <w:rPr>
      <w:rFonts w:cs="宋体"/>
      <w:b/>
      <w:bCs/>
      <w:sz w:val="24"/>
    </w:rPr>
  </w:style>
  <w:style w:type="paragraph" w:customStyle="1" w:styleId="55">
    <w:name w:val="5段落"/>
    <w:basedOn w:val="1"/>
    <w:link w:val="56"/>
    <w:qFormat/>
    <w:uiPriority w:val="0"/>
    <w:pPr>
      <w:spacing w:line="360" w:lineRule="auto"/>
      <w:ind w:firstLine="420" w:firstLineChars="200"/>
    </w:pPr>
  </w:style>
  <w:style w:type="character" w:customStyle="1" w:styleId="56">
    <w:name w:val="5段落 字符"/>
    <w:link w:val="55"/>
    <w:qFormat/>
    <w:uiPriority w:val="0"/>
    <w:rPr>
      <w:kern w:val="2"/>
      <w:sz w:val="21"/>
      <w:szCs w:val="24"/>
    </w:rPr>
  </w:style>
  <w:style w:type="paragraph" w:customStyle="1" w:styleId="57">
    <w:name w:val="段落"/>
    <w:basedOn w:val="1"/>
    <w:link w:val="58"/>
    <w:qFormat/>
    <w:uiPriority w:val="0"/>
    <w:pPr>
      <w:adjustRightInd w:val="0"/>
      <w:snapToGrid w:val="0"/>
      <w:spacing w:line="360" w:lineRule="auto"/>
      <w:ind w:firstLine="420" w:firstLineChars="200"/>
      <w:jc w:val="left"/>
    </w:pPr>
    <w:rPr>
      <w:rFonts w:ascii="gbsnu54" w:hAnsi="gbsnu54" w:cs="gbsnu54"/>
      <w:bCs/>
      <w:color w:val="000000"/>
      <w:kern w:val="0"/>
      <w:szCs w:val="16"/>
    </w:rPr>
  </w:style>
  <w:style w:type="character" w:customStyle="1" w:styleId="58">
    <w:name w:val="段落 字符"/>
    <w:link w:val="57"/>
    <w:qFormat/>
    <w:uiPriority w:val="0"/>
    <w:rPr>
      <w:rFonts w:ascii="gbsnu54" w:hAnsi="gbsnu54" w:cs="gbsnu54"/>
      <w:bCs/>
      <w:color w:val="000000"/>
      <w:sz w:val="21"/>
      <w:szCs w:val="16"/>
    </w:rPr>
  </w:style>
  <w:style w:type="paragraph" w:customStyle="1" w:styleId="59">
    <w:name w:val="4表格标题"/>
    <w:basedOn w:val="57"/>
    <w:link w:val="60"/>
    <w:qFormat/>
    <w:uiPriority w:val="0"/>
    <w:pPr>
      <w:numPr>
        <w:ilvl w:val="3"/>
        <w:numId w:val="1"/>
      </w:numPr>
      <w:adjustRightInd/>
      <w:snapToGrid/>
      <w:ind w:firstLine="0" w:firstLineChars="0"/>
      <w:jc w:val="center"/>
    </w:pPr>
    <w:rPr>
      <w:b/>
    </w:rPr>
  </w:style>
  <w:style w:type="character" w:customStyle="1" w:styleId="60">
    <w:name w:val="4表格标题 字符"/>
    <w:link w:val="59"/>
    <w:qFormat/>
    <w:uiPriority w:val="0"/>
    <w:rPr>
      <w:rFonts w:ascii="gbsnu54" w:hAnsi="gbsnu54" w:cs="gbsnu54"/>
      <w:b/>
      <w:bCs/>
      <w:color w:val="000000"/>
      <w:sz w:val="21"/>
      <w:szCs w:val="16"/>
    </w:rPr>
  </w:style>
  <w:style w:type="paragraph" w:customStyle="1" w:styleId="61">
    <w:name w:val="1级标题"/>
    <w:basedOn w:val="20"/>
    <w:qFormat/>
    <w:uiPriority w:val="0"/>
    <w:pPr>
      <w:numPr>
        <w:ilvl w:val="0"/>
        <w:numId w:val="1"/>
      </w:numPr>
      <w:ind w:left="0"/>
      <w:jc w:val="center"/>
      <w:outlineLvl w:val="0"/>
    </w:pPr>
    <w:rPr>
      <w:rFonts w:ascii="黑体" w:hAnsi="黑体" w:eastAsia="黑体"/>
      <w:snapToGrid w:val="0"/>
      <w:sz w:val="30"/>
      <w:szCs w:val="30"/>
    </w:rPr>
  </w:style>
  <w:style w:type="paragraph" w:customStyle="1" w:styleId="62">
    <w:name w:val="3级标题"/>
    <w:basedOn w:val="57"/>
    <w:qFormat/>
    <w:uiPriority w:val="0"/>
    <w:pPr>
      <w:numPr>
        <w:ilvl w:val="2"/>
        <w:numId w:val="1"/>
      </w:numPr>
      <w:adjustRightInd/>
      <w:snapToGrid/>
      <w:ind w:firstLineChars="0"/>
    </w:pPr>
    <w:rPr>
      <w:b/>
    </w:rPr>
  </w:style>
  <w:style w:type="character" w:customStyle="1" w:styleId="63">
    <w:name w:val="表头 Char Char"/>
    <w:link w:val="28"/>
    <w:qFormat/>
    <w:locked/>
    <w:uiPriority w:val="0"/>
    <w:rPr>
      <w:rFonts w:ascii="宋体" w:hAnsi="宋体"/>
      <w:b/>
      <w:sz w:val="24"/>
      <w:szCs w:val="24"/>
    </w:rPr>
  </w:style>
  <w:style w:type="paragraph" w:customStyle="1" w:styleId="64">
    <w:name w:val="_Style 33"/>
    <w:basedOn w:val="1"/>
    <w:qFormat/>
    <w:uiPriority w:val="0"/>
    <w:pPr>
      <w:adjustRightInd w:val="0"/>
      <w:snapToGrid w:val="0"/>
      <w:spacing w:line="360" w:lineRule="auto"/>
      <w:ind w:firstLine="200" w:firstLineChars="200"/>
    </w:pPr>
    <w:rPr>
      <w:sz w:val="24"/>
      <w:szCs w:val="21"/>
    </w:rPr>
  </w:style>
  <w:style w:type="paragraph" w:customStyle="1" w:styleId="65">
    <w:name w:val="表格标题"/>
    <w:basedOn w:val="1"/>
    <w:link w:val="66"/>
    <w:qFormat/>
    <w:uiPriority w:val="0"/>
    <w:pPr>
      <w:adjustRightInd w:val="0"/>
      <w:snapToGrid w:val="0"/>
      <w:spacing w:before="120" w:line="360" w:lineRule="auto"/>
      <w:ind w:firstLineChars="200"/>
      <w:jc w:val="center"/>
    </w:pPr>
    <w:rPr>
      <w:rFonts w:eastAsia="文鼎CS中宋"/>
      <w:spacing w:val="8"/>
      <w:sz w:val="24"/>
      <w:szCs w:val="21"/>
    </w:rPr>
  </w:style>
  <w:style w:type="character" w:customStyle="1" w:styleId="66">
    <w:name w:val="表格标题 Char"/>
    <w:link w:val="65"/>
    <w:qFormat/>
    <w:uiPriority w:val="0"/>
    <w:rPr>
      <w:rFonts w:eastAsia="文鼎CS中宋"/>
      <w:spacing w:val="8"/>
      <w:kern w:val="2"/>
      <w:sz w:val="24"/>
      <w:szCs w:val="21"/>
    </w:rPr>
  </w:style>
  <w:style w:type="paragraph" w:customStyle="1" w:styleId="67">
    <w:name w:val="6表格后段落"/>
    <w:basedOn w:val="55"/>
    <w:link w:val="68"/>
    <w:qFormat/>
    <w:uiPriority w:val="0"/>
    <w:pPr>
      <w:spacing w:before="156" w:beforeLines="50"/>
    </w:pPr>
    <w:rPr>
      <w:rFonts w:cs="宋体"/>
      <w:szCs w:val="21"/>
    </w:rPr>
  </w:style>
  <w:style w:type="character" w:customStyle="1" w:styleId="68">
    <w:name w:val="6表格后段落 字符"/>
    <w:link w:val="67"/>
    <w:qFormat/>
    <w:uiPriority w:val="0"/>
    <w:rPr>
      <w:rFonts w:cs="宋体"/>
      <w:kern w:val="2"/>
      <w:sz w:val="21"/>
      <w:szCs w:val="21"/>
    </w:rPr>
  </w:style>
  <w:style w:type="paragraph" w:customStyle="1" w:styleId="69">
    <w:name w:val="7表格内容"/>
    <w:basedOn w:val="55"/>
    <w:link w:val="70"/>
    <w:qFormat/>
    <w:uiPriority w:val="0"/>
    <w:pPr>
      <w:spacing w:line="240" w:lineRule="auto"/>
      <w:ind w:firstLine="0" w:firstLineChars="0"/>
      <w:jc w:val="center"/>
    </w:pPr>
    <w:rPr>
      <w:szCs w:val="21"/>
    </w:rPr>
  </w:style>
  <w:style w:type="character" w:customStyle="1" w:styleId="70">
    <w:name w:val="7表格内容 字符"/>
    <w:link w:val="69"/>
    <w:qFormat/>
    <w:uiPriority w:val="0"/>
    <w:rPr>
      <w:kern w:val="2"/>
      <w:sz w:val="21"/>
      <w:szCs w:val="21"/>
    </w:rPr>
  </w:style>
  <w:style w:type="character" w:customStyle="1" w:styleId="71">
    <w:name w:val="表格内容 Char Char"/>
    <w:link w:val="30"/>
    <w:qFormat/>
    <w:uiPriority w:val="0"/>
    <w:rPr>
      <w:kern w:val="2"/>
      <w:sz w:val="21"/>
      <w:szCs w:val="28"/>
    </w:rPr>
  </w:style>
  <w:style w:type="character" w:customStyle="1" w:styleId="72">
    <w:name w:val="_Style 65"/>
    <w:qFormat/>
    <w:uiPriority w:val="32"/>
    <w:rPr>
      <w:b/>
      <w:bCs/>
      <w:smallCaps/>
      <w:color w:val="5B9BD5"/>
      <w:spacing w:val="5"/>
    </w:rPr>
  </w:style>
  <w:style w:type="paragraph" w:customStyle="1" w:styleId="73">
    <w:name w:val="6表格"/>
    <w:basedOn w:val="1"/>
    <w:qFormat/>
    <w:uiPriority w:val="0"/>
    <w:pPr>
      <w:jc w:val="center"/>
    </w:pPr>
  </w:style>
  <w:style w:type="paragraph" w:customStyle="1" w:styleId="74">
    <w:name w:val="9表格内容"/>
    <w:basedOn w:val="1"/>
    <w:next w:val="1"/>
    <w:link w:val="75"/>
    <w:qFormat/>
    <w:uiPriority w:val="0"/>
    <w:pPr>
      <w:jc w:val="center"/>
    </w:pPr>
    <w:rPr>
      <w:szCs w:val="28"/>
    </w:rPr>
  </w:style>
  <w:style w:type="character" w:customStyle="1" w:styleId="75">
    <w:name w:val="9表格内容 Char"/>
    <w:link w:val="74"/>
    <w:qFormat/>
    <w:uiPriority w:val="0"/>
    <w:rPr>
      <w:kern w:val="2"/>
      <w:sz w:val="21"/>
      <w:szCs w:val="28"/>
    </w:rPr>
  </w:style>
  <w:style w:type="paragraph" w:customStyle="1" w:styleId="76">
    <w:name w:val="一级标题"/>
    <w:qFormat/>
    <w:uiPriority w:val="0"/>
    <w:pPr>
      <w:adjustRightInd w:val="0"/>
      <w:snapToGrid w:val="0"/>
      <w:spacing w:before="240" w:after="240" w:line="360" w:lineRule="auto"/>
      <w:jc w:val="center"/>
      <w:outlineLvl w:val="0"/>
    </w:pPr>
    <w:rPr>
      <w:rFonts w:ascii="宋体" w:hAnsi="宋体" w:eastAsia="宋体" w:cs="Arial"/>
      <w:b/>
      <w:kern w:val="2"/>
      <w:sz w:val="32"/>
      <w:szCs w:val="28"/>
      <w:lang w:val="en-US" w:eastAsia="zh-CN" w:bidi="ar-SA"/>
    </w:rPr>
  </w:style>
  <w:style w:type="paragraph" w:customStyle="1" w:styleId="77">
    <w:name w:val="二级标题"/>
    <w:qFormat/>
    <w:uiPriority w:val="0"/>
    <w:pPr>
      <w:adjustRightInd w:val="0"/>
      <w:spacing w:before="120" w:after="120" w:line="360" w:lineRule="auto"/>
      <w:outlineLvl w:val="1"/>
    </w:pPr>
    <w:rPr>
      <w:rFonts w:ascii="Times New Roman" w:hAnsi="Times New Roman" w:eastAsia="宋体" w:cs="Times New Roman"/>
      <w:b/>
      <w:kern w:val="2"/>
      <w:sz w:val="30"/>
      <w:szCs w:val="30"/>
      <w:lang w:val="en-US" w:eastAsia="zh-CN" w:bidi="ar-SA"/>
    </w:rPr>
  </w:style>
  <w:style w:type="paragraph" w:customStyle="1" w:styleId="78">
    <w:name w:val="四级标题"/>
    <w:link w:val="79"/>
    <w:qFormat/>
    <w:uiPriority w:val="0"/>
    <w:pPr>
      <w:adjustRightInd w:val="0"/>
      <w:spacing w:before="60" w:after="60" w:line="360" w:lineRule="auto"/>
      <w:outlineLvl w:val="3"/>
    </w:pPr>
    <w:rPr>
      <w:rFonts w:ascii="Times New Roman" w:hAnsi="Times New Roman" w:eastAsia="宋体" w:cs="Times New Roman"/>
      <w:b/>
      <w:kern w:val="2"/>
      <w:sz w:val="24"/>
      <w:szCs w:val="28"/>
      <w:lang w:val="en-US" w:eastAsia="zh-CN" w:bidi="ar-SA"/>
    </w:rPr>
  </w:style>
  <w:style w:type="character" w:customStyle="1" w:styleId="79">
    <w:name w:val="四级标题 Char"/>
    <w:link w:val="78"/>
    <w:qFormat/>
    <w:uiPriority w:val="0"/>
    <w:rPr>
      <w:b/>
      <w:kern w:val="2"/>
      <w:sz w:val="24"/>
      <w:szCs w:val="28"/>
    </w:rPr>
  </w:style>
  <w:style w:type="paragraph" w:customStyle="1" w:styleId="80">
    <w:name w:val="三级标题"/>
    <w:next w:val="1"/>
    <w:qFormat/>
    <w:uiPriority w:val="0"/>
    <w:pPr>
      <w:adjustRightInd w:val="0"/>
      <w:spacing w:before="60" w:after="60" w:line="360" w:lineRule="auto"/>
      <w:outlineLvl w:val="2"/>
    </w:pPr>
    <w:rPr>
      <w:rFonts w:ascii="Times New Roman" w:hAnsi="Times New Roman" w:eastAsia="宋体" w:cs="Times New Roman"/>
      <w:b/>
      <w:color w:val="000000"/>
      <w:kern w:val="2"/>
      <w:sz w:val="28"/>
      <w:szCs w:val="28"/>
      <w:lang w:val="en-US" w:eastAsia="zh-CN" w:bidi="ar-SA"/>
    </w:rPr>
  </w:style>
  <w:style w:type="paragraph" w:customStyle="1" w:styleId="81">
    <w:name w:val="图件标题"/>
    <w:qFormat/>
    <w:uiPriority w:val="0"/>
    <w:pPr>
      <w:adjustRightInd w:val="0"/>
      <w:spacing w:line="360" w:lineRule="auto"/>
      <w:jc w:val="center"/>
    </w:pPr>
    <w:rPr>
      <w:rFonts w:ascii="Times New Roman" w:hAnsi="Times New Roman" w:eastAsia="宋体" w:cs="Times New Roman"/>
      <w:b/>
      <w:kern w:val="2"/>
      <w:sz w:val="24"/>
      <w:szCs w:val="28"/>
      <w:lang w:val="en-US" w:eastAsia="zh-CN" w:bidi="ar-SA"/>
    </w:rPr>
  </w:style>
  <w:style w:type="table" w:customStyle="1" w:styleId="82">
    <w:name w:val="表格样式1—————常用格式"/>
    <w:basedOn w:val="23"/>
    <w:qFormat/>
    <w:uiPriority w:val="0"/>
    <w:pPr>
      <w:jc w:val="center"/>
    </w:pPr>
    <w:tblPr>
      <w:tblBorders>
        <w:top w:val="single" w:color="auto" w:sz="12" w:space="0"/>
        <w:bottom w:val="single" w:color="auto" w:sz="12" w:space="0"/>
        <w:insideH w:val="single" w:color="auto" w:sz="6" w:space="0"/>
        <w:insideV w:val="single" w:color="auto" w:sz="6" w:space="0"/>
      </w:tblBorders>
    </w:tblPr>
    <w:tcPr>
      <w:vAlign w:val="center"/>
    </w:tcPr>
  </w:style>
  <w:style w:type="table" w:customStyle="1" w:styleId="83">
    <w:name w:val="表格样式12"/>
    <w:basedOn w:val="23"/>
    <w:qFormat/>
    <w:uiPriority w:val="0"/>
    <w:pPr>
      <w:adjustRightInd w:val="0"/>
      <w:snapToGrid w:val="0"/>
      <w:spacing w:before="30" w:after="30"/>
      <w:jc w:val="center"/>
    </w:pPr>
    <w:rPr>
      <w:rFonts w:ascii="Calibri" w:hAnsi="Calibri"/>
      <w:sz w:val="21"/>
    </w:rPr>
    <w:tblPr>
      <w:jc w:val="center"/>
      <w:tblBorders>
        <w:top w:val="single" w:color="auto" w:sz="12" w:space="0"/>
        <w:bottom w:val="single" w:color="auto" w:sz="12" w:space="0"/>
        <w:insideH w:val="single" w:color="auto" w:sz="6" w:space="0"/>
        <w:insideV w:val="single" w:color="auto" w:sz="6" w:space="0"/>
      </w:tblBorders>
    </w:tblPr>
    <w:trPr>
      <w:jc w:val="center"/>
    </w:trPr>
    <w:tcPr>
      <w:vAlign w:val="center"/>
    </w:tcPr>
  </w:style>
  <w:style w:type="paragraph" w:customStyle="1" w:styleId="84">
    <w:name w:val="7图件标题"/>
    <w:basedOn w:val="59"/>
    <w:link w:val="85"/>
    <w:qFormat/>
    <w:uiPriority w:val="0"/>
    <w:pPr>
      <w:numPr>
        <w:ilvl w:val="0"/>
        <w:numId w:val="0"/>
      </w:numPr>
    </w:pPr>
  </w:style>
  <w:style w:type="character" w:customStyle="1" w:styleId="85">
    <w:name w:val="7图件标题 字符"/>
    <w:link w:val="84"/>
    <w:qFormat/>
    <w:uiPriority w:val="0"/>
  </w:style>
  <w:style w:type="paragraph" w:customStyle="1" w:styleId="86">
    <w:name w:val="4级标题"/>
    <w:basedOn w:val="62"/>
    <w:next w:val="55"/>
    <w:qFormat/>
    <w:uiPriority w:val="0"/>
    <w:pPr>
      <w:numPr>
        <w:ilvl w:val="0"/>
        <w:numId w:val="0"/>
      </w:numPr>
      <w:adjustRightInd/>
      <w:snapToGrid/>
      <w:spacing w:before="30" w:beforeLines="30" w:after="30" w:afterLines="30"/>
      <w:outlineLvl w:val="3"/>
    </w:pPr>
    <w:rPr>
      <w:rFonts w:ascii="Times New Roman" w:hAnsi="Times New Roman" w:cs="Times New Roman"/>
      <w:bCs w:val="0"/>
      <w:color w:val="auto"/>
      <w:kern w:val="2"/>
      <w:sz w:val="24"/>
      <w:szCs w:val="24"/>
    </w:rPr>
  </w:style>
  <w:style w:type="paragraph" w:customStyle="1" w:styleId="87">
    <w:name w:val="7表格标题"/>
    <w:basedOn w:val="1"/>
    <w:next w:val="55"/>
    <w:qFormat/>
    <w:uiPriority w:val="0"/>
    <w:pPr>
      <w:spacing w:line="360" w:lineRule="auto"/>
      <w:jc w:val="center"/>
    </w:pPr>
    <w:rPr>
      <w:b/>
      <w:sz w:val="24"/>
    </w:rPr>
  </w:style>
  <w:style w:type="paragraph" w:customStyle="1" w:styleId="88">
    <w:name w:val="8图件标题"/>
    <w:basedOn w:val="1"/>
    <w:next w:val="55"/>
    <w:qFormat/>
    <w:uiPriority w:val="0"/>
    <w:pPr>
      <w:numPr>
        <w:ilvl w:val="4"/>
        <w:numId w:val="1"/>
      </w:numPr>
      <w:spacing w:line="360" w:lineRule="auto"/>
      <w:jc w:val="center"/>
    </w:pPr>
    <w:rPr>
      <w:b/>
    </w:rPr>
  </w:style>
  <w:style w:type="paragraph" w:customStyle="1" w:styleId="89">
    <w:name w:val="6标题-表头"/>
    <w:basedOn w:val="1"/>
    <w:next w:val="55"/>
    <w:link w:val="90"/>
    <w:qFormat/>
    <w:uiPriority w:val="0"/>
    <w:pPr>
      <w:tabs>
        <w:tab w:val="left" w:pos="1369"/>
      </w:tabs>
      <w:spacing w:line="360" w:lineRule="auto"/>
      <w:jc w:val="center"/>
    </w:pPr>
    <w:rPr>
      <w:b/>
      <w:sz w:val="24"/>
    </w:rPr>
  </w:style>
  <w:style w:type="character" w:customStyle="1" w:styleId="90">
    <w:name w:val="6标题-表头 Char"/>
    <w:link w:val="89"/>
    <w:qFormat/>
    <w:uiPriority w:val="0"/>
    <w:rPr>
      <w:b/>
      <w:kern w:val="2"/>
      <w:sz w:val="24"/>
      <w:szCs w:val="24"/>
    </w:rPr>
  </w:style>
  <w:style w:type="paragraph" w:customStyle="1" w:styleId="91">
    <w:name w:val="7标题-图名"/>
    <w:basedOn w:val="1"/>
    <w:next w:val="55"/>
    <w:qFormat/>
    <w:uiPriority w:val="0"/>
    <w:pPr>
      <w:spacing w:line="360" w:lineRule="auto"/>
      <w:jc w:val="center"/>
    </w:pPr>
    <w:rPr>
      <w:b/>
      <w:color w:val="000000"/>
      <w:sz w:val="24"/>
      <w:szCs w:val="22"/>
    </w:rPr>
  </w:style>
  <w:style w:type="paragraph" w:customStyle="1" w:styleId="92">
    <w:name w:val="表格字体"/>
    <w:basedOn w:val="1"/>
    <w:link w:val="93"/>
    <w:qFormat/>
    <w:uiPriority w:val="0"/>
    <w:pPr>
      <w:jc w:val="center"/>
    </w:pPr>
    <w:rPr>
      <w:szCs w:val="21"/>
    </w:rPr>
  </w:style>
  <w:style w:type="character" w:customStyle="1" w:styleId="93">
    <w:name w:val="表格字体 Char"/>
    <w:link w:val="92"/>
    <w:qFormat/>
    <w:uiPriority w:val="0"/>
    <w:rPr>
      <w:kern w:val="2"/>
      <w:sz w:val="21"/>
      <w:szCs w:val="21"/>
    </w:rPr>
  </w:style>
  <w:style w:type="paragraph" w:customStyle="1" w:styleId="94">
    <w:name w:val=" Char"/>
    <w:basedOn w:val="1"/>
    <w:semiHidden/>
    <w:qFormat/>
    <w:uiPriority w:val="0"/>
    <w:pPr>
      <w:ind w:left="-48"/>
    </w:pPr>
  </w:style>
  <w:style w:type="paragraph" w:customStyle="1" w:styleId="95">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96">
    <w:name w:val="页眉 字符"/>
    <w:qFormat/>
    <w:uiPriority w:val="0"/>
    <w:rPr>
      <w:sz w:val="18"/>
      <w:szCs w:val="18"/>
    </w:rPr>
  </w:style>
  <w:style w:type="character" w:customStyle="1" w:styleId="97">
    <w:name w:val="表格的字 Char"/>
    <w:link w:val="98"/>
    <w:qFormat/>
    <w:uiPriority w:val="0"/>
    <w:rPr>
      <w:szCs w:val="24"/>
    </w:rPr>
  </w:style>
  <w:style w:type="paragraph" w:customStyle="1" w:styleId="98">
    <w:name w:val="表格的字"/>
    <w:basedOn w:val="1"/>
    <w:link w:val="97"/>
    <w:qFormat/>
    <w:uiPriority w:val="0"/>
    <w:pPr>
      <w:jc w:val="center"/>
    </w:pPr>
    <w:rPr>
      <w:kern w:val="0"/>
      <w:sz w:val="20"/>
    </w:rPr>
  </w:style>
  <w:style w:type="paragraph" w:customStyle="1" w:styleId="99">
    <w:name w:val=" Char Char Char Char Char Char Char Char Char1 Char"/>
    <w:basedOn w:val="1"/>
    <w:semiHidden/>
    <w:qFormat/>
    <w:uiPriority w:val="0"/>
    <w:rPr>
      <w:rFonts w:ascii="宋体" w:hAnsi="宋体" w:cs="Courier New"/>
      <w:sz w:val="32"/>
      <w:szCs w:val="32"/>
    </w:rPr>
  </w:style>
  <w:style w:type="paragraph" w:customStyle="1" w:styleId="100">
    <w:name w:val="5文章(治)"/>
    <w:basedOn w:val="101"/>
    <w:next w:val="9"/>
    <w:qFormat/>
    <w:uiPriority w:val="0"/>
    <w:pPr>
      <w:spacing w:line="360" w:lineRule="auto"/>
      <w:ind w:firstLine="560" w:firstLineChars="200"/>
    </w:pPr>
    <w:rPr>
      <w:sz w:val="24"/>
      <w:szCs w:val="20"/>
    </w:rPr>
  </w:style>
  <w:style w:type="paragraph" w:customStyle="1" w:styleId="101">
    <w:name w:val="5文章正文"/>
    <w:basedOn w:val="1"/>
    <w:qFormat/>
    <w:uiPriority w:val="0"/>
    <w:pPr>
      <w:ind w:firstLine="200" w:firstLineChars="200"/>
    </w:pPr>
    <w:rPr>
      <w:sz w:val="24"/>
    </w:rPr>
  </w:style>
  <w:style w:type="paragraph" w:customStyle="1" w:styleId="102">
    <w:name w:val="CM11"/>
    <w:basedOn w:val="1"/>
    <w:next w:val="1"/>
    <w:qFormat/>
    <w:uiPriority w:val="0"/>
    <w:pPr>
      <w:autoSpaceDE w:val="0"/>
      <w:autoSpaceDN w:val="0"/>
      <w:adjustRightInd w:val="0"/>
      <w:spacing w:line="520" w:lineRule="atLeast"/>
      <w:jc w:val="left"/>
    </w:pPr>
    <w:rPr>
      <w:rFonts w:ascii="宋体"/>
      <w:kern w:val="0"/>
      <w:sz w:val="24"/>
    </w:rPr>
  </w:style>
  <w:style w:type="character" w:customStyle="1" w:styleId="103">
    <w:name w:val="表、图名 Char Char"/>
    <w:link w:val="104"/>
    <w:qFormat/>
    <w:uiPriority w:val="0"/>
    <w:rPr>
      <w:b/>
      <w:szCs w:val="24"/>
    </w:rPr>
  </w:style>
  <w:style w:type="paragraph" w:customStyle="1" w:styleId="104">
    <w:name w:val="表、图名"/>
    <w:link w:val="103"/>
    <w:qFormat/>
    <w:uiPriority w:val="0"/>
    <w:pPr>
      <w:spacing w:before="120" w:line="360" w:lineRule="auto"/>
      <w:jc w:val="center"/>
    </w:pPr>
    <w:rPr>
      <w:rFonts w:ascii="Times New Roman" w:hAnsi="Times New Roman" w:eastAsia="宋体" w:cs="Times New Roman"/>
      <w:b/>
      <w:szCs w:val="24"/>
      <w:lang w:val="en-US" w:eastAsia="zh-CN" w:bidi="ar-SA"/>
    </w:rPr>
  </w:style>
  <w:style w:type="paragraph" w:customStyle="1" w:styleId="105">
    <w:name w:val="表正文"/>
    <w:basedOn w:val="1"/>
    <w:qFormat/>
    <w:uiPriority w:val="0"/>
    <w:pPr>
      <w:spacing w:line="360" w:lineRule="auto"/>
      <w:ind w:firstLine="200" w:firstLineChars="200"/>
    </w:pPr>
    <w:rPr>
      <w:sz w:val="24"/>
    </w:rPr>
  </w:style>
  <w:style w:type="paragraph" w:customStyle="1" w:styleId="106">
    <w:name w:val="表格名称"/>
    <w:next w:val="1"/>
    <w:qFormat/>
    <w:uiPriority w:val="0"/>
    <w:pPr>
      <w:widowControl w:val="0"/>
      <w:spacing w:line="360" w:lineRule="auto"/>
      <w:jc w:val="center"/>
    </w:pPr>
    <w:rPr>
      <w:rFonts w:ascii="Times New Roman" w:hAnsi="Times New Roman" w:eastAsia="宋体" w:cs="Times New Roman"/>
      <w:b/>
      <w:sz w:val="24"/>
      <w:szCs w:val="21"/>
      <w:lang w:val="en-US" w:eastAsia="zh-CN" w:bidi="ar-SA"/>
    </w:rPr>
  </w:style>
  <w:style w:type="paragraph" w:customStyle="1" w:styleId="107">
    <w:name w:val="Table Text"/>
    <w:basedOn w:val="1"/>
    <w:semiHidden/>
    <w:qFormat/>
    <w:uiPriority w:val="0"/>
    <w:rPr>
      <w:rFonts w:ascii="宋体" w:hAnsi="宋体" w:eastAsia="宋体" w:cs="宋体"/>
      <w:sz w:val="20"/>
      <w:szCs w:val="20"/>
    </w:rPr>
  </w:style>
  <w:style w:type="paragraph" w:styleId="108">
    <w:name w:val="No Spacing"/>
    <w:qFormat/>
    <w:uiPriority w:val="1"/>
    <w:pPr>
      <w:widowControl w:val="0"/>
      <w:jc w:val="center"/>
    </w:pPr>
    <w:rPr>
      <w:rFonts w:asciiTheme="minorHAnsi" w:hAnsiTheme="minorHAnsi" w:eastAsiaTheme="minorEastAsia" w:cstheme="minorBidi"/>
      <w:kern w:val="2"/>
      <w:sz w:val="21"/>
      <w:szCs w:val="24"/>
      <w:lang w:val="en-US" w:eastAsia="zh-CN" w:bidi="ar-SA"/>
    </w:rPr>
  </w:style>
  <w:style w:type="paragraph" w:customStyle="1" w:styleId="109">
    <w:name w:val="Default"/>
    <w:next w:val="6"/>
    <w:unhideWhenUsed/>
    <w:qFormat/>
    <w:uiPriority w:val="0"/>
    <w:pPr>
      <w:widowControl w:val="0"/>
      <w:autoSpaceDE w:val="0"/>
      <w:autoSpaceDN w:val="0"/>
      <w:adjustRightInd w:val="0"/>
    </w:pPr>
    <w:rPr>
      <w:rFonts w:hint="eastAsia" w:ascii="宋体" w:hAnsi="宋体" w:eastAsia="宋体" w:cs="Times New Roman"/>
      <w:color w:val="000000"/>
      <w:sz w:val="24"/>
      <w:szCs w:val="22"/>
      <w:lang w:val="en-US" w:eastAsia="zh-CN" w:bidi="ar-SA"/>
    </w:rPr>
  </w:style>
  <w:style w:type="paragraph" w:customStyle="1" w:styleId="110">
    <w:name w:val="正文1"/>
    <w:basedOn w:val="1"/>
    <w:qFormat/>
    <w:uiPriority w:val="0"/>
    <w:pPr>
      <w:ind w:firstLine="643" w:firstLineChars="200"/>
    </w:pPr>
    <w:rPr>
      <w:rFonts w:ascii="Calibri" w:hAnsi="Calibri"/>
    </w:rPr>
  </w:style>
  <w:style w:type="paragraph" w:customStyle="1" w:styleId="111">
    <w:name w:val="Table Paragraph"/>
    <w:qFormat/>
    <w:uiPriority w:val="1"/>
    <w:pPr>
      <w:widowControl w:val="0"/>
      <w:jc w:val="both"/>
    </w:pPr>
    <w:rPr>
      <w:rFonts w:ascii="宋体" w:hAnsi="宋体" w:eastAsia="宋体" w:cs="宋体"/>
      <w:kern w:val="2"/>
      <w:sz w:val="21"/>
      <w:szCs w:val="24"/>
      <w:lang w:val="en-US" w:eastAsia="en-US" w:bidi="en-US"/>
    </w:rPr>
  </w:style>
  <w:style w:type="paragraph" w:customStyle="1" w:styleId="112">
    <w:name w:val="正文（小四）"/>
    <w:qFormat/>
    <w:uiPriority w:val="0"/>
    <w:pPr>
      <w:spacing w:line="360" w:lineRule="auto"/>
      <w:ind w:firstLine="200" w:firstLineChars="200"/>
      <w:jc w:val="both"/>
    </w:pPr>
    <w:rPr>
      <w:rFonts w:ascii="Times New Roman" w:hAnsi="Times New Roman" w:eastAsia="宋体" w:cs="Times New Roman"/>
      <w:bCs/>
      <w:color w:val="000000"/>
      <w:kern w:val="2"/>
      <w:sz w:val="24"/>
      <w:szCs w:val="32"/>
      <w:lang w:val="en-US" w:eastAsia="zh-CN" w:bidi="ar-SA"/>
    </w:rPr>
  </w:style>
  <w:style w:type="paragraph" w:customStyle="1" w:styleId="113">
    <w:name w:val="标题111"/>
    <w:basedOn w:val="20"/>
    <w:qFormat/>
    <w:uiPriority w:val="0"/>
    <w:pPr>
      <w:adjustRightInd w:val="0"/>
      <w:snapToGrid w:val="0"/>
      <w:spacing w:before="0" w:beforeAutospacing="0" w:after="0" w:afterAutospacing="0" w:line="360" w:lineRule="auto"/>
      <w:jc w:val="center"/>
      <w:outlineLvl w:val="0"/>
    </w:pPr>
    <w:rPr>
      <w:rFonts w:ascii="宋体" w:hAnsi="宋体" w:eastAsia="黑体"/>
      <w:snapToGrid/>
      <w:sz w:val="32"/>
      <w:szCs w:val="30"/>
    </w:rPr>
  </w:style>
  <w:style w:type="paragraph" w:customStyle="1" w:styleId="114">
    <w:name w:val="111正文格式111"/>
    <w:basedOn w:val="115"/>
    <w:qFormat/>
    <w:uiPriority w:val="0"/>
    <w:pPr>
      <w:adjustRightInd w:val="0"/>
      <w:snapToGrid w:val="0"/>
    </w:pPr>
    <w:rPr>
      <w:bCs/>
    </w:rPr>
  </w:style>
  <w:style w:type="paragraph" w:customStyle="1" w:styleId="115">
    <w:name w:val="正文的格式"/>
    <w:basedOn w:val="1"/>
    <w:qFormat/>
    <w:uiPriority w:val="0"/>
    <w:pPr>
      <w:spacing w:line="360" w:lineRule="auto"/>
      <w:ind w:firstLine="200" w:firstLineChars="200"/>
    </w:pPr>
    <w:rPr>
      <w:rFonts w:ascii="Times New Roman" w:hAnsi="Times New Roman"/>
      <w:sz w:val="24"/>
      <w:szCs w:val="24"/>
    </w:rPr>
  </w:style>
  <w:style w:type="paragraph" w:customStyle="1" w:styleId="116">
    <w:name w:val="BGZX"/>
    <w:next w:val="1"/>
    <w:qFormat/>
    <w:uiPriority w:val="0"/>
    <w:pPr>
      <w:widowControl w:val="0"/>
      <w:adjustRightInd w:val="0"/>
      <w:snapToGrid w:val="0"/>
      <w:spacing w:line="360" w:lineRule="auto"/>
      <w:ind w:firstLine="480" w:firstLineChars="200"/>
      <w:jc w:val="both"/>
    </w:pPr>
    <w:rPr>
      <w:rFonts w:ascii="Times New Roman" w:hAnsi="Times New Roman" w:eastAsia="宋体" w:cs="Times New Roman"/>
      <w:color w:val="000000"/>
      <w:sz w:val="24"/>
      <w:szCs w:val="22"/>
      <w:lang w:val="en-GB" w:eastAsia="zh-CN" w:bidi="ar-SA"/>
    </w:rPr>
  </w:style>
  <w:style w:type="paragraph" w:customStyle="1" w:styleId="117">
    <w:name w:val="表格5号居中"/>
    <w:next w:val="1"/>
    <w:qFormat/>
    <w:uiPriority w:val="99"/>
    <w:pPr>
      <w:widowControl w:val="0"/>
      <w:tabs>
        <w:tab w:val="right" w:pos="8640"/>
        <w:tab w:val="right" w:pos="8784"/>
      </w:tabs>
      <w:adjustRightInd w:val="0"/>
      <w:snapToGrid w:val="0"/>
      <w:jc w:val="center"/>
    </w:pPr>
    <w:rPr>
      <w:rFonts w:ascii="Times New Roman" w:hAnsi="Times New Roman" w:eastAsia="宋体" w:cs="Times New Roman"/>
      <w:iCs/>
      <w:color w:val="000000"/>
      <w:sz w:val="21"/>
      <w:szCs w:val="24"/>
      <w:lang w:val="en-US" w:eastAsia="zh-CN" w:bidi="ar-SA"/>
    </w:rPr>
  </w:style>
  <w:style w:type="paragraph" w:customStyle="1" w:styleId="118">
    <w:name w:val="化工院-正文"/>
    <w:basedOn w:val="1"/>
    <w:qFormat/>
    <w:uiPriority w:val="0"/>
    <w:pPr>
      <w:autoSpaceDE/>
      <w:autoSpaceDN/>
      <w:ind w:firstLine="200" w:firstLineChars="200"/>
      <w:jc w:val="both"/>
    </w:pPr>
    <w:rPr>
      <w:rFonts w:cs="Times New Roman"/>
      <w:color w:val="00B0F0"/>
      <w:kern w:val="2"/>
      <w:szCs w:val="24"/>
    </w:rPr>
  </w:style>
  <w:style w:type="paragraph" w:customStyle="1" w:styleId="119">
    <w:name w:val="新格式表"/>
    <w:basedOn w:val="1"/>
    <w:qFormat/>
    <w:uiPriority w:val="0"/>
    <w:pPr>
      <w:adjustRightInd w:val="0"/>
      <w:snapToGrid w:val="0"/>
      <w:spacing w:line="0" w:lineRule="atLeast"/>
      <w:jc w:val="center"/>
    </w:pPr>
    <w:rPr>
      <w:color w:val="000000"/>
      <w:kern w:val="0"/>
      <w:szCs w:val="21"/>
    </w:rPr>
  </w:style>
  <w:style w:type="paragraph" w:customStyle="1" w:styleId="120">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szCs w:val="22"/>
      <w:lang w:val="en-US" w:eastAsia="zh-CN" w:bidi="ar-SA"/>
    </w:rPr>
  </w:style>
  <w:style w:type="paragraph" w:customStyle="1" w:styleId="121">
    <w:name w:val="zhang正文"/>
    <w:basedOn w:val="12"/>
    <w:next w:val="1"/>
    <w:qFormat/>
    <w:uiPriority w:val="0"/>
    <w:pPr>
      <w:autoSpaceDE w:val="0"/>
      <w:autoSpaceDN w:val="0"/>
      <w:adjustRightInd w:val="0"/>
      <w:snapToGrid w:val="0"/>
      <w:spacing w:line="500" w:lineRule="exact"/>
      <w:ind w:firstLine="539"/>
      <w:textAlignment w:val="baseline"/>
    </w:pPr>
    <w:rPr>
      <w:rFonts w:ascii="Calibri" w:hAnsi="Calibri" w:eastAsia="楷体_GB2312"/>
      <w:sz w:val="20"/>
    </w:rPr>
  </w:style>
  <w:style w:type="character" w:customStyle="1" w:styleId="122">
    <w:name w:val="fontstyle01"/>
    <w:qFormat/>
    <w:uiPriority w:val="0"/>
    <w:rPr>
      <w:rFonts w:hint="eastAsia" w:ascii="宋体" w:hAnsi="宋体" w:eastAsia="宋体"/>
      <w:color w:val="000000"/>
      <w:sz w:val="24"/>
      <w:szCs w:val="24"/>
    </w:rPr>
  </w:style>
  <w:style w:type="paragraph" w:customStyle="1" w:styleId="123">
    <w:name w:val="111正文的格式"/>
    <w:basedOn w:val="1"/>
    <w:qFormat/>
    <w:uiPriority w:val="0"/>
    <w:pPr>
      <w:widowControl/>
      <w:adjustRightInd w:val="0"/>
      <w:snapToGrid w:val="0"/>
      <w:ind w:firstLine="480" w:firstLineChars="200"/>
      <w:jc w:val="left"/>
    </w:pPr>
    <w:rPr>
      <w:color w:val="0000FF"/>
    </w:rPr>
  </w:style>
  <w:style w:type="paragraph" w:customStyle="1" w:styleId="124">
    <w:name w:val="111正文"/>
    <w:basedOn w:val="1"/>
    <w:qFormat/>
    <w:uiPriority w:val="0"/>
    <w:pPr>
      <w:widowControl/>
      <w:tabs>
        <w:tab w:val="left" w:pos="7276"/>
      </w:tabs>
      <w:adjustRightInd w:val="0"/>
      <w:snapToGrid w:val="0"/>
      <w:spacing w:line="360" w:lineRule="auto"/>
      <w:ind w:firstLine="480" w:firstLineChars="200"/>
      <w:jc w:val="left"/>
    </w:pPr>
    <w:rPr>
      <w:color w:val="C00000"/>
      <w:sz w:val="24"/>
      <w:szCs w:val="32"/>
    </w:rPr>
  </w:style>
  <w:style w:type="paragraph" w:customStyle="1" w:styleId="125">
    <w:name w:val="111表格的格式"/>
    <w:basedOn w:val="126"/>
    <w:qFormat/>
    <w:uiPriority w:val="0"/>
  </w:style>
  <w:style w:type="paragraph" w:customStyle="1" w:styleId="126">
    <w:name w:val="规范表格文"/>
    <w:basedOn w:val="11"/>
    <w:qFormat/>
    <w:uiPriority w:val="0"/>
    <w:pPr>
      <w:widowControl w:val="0"/>
      <w:adjustRightInd w:val="0"/>
      <w:spacing w:before="0" w:after="0" w:line="240" w:lineRule="auto"/>
      <w:ind w:right="0"/>
      <w:jc w:val="center"/>
    </w:pPr>
    <w:rPr>
      <w:kern w:val="2"/>
      <w:sz w:val="21"/>
      <w:szCs w:val="24"/>
      <w:lang w:val="en-US" w:eastAsia="zh-CN"/>
    </w:rPr>
  </w:style>
  <w:style w:type="table" w:customStyle="1" w:styleId="127">
    <w:name w:val="Table Normal"/>
    <w:unhideWhenUsed/>
    <w:qFormat/>
    <w:uiPriority w:val="0"/>
    <w:tblPr>
      <w:tblCellMar>
        <w:top w:w="0" w:type="dxa"/>
        <w:left w:w="0" w:type="dxa"/>
        <w:bottom w:w="0" w:type="dxa"/>
        <w:right w:w="0" w:type="dxa"/>
      </w:tblCellMar>
    </w:tblPr>
  </w:style>
  <w:style w:type="paragraph" w:customStyle="1" w:styleId="128">
    <w:name w:val="123正文"/>
    <w:basedOn w:val="1"/>
    <w:link w:val="130"/>
    <w:qFormat/>
    <w:uiPriority w:val="0"/>
    <w:pPr>
      <w:snapToGrid w:val="0"/>
      <w:ind w:firstLine="480" w:firstLineChars="200"/>
    </w:pPr>
    <w:rPr>
      <w:color w:val="0000FF"/>
      <w:lang w:val="zh-CN"/>
    </w:rPr>
  </w:style>
  <w:style w:type="paragraph" w:customStyle="1" w:styleId="129">
    <w:name w:val="0正文"/>
    <w:basedOn w:val="12"/>
    <w:link w:val="135"/>
    <w:unhideWhenUsed/>
    <w:qFormat/>
    <w:uiPriority w:val="0"/>
    <w:pPr>
      <w:widowControl w:val="0"/>
      <w:spacing w:line="360" w:lineRule="auto"/>
      <w:ind w:firstLine="720" w:firstLineChars="200"/>
    </w:pPr>
    <w:rPr>
      <w:sz w:val="24"/>
      <w:szCs w:val="22"/>
      <w:lang w:val="en-US" w:eastAsia="zh-CN" w:bidi="ar-SA"/>
    </w:rPr>
  </w:style>
  <w:style w:type="character" w:customStyle="1" w:styleId="130">
    <w:name w:val="123正文 Char"/>
    <w:link w:val="128"/>
    <w:qFormat/>
    <w:uiPriority w:val="0"/>
    <w:rPr>
      <w:color w:val="0000FF"/>
      <w:lang w:val="zh-CN"/>
    </w:rPr>
  </w:style>
  <w:style w:type="character" w:customStyle="1" w:styleId="131">
    <w:name w:val="样式 zhang正文 + 宋体 小四 Char"/>
    <w:link w:val="132"/>
    <w:qFormat/>
    <w:uiPriority w:val="0"/>
    <w:rPr>
      <w:rFonts w:ascii="宋体" w:hAnsi="宋体" w:eastAsia="宋体"/>
      <w:sz w:val="24"/>
    </w:rPr>
  </w:style>
  <w:style w:type="paragraph" w:customStyle="1" w:styleId="132">
    <w:name w:val="样式 zhang正文 + 宋体 小四"/>
    <w:basedOn w:val="121"/>
    <w:link w:val="131"/>
    <w:qFormat/>
    <w:uiPriority w:val="0"/>
    <w:rPr>
      <w:rFonts w:ascii="宋体" w:hAnsi="宋体" w:eastAsia="宋体"/>
      <w:sz w:val="24"/>
    </w:rPr>
  </w:style>
  <w:style w:type="paragraph" w:customStyle="1" w:styleId="133">
    <w:name w:val="表格标题（）"/>
    <w:basedOn w:val="1"/>
    <w:qFormat/>
    <w:uiPriority w:val="0"/>
    <w:pPr>
      <w:widowControl/>
      <w:ind w:firstLine="200" w:firstLineChars="200"/>
      <w:jc w:val="center"/>
    </w:pPr>
    <w:rPr>
      <w:rFonts w:eastAsia="黑体"/>
      <w:color w:val="00B0F0"/>
      <w:szCs w:val="20"/>
      <w:lang w:val="zh-CN" w:bidi="he-IL"/>
    </w:rPr>
  </w:style>
  <w:style w:type="paragraph" w:customStyle="1" w:styleId="134">
    <w:name w:val="0报告正文"/>
    <w:basedOn w:val="1"/>
    <w:qFormat/>
    <w:uiPriority w:val="0"/>
    <w:pPr>
      <w:keepNext w:val="0"/>
      <w:keepLines w:val="0"/>
      <w:widowControl w:val="0"/>
      <w:suppressLineNumbers w:val="0"/>
      <w:autoSpaceDE w:val="0"/>
      <w:autoSpaceDN w:val="0"/>
      <w:spacing w:before="0" w:beforeLines="0" w:beforeAutospacing="0" w:after="0" w:afterLines="0" w:afterAutospacing="0" w:line="360" w:lineRule="auto"/>
      <w:ind w:left="0" w:right="0" w:firstLine="482" w:firstLineChars="0"/>
      <w:jc w:val="both"/>
    </w:pPr>
    <w:rPr>
      <w:rFonts w:ascii="Times New Roman" w:hAnsi="Times New Roman" w:eastAsia="Times New Roman"/>
      <w:color w:val="000000"/>
      <w:kern w:val="0"/>
      <w:szCs w:val="32"/>
      <w:lang w:val="zh-CN" w:bidi="zh-CN"/>
    </w:rPr>
  </w:style>
  <w:style w:type="character" w:customStyle="1" w:styleId="135">
    <w:name w:val="0正文 Char Char"/>
    <w:link w:val="129"/>
    <w:qFormat/>
    <w:uiPriority w:val="0"/>
    <w:rPr>
      <w:sz w:val="24"/>
      <w:szCs w:val="22"/>
      <w:lang w:val="en-US" w:eastAsia="zh-CN" w:bidi="ar-SA"/>
    </w:rPr>
  </w:style>
  <w:style w:type="character" w:customStyle="1" w:styleId="136">
    <w:name w:val="fontstyle11"/>
    <w:qFormat/>
    <w:uiPriority w:val="0"/>
    <w:rPr>
      <w:rFonts w:hint="default" w:ascii="Times New Roman" w:hAnsi="Times New Roman" w:eastAsia="宋体" w:cs="Times New Roman"/>
      <w:color w:val="000000"/>
      <w:sz w:val="24"/>
      <w:szCs w:val="24"/>
    </w:rPr>
  </w:style>
  <w:style w:type="character" w:customStyle="1" w:styleId="137">
    <w:name w:val="fontstyle21"/>
    <w:qFormat/>
    <w:uiPriority w:val="0"/>
    <w:rPr>
      <w:rFonts w:hint="default" w:ascii="Times New Roman" w:hAnsi="Times New Roman" w:eastAsia="宋体" w:cs="Times New Roman"/>
      <w:color w:val="000000"/>
      <w:sz w:val="24"/>
      <w:szCs w:val="24"/>
    </w:rPr>
  </w:style>
  <w:style w:type="paragraph" w:customStyle="1" w:styleId="138">
    <w:name w:val="图表标题"/>
    <w:basedOn w:val="1"/>
    <w:qFormat/>
    <w:uiPriority w:val="0"/>
    <w:pPr>
      <w:widowControl w:val="0"/>
      <w:spacing w:line="480" w:lineRule="auto"/>
      <w:ind w:firstLine="0" w:firstLineChars="0"/>
      <w:jc w:val="center"/>
      <w:outlineLvl w:val="4"/>
    </w:pPr>
    <w:rPr>
      <w:rFonts w:ascii="宋体" w:hAnsi="宋体"/>
      <w:b/>
      <w:kern w:val="2"/>
      <w:szCs w:val="24"/>
    </w:rPr>
  </w:style>
  <w:style w:type="paragraph" w:customStyle="1" w:styleId="139">
    <w:name w:val="报告表 段"/>
    <w:basedOn w:val="1"/>
    <w:qFormat/>
    <w:uiPriority w:val="0"/>
    <w:pPr>
      <w:spacing w:line="360" w:lineRule="auto"/>
      <w:ind w:firstLine="470" w:firstLineChars="196"/>
    </w:pPr>
    <w:rPr>
      <w:rFonts w:ascii="宋体" w:hAnsi="宋体"/>
      <w:bCs/>
      <w:kern w:val="0"/>
      <w:sz w:val="24"/>
    </w:rPr>
  </w:style>
  <w:style w:type="paragraph" w:customStyle="1" w:styleId="140">
    <w:name w:val="四级条标题"/>
    <w:basedOn w:val="141"/>
    <w:next w:val="145"/>
    <w:qFormat/>
    <w:uiPriority w:val="0"/>
    <w:pPr>
      <w:widowControl/>
      <w:tabs>
        <w:tab w:val="left" w:pos="840"/>
      </w:tabs>
      <w:outlineLvl w:val="5"/>
    </w:pPr>
    <w:rPr>
      <w:rFonts w:hint="eastAsia" w:ascii="黑体" w:eastAsia="黑体"/>
      <w:kern w:val="0"/>
      <w:szCs w:val="20"/>
    </w:rPr>
  </w:style>
  <w:style w:type="paragraph" w:customStyle="1" w:styleId="141">
    <w:name w:val="三级条标题"/>
    <w:basedOn w:val="142"/>
    <w:next w:val="145"/>
    <w:qFormat/>
    <w:uiPriority w:val="0"/>
    <w:pPr>
      <w:numPr>
        <w:ilvl w:val="3"/>
        <w:numId w:val="0"/>
      </w:numPr>
      <w:tabs>
        <w:tab w:val="left" w:pos="840"/>
      </w:tabs>
      <w:outlineLvl w:val="4"/>
    </w:pPr>
  </w:style>
  <w:style w:type="paragraph" w:customStyle="1" w:styleId="142">
    <w:name w:val="二级条标题"/>
    <w:basedOn w:val="143"/>
    <w:next w:val="145"/>
    <w:qFormat/>
    <w:uiPriority w:val="0"/>
    <w:pPr>
      <w:numPr>
        <w:ilvl w:val="3"/>
        <w:numId w:val="2"/>
      </w:numPr>
      <w:tabs>
        <w:tab w:val="left" w:pos="840"/>
      </w:tabs>
      <w:outlineLvl w:val="3"/>
    </w:pPr>
  </w:style>
  <w:style w:type="paragraph" w:customStyle="1" w:styleId="143">
    <w:name w:val="一级条标题"/>
    <w:basedOn w:val="144"/>
    <w:next w:val="145"/>
    <w:qFormat/>
    <w:uiPriority w:val="0"/>
    <w:pPr>
      <w:numPr>
        <w:ilvl w:val="2"/>
        <w:numId w:val="2"/>
      </w:numPr>
      <w:tabs>
        <w:tab w:val="left" w:pos="840"/>
      </w:tabs>
      <w:spacing w:before="0" w:beforeLines="0" w:after="0" w:afterLines="0"/>
      <w:outlineLvl w:val="2"/>
    </w:pPr>
  </w:style>
  <w:style w:type="paragraph" w:customStyle="1" w:styleId="144">
    <w:name w:val="章标题"/>
    <w:next w:val="145"/>
    <w:qFormat/>
    <w:uiPriority w:val="0"/>
    <w:pPr>
      <w:tabs>
        <w:tab w:val="left" w:pos="840"/>
      </w:tabs>
      <w:spacing w:before="156" w:beforeLines="50" w:after="156" w:afterLines="50"/>
      <w:ind w:left="840" w:hanging="420"/>
      <w:jc w:val="both"/>
      <w:outlineLvl w:val="1"/>
    </w:pPr>
    <w:rPr>
      <w:rFonts w:ascii="黑体" w:hAnsi="Times New Roman" w:eastAsia="黑体" w:cs="Times New Roman"/>
      <w:sz w:val="21"/>
      <w:lang w:val="en-US" w:eastAsia="zh-CN" w:bidi="ar-SA"/>
    </w:rPr>
  </w:style>
  <w:style w:type="paragraph" w:customStyle="1" w:styleId="145">
    <w:name w:val="段"/>
    <w:qFormat/>
    <w:uiPriority w:val="0"/>
    <w:pPr>
      <w:autoSpaceDE w:val="0"/>
      <w:autoSpaceDN w:val="0"/>
      <w:ind w:firstLine="200" w:firstLineChars="200"/>
      <w:jc w:val="both"/>
    </w:pPr>
    <w:rPr>
      <w:rFonts w:ascii="宋体" w:hAnsi="Times New Roman" w:eastAsia="宋体" w:cs="Times New Roman"/>
      <w:sz w:val="21"/>
      <w:szCs w:val="22"/>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0" Type="http://schemas.microsoft.com/office/2011/relationships/people" Target="people.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customXml" Target="../customXml/item2.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33.jpeg"/><Relationship Id="rId44" Type="http://schemas.openxmlformats.org/officeDocument/2006/relationships/image" Target="media/image32.jpeg"/><Relationship Id="rId43" Type="http://schemas.openxmlformats.org/officeDocument/2006/relationships/image" Target="media/image31.jpeg"/><Relationship Id="rId42" Type="http://schemas.openxmlformats.org/officeDocument/2006/relationships/image" Target="file:///L:\WeChat%2525252525252525252525252525252525252525252525252525252525252525252525252525252525252520Files\wxid_31o7r0mk0a5d22\FileStorage\ADMINI~1\AppData\Local\Temp\ksohtml14976\wps5.jpg" TargetMode="External"/><Relationship Id="rId41" Type="http://schemas.openxmlformats.org/officeDocument/2006/relationships/image" Target="media/image30.jpeg"/><Relationship Id="rId40" Type="http://schemas.openxmlformats.org/officeDocument/2006/relationships/image" Target="media/image29.png"/><Relationship Id="rId4" Type="http://schemas.openxmlformats.org/officeDocument/2006/relationships/footer" Target="footer2.xml"/><Relationship Id="rId39" Type="http://schemas.openxmlformats.org/officeDocument/2006/relationships/image" Target="media/image28.jpeg"/><Relationship Id="rId38" Type="http://schemas.openxmlformats.org/officeDocument/2006/relationships/image" Target="media/image27.jpeg"/><Relationship Id="rId37" Type="http://schemas.openxmlformats.org/officeDocument/2006/relationships/image" Target="media/image26.jpeg"/><Relationship Id="rId36" Type="http://schemas.openxmlformats.org/officeDocument/2006/relationships/image" Target="media/image25.wmf"/><Relationship Id="rId35" Type="http://schemas.openxmlformats.org/officeDocument/2006/relationships/image" Target="media/image24.jpeg"/><Relationship Id="rId34" Type="http://schemas.openxmlformats.org/officeDocument/2006/relationships/image" Target="media/image23.jpeg"/><Relationship Id="rId33" Type="http://schemas.openxmlformats.org/officeDocument/2006/relationships/image" Target="media/image22.jpeg"/><Relationship Id="rId32" Type="http://schemas.openxmlformats.org/officeDocument/2006/relationships/image" Target="media/image21.jpeg"/><Relationship Id="rId31" Type="http://schemas.openxmlformats.org/officeDocument/2006/relationships/image" Target="media/image20.jpeg"/><Relationship Id="rId30" Type="http://schemas.openxmlformats.org/officeDocument/2006/relationships/image" Target="media/image19.jpeg"/><Relationship Id="rId3" Type="http://schemas.openxmlformats.org/officeDocument/2006/relationships/footer" Target="footer1.xml"/><Relationship Id="rId29" Type="http://schemas.openxmlformats.org/officeDocument/2006/relationships/image" Target="media/image18.jpeg"/><Relationship Id="rId28" Type="http://schemas.openxmlformats.org/officeDocument/2006/relationships/image" Target="media/image17.jpe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png"/><Relationship Id="rId20" Type="http://schemas.openxmlformats.org/officeDocument/2006/relationships/image" Target="media/image9.e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d24de82f-e6cc-447f-9c0e-a47efacd74ea</errorID>
      <errorWord>[2026]</errorWord>
      <group>L1_Punc</group>
      <groupName>标点问题</groupName>
      <ability>L2_Punc</ability>
      <abilityName>标点符号检查</abilityName>
      <candidateList>
        <item>〔2026〕</item>
      </candidateList>
      <explain/>
      <paraID>784BC3C2</paraID>
      <start>4</start>
      <end>10</end>
      <status>unmodified</status>
      <modifiedWord/>
      <trackRevisions>false</trackRevisions>
    </reviewItem>
    <reviewItem>
      <errorID>81ff39c1-60b0-4fc5-802e-1d935eeff0bc</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3AC267AA</paraID>
      <start>69</start>
      <end>73</end>
      <status>unmodified</status>
      <modifiedWord/>
      <trackRevisions>false</trackRevisions>
    </reviewItem>
    <reviewItem>
      <errorID>48004923-7059-4375-99a0-9d8c570d2ed5</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1D1E70B4</paraID>
      <start>27</start>
      <end>31</end>
      <status>unmodified</status>
      <modifiedWord/>
      <trackRevisions>false</trackRevisions>
    </reviewItem>
    <reviewItem>
      <errorID>828b4304-1d05-4de2-9368-c8060b4bad2b</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74166D21</paraID>
      <start>46</start>
      <end>50</end>
      <status>unmodified</status>
      <modifiedWord/>
      <trackRevisions>false</trackRevisions>
    </reviewItem>
    <reviewItem>
      <errorID>d5d7a33f-56fc-4a60-8385-3c91c3fe5ecf</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34A4890C</paraID>
      <start>60</start>
      <end>64</end>
      <status>unmodified</status>
      <modifiedWord/>
      <trackRevisions>false</trackRevisions>
    </reviewItem>
    <reviewItem>
      <errorID>c4e7f82a-92a8-42f2-844a-9254f0926996</errorID>
      <errorWord>已经</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 428D12F</paraID>
      <start>31</start>
      <end>33</end>
      <status>unmodified</status>
      <modifiedWord/>
      <trackRevisions>false</trackRevisions>
    </reviewItem>
    <reviewItem>
      <errorID>57a2e53f-800d-4487-ac9f-ce351ed3e289</errorID>
      <errorWord>从</errorWord>
      <group>L1_Word</group>
      <groupName>字词问题</groupName>
      <ability>L2_Typo</ability>
      <abilityName>字词错误</abilityName>
      <candidateList>
        <item>从事</item>
      </candidateList>
      <explain/>
      <paraID> 143E058</paraID>
      <start>5</start>
      <end>6</end>
      <status>unmodified</status>
      <modifiedWord/>
      <trackRevisions>false</trackRevisions>
    </reviewItem>
    <reviewItem>
      <errorID>00fa5bd9-c51a-43de-be77-3f3599673082</errorID>
      <errorWord>[2026]</errorWord>
      <group>L1_Punc</group>
      <groupName>标点问题</groupName>
      <ability>L2_Punc</ability>
      <abilityName>标点符号检查</abilityName>
      <candidateList>
        <item>〔2026〕</item>
      </candidateList>
      <explain/>
      <paraID> 143E058</paraID>
      <start>104</start>
      <end>110</end>
      <status>unmodified</status>
      <modifiedWord/>
      <trackRevisions>false</trackRevisions>
    </reviewItem>
    <reviewItem>
      <errorID>dcebea88-f351-4079-8323-744b211c7d23</errorID>
      <errorWord>[2006]133号</errorWord>
      <group>L1_Knowledge</group>
      <groupName>知识性问题</groupName>
      <ability>L2_Knowledge</ability>
      <abilityName>其他知识</abilityName>
      <candidateList>
        <item>〔2006〕133号</item>
      </candidateList>
      <explain>发文字号格式错误。</explain>
      <paraID>47F90BFF</paraID>
      <start>47</start>
      <end>57</end>
      <status>unmodified</status>
      <modifiedWord/>
      <trackRevisions>false</trackRevisions>
    </reviewItem>
    <reviewItem>
      <errorID>36f458aa-b6c5-49dd-ae61-e8e901c7d36e</errorID>
      <errorWord>-</errorWord>
      <group>L1_Format</group>
      <groupName>格式问题</groupName>
      <ability>L2_HalfPunc</ability>
      <abilityName>全半角检查</abilityName>
      <candidateList>
        <item>－</item>
      </candidateList>
      <explain>文本全半角错误。</explain>
      <paraID>47F90BFF</paraID>
      <start>80</start>
      <end>81</end>
      <status>unmodified</status>
      <modifiedWord/>
      <trackRevisions>false</trackRevisions>
    </reviewItem>
    <reviewItem>
      <errorID>c335d122-aa1d-4779-93c9-02095de86223</errorID>
      <errorWord>-</errorWord>
      <group>L1_Format</group>
      <groupName>格式问题</groupName>
      <ability>L2_HalfPunc</ability>
      <abilityName>全半角检查</abilityName>
      <candidateList>
        <item>－</item>
      </candidateList>
      <explain>文本全半角错误。</explain>
      <paraID>47F90BFF</paraID>
      <start>85</start>
      <end>86</end>
      <status>unmodified</status>
      <modifiedWord/>
      <trackRevisions>false</trackRevisions>
    </reviewItem>
    <reviewItem>
      <errorID>82ea9308-f5d0-43e9-bc04-3d1920b3bcd9</errorID>
      <errorWord>根据福州市人民政府网站发布显示</errorWord>
      <group>L1_Grammar</group>
      <groupName>语法问题</groupName>
      <ability>L2_Grammar</ability>
      <abilityName>语法错误</abilityName>
      <candidateList>
        <item>根据福州市人民政府网站发布</item>
      </candidateList>
      <explain/>
      <paraID>47F90BFF</paraID>
      <start>114</start>
      <end>129</end>
      <status>unmodified</status>
      <modifiedWord/>
      <trackRevisions>false</trackRevisions>
    </reviewItem>
    <reviewItem>
      <errorID>a8ff15cb-d5c2-464e-8bae-79fbf5406793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47F90BFF</paraID>
      <start>136</start>
      <end>137</end>
      <status>unmodified</status>
      <modifiedWord/>
      <trackRevisions>false</trackRevisions>
    </reviewItem>
    <reviewItem>
      <errorID>7221eb4f-d259-417a-b538-35de4db7721b</errorID>
      <errorWord>时</errorWord>
      <group>L1_Word</group>
      <groupName>字词问题</groupName>
      <ability>L2_Typo</ability>
      <abilityName>字词错误</abilityName>
      <candidateList>
        <item>时平</item>
      </candidateList>
      <explain/>
      <paraID>664F5D38</paraID>
      <start>90</start>
      <end>91</end>
      <status>unmodified</status>
      <modifiedWord/>
      <trackRevisions>false</trackRevisions>
    </reviewItem>
    <reviewItem>
      <errorID>79ae548c-c2cb-4716-af76-34d01b70d278</errorID>
      <errorWord>程</errorWord>
      <group>L1_Word</group>
      <groupName>字词问题</groupName>
      <ability>L2_Typo</ability>
      <abilityName>字词错误</abilityName>
      <candidateList>
        <item>程中</item>
      </candidateList>
      <explain/>
      <paraID>3C736374</paraID>
      <start>16</start>
      <end>17</end>
      <status>unmodified</status>
      <modifiedWord/>
      <trackRevisions>false</trackRevisions>
    </reviewItem>
    <reviewItem>
      <errorID>e24e2223-728a-4297-9490-f0bfbd4a96d9</errorID>
      <errorWord>(</errorWord>
      <group>L1_Format</group>
      <groupName>格式问题</groupName>
      <ability>L2_HalfPunc</ability>
      <abilityName>全半角检查</abilityName>
      <candidateList>
        <item>（</item>
      </candidateList>
      <explain>文本全半角错误。</explain>
      <paraID> 8C7F1F3</paraID>
      <start>0</start>
      <end>1</end>
      <status>unmodified</status>
      <modifiedWord/>
      <trackRevisions>false</trackRevisions>
    </reviewItem>
    <reviewItem>
      <errorID>0e653503-a19a-4c10-bd1f-83e9b1095855</errorID>
      <errorWord>[2016]95号</errorWord>
      <group>L1_Knowledge</group>
      <groupName>知识性问题</groupName>
      <ability>L2_Knowledge</ability>
      <abilityName>其他知识</abilityName>
      <candidateList>
        <item>〔2016〕95号</item>
      </candidateList>
      <explain>发文字号格式错误。</explain>
      <paraID> 8C7F1F3</paraID>
      <start>4</start>
      <end>13</end>
      <status>unmodified</status>
      <modifiedWord/>
      <trackRevisions>false</trackRevisions>
    </reviewItem>
    <reviewItem>
      <errorID>f71f6b72-22c4-423a-8740-ce46b21941cc</errorID>
      <errorWord>)</errorWord>
      <group>L1_Format</group>
      <groupName>格式问题</groupName>
      <ability>L2_HalfPunc</ability>
      <abilityName>全半角检查</abilityName>
      <candidateList>
        <item>）</item>
      </candidateList>
      <explain>文本全半角错误。</explain>
      <paraID> 8C7F1F3</paraID>
      <start>13</start>
      <end>14</end>
      <status>unmodified</status>
      <modifiedWord/>
      <trackRevisions>false</trackRevisions>
    </reviewItem>
    <reviewItem>
      <errorID>de7cce28-abc5-4356-9e53-30843a54a193</errorID>
      <errorWord>(</errorWord>
      <group>L1_Format</group>
      <groupName>格式问题</groupName>
      <ability>L2_HalfPunc</ability>
      <abilityName>全半角检查</abilityName>
      <candidateList>
        <item>（</item>
      </candidateList>
      <explain>文本全半角错误。</explain>
      <paraID>46D736E9</paraID>
      <start>34</start>
      <end>35</end>
      <status>unmodified</status>
      <modifiedWord/>
      <trackRevisions>false</trackRevisions>
    </reviewItem>
    <reviewItem>
      <errorID>486cecc1-5b32-4f94-bd04-514b5a097917</errorID>
      <errorWord>)</errorWord>
      <group>L1_Format</group>
      <groupName>格式问题</groupName>
      <ability>L2_HalfPunc</ability>
      <abilityName>全半角检查</abilityName>
      <candidateList>
        <item>）</item>
      </candidateList>
      <explain>文本全半角错误。</explain>
      <paraID>46D736E9</paraID>
      <start>46</start>
      <end>47</end>
      <status>unmodified</status>
      <modifiedWord/>
      <trackRevisions>false</trackRevisions>
    </reviewItem>
    <reviewItem>
      <errorID>d7641550-dd89-476d-b9eb-76c1297f329d</errorID>
      <errorWord>(</errorWord>
      <group>L1_Format</group>
      <groupName>格式问题</groupName>
      <ability>L2_HalfPunc</ability>
      <abilityName>全半角检查</abilityName>
      <candidateList>
        <item>（</item>
      </candidateList>
      <explain>文本全半角错误。</explain>
      <paraID>46D736E9</paraID>
      <start>81</start>
      <end>82</end>
      <status>unmodified</status>
      <modifiedWord/>
      <trackRevisions>false</trackRevisions>
    </reviewItem>
    <reviewItem>
      <errorID>9dd75a02-56f1-4af6-8c04-fbc076d04a2e</errorID>
      <errorWord>(</errorWord>
      <group>L1_Format</group>
      <groupName>格式问题</groupName>
      <ability>L2_HalfPunc</ability>
      <abilityName>全半角检查</abilityName>
      <candidateList>
        <item>（</item>
      </candidateList>
      <explain>文本全半角错误。</explain>
      <paraID>46D736E9</paraID>
      <start>114</start>
      <end>115</end>
      <status>unmodified</status>
      <modifiedWord/>
      <trackRevisions>false</trackRevisions>
    </reviewItem>
    <reviewItem>
      <errorID>123bd85e-ee9d-46ef-a7a1-528843a2609a</errorID>
      <errorWord>)</errorWord>
      <group>L1_Format</group>
      <groupName>格式问题</groupName>
      <ability>L2_HalfPunc</ability>
      <abilityName>全半角检查</abilityName>
      <candidateList>
        <item>）</item>
      </candidateList>
      <explain>文本全半角错误。</explain>
      <paraID>46D736E9</paraID>
      <start>126</start>
      <end>127</end>
      <status>unmodified</status>
      <modifiedWord/>
      <trackRevisions>false</trackRevisions>
    </reviewItem>
    <reviewItem>
      <errorID>7775886e-38ac-4a47-9015-37d1463ae6dd</errorID>
      <errorWord>有效的控制</errorWord>
      <group>L1_Word</group>
      <groupName>字词问题</groupName>
      <ability>L2_Typo</ability>
      <abilityName>字词错误</abilityName>
      <candidateList>
        <item>有效地控制</item>
      </candidateList>
      <explain/>
      <paraID>3063FD65</paraID>
      <start>86</start>
      <end>91</end>
      <status>unmodified</status>
      <modifiedWord/>
      <trackRevisions>false</trackRevisions>
    </reviewItem>
    <reviewItem>
      <errorID>dcacb5f3-17b7-4721-8d3c-ed538d145dac</errorID>
      <errorWord>上线</errorWord>
      <group>L1_Word</group>
      <groupName>字词问题</groupName>
      <ability>L2_Typo</ability>
      <abilityName>字词错误</abilityName>
      <candidateList>
        <item>上限</item>
      </candidateList>
      <explain/>
      <paraID>3063FD65</paraID>
      <start>118</start>
      <end>120</end>
      <status>unmodified</status>
      <modifiedWord/>
      <trackRevisions>false</trackRevisions>
    </reviewItem>
    <reviewItem>
      <errorID>c1300a9f-34a0-4eb5-a3b2-daf844075962</errorID>
      <errorWord>(</errorWord>
      <group>L1_Format</group>
      <groupName>格式问题</groupName>
      <ability>L2_HalfPunc</ability>
      <abilityName>全半角检查</abilityName>
      <candidateList>
        <item>（</item>
      </candidateList>
      <explain>文本全半角错误。</explain>
      <paraID>207746B9</paraID>
      <start>42</start>
      <end>43</end>
      <status>unmodified</status>
      <modifiedWord/>
      <trackRevisions>false</trackRevisions>
    </reviewItem>
    <reviewItem>
      <errorID>dca08514-1fd1-405c-84cb-765f22e3e9c6</errorID>
      <errorWord>)</errorWord>
      <group>L1_Format</group>
      <groupName>格式问题</groupName>
      <ability>L2_HalfPunc</ability>
      <abilityName>全半角检查</abilityName>
      <candidateList>
        <item>）</item>
      </candidateList>
      <explain>文本全半角错误。</explain>
      <paraID>207746B9</paraID>
      <start>54</start>
      <end>55</end>
      <status>unmodified</status>
      <modifiedWord/>
      <trackRevisions>false</trackRevisions>
    </reviewItem>
    <reviewItem>
      <errorID>02777d22-c2b9-484f-afc1-30974cab10c1</errorID>
      <errorWord>(</errorWord>
      <group>L1_Format</group>
      <groupName>格式问题</groupName>
      <ability>L2_HalfPunc</ability>
      <abilityName>全半角检查</abilityName>
      <candidateList>
        <item>（</item>
      </candidateList>
      <explain>文本全半角错误。</explain>
      <paraID>207746B9</paraID>
      <start>97</start>
      <end>98</end>
      <status>unmodified</status>
      <modifiedWord/>
      <trackRevisions>false</trackRevisions>
    </reviewItem>
    <reviewItem>
      <errorID>df07b14d-7c9e-477c-9d72-fd3377b9caac</errorID>
      <errorWord>)</errorWord>
      <group>L1_Format</group>
      <groupName>格式问题</groupName>
      <ability>L2_HalfPunc</ability>
      <abilityName>全半角检查</abilityName>
      <candidateList>
        <item>）</item>
      </candidateList>
      <explain>文本全半角错误。</explain>
      <paraID>207746B9</paraID>
      <start>111</start>
      <end>112</end>
      <status>unmodified</status>
      <modifiedWord/>
      <trackRevisions>false</trackRevisions>
    </reviewItem>
    <reviewItem>
      <errorID>5e7fc38d-f4b3-4bea-b0c0-8df007c39709</errorID>
      <errorWord>(</errorWord>
      <group>L1_Format</group>
      <groupName>格式问题</groupName>
      <ability>L2_HalfPunc</ability>
      <abilityName>全半角检查</abilityName>
      <candidateList>
        <item>（</item>
      </candidateList>
      <explain>文本全半角错误。</explain>
      <paraID>207746B9</paraID>
      <start>129</start>
      <end>130</end>
      <status>unmodified</status>
      <modifiedWord/>
      <trackRevisions>false</trackRevisions>
    </reviewItem>
    <reviewItem>
      <errorID>0d9d96a0-db40-43f1-b0a5-5ee437e3162d</errorID>
      <errorWord>)</errorWord>
      <group>L1_Format</group>
      <groupName>格式问题</groupName>
      <ability>L2_HalfPunc</ability>
      <abilityName>全半角检查</abilityName>
      <candidateList>
        <item>）</item>
      </candidateList>
      <explain>文本全半角错误。</explain>
      <paraID>207746B9</paraID>
      <start>136</start>
      <end>137</end>
      <status>unmodified</status>
      <modifiedWord/>
      <trackRevisions>false</trackRevisions>
    </reviewItem>
    <reviewItem>
      <errorID>92d31d5f-27f2-4401-b3df-fe8427ca1eed</errorID>
      <errorWord>以及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152A38C6</paraID>
      <start>76</start>
      <end>78</end>
      <status>unmodified</status>
      <modifiedWord/>
      <trackRevisions>false</trackRevisions>
    </reviewItem>
    <reviewItem>
      <errorID>0ae77cc4-598b-482f-a24a-13c4769e1181</errorID>
      <errorWord>及实施细则</errorWord>
      <group>L1_Word</group>
      <groupName>字词问题</groupName>
      <ability>L2_Typo</ability>
      <abilityName>字词错误</abilityName>
      <candidateList>
        <item>及其实施细则</item>
      </candidateList>
      <explain/>
      <paraID>152A38C6</paraID>
      <start>92</start>
      <end>97</end>
      <status>unmodified</status>
      <modifiedWord/>
      <trackRevisions>false</trackRevisions>
    </reviewItem>
    <reviewItem>
      <errorID>220e6e44-87aa-4705-989c-158c9c49bf89</errorID>
      <errorWord>(</errorWord>
      <group>L1_Format</group>
      <groupName>格式问题</groupName>
      <ability>L2_HalfPunc</ability>
      <abilityName>全半角检查</abilityName>
      <candidateList>
        <item>（</item>
      </candidateList>
      <explain>文本全半角错误。</explain>
      <paraID>1E4B38C4</paraID>
      <start>128</start>
      <end>129</end>
      <status>unmodified</status>
      <modifiedWord/>
      <trackRevisions>false</trackRevisions>
    </reviewItem>
    <reviewItem>
      <errorID>f3015940-f00b-4546-8a99-c81d44bd69fc</errorID>
      <errorWord>)</errorWord>
      <group>L1_Format</group>
      <groupName>格式问题</groupName>
      <ability>L2_HalfPunc</ability>
      <abilityName>全半角检查</abilityName>
      <candidateList>
        <item>）</item>
      </candidateList>
      <explain>文本全半角错误。</explain>
      <paraID>1E4B38C4</paraID>
      <start>131</start>
      <end>132</end>
      <status>unmodified</status>
      <modifiedWord/>
      <trackRevisions>false</trackRevisions>
    </reviewItem>
    <reviewItem>
      <errorID>76456c35-74da-4808-865d-22ac20b685b0</errorID>
      <errorWord>、等</errorWord>
      <group>L1_Punc</group>
      <groupName>标点问题</groupName>
      <ability>L2_Punc</ability>
      <abilityName>标点符号检查</abilityName>
      <candidateList>
        <item>等</item>
      </candidateList>
      <explain>“及”“和”“等”连词前不宜使用顿号，建议删除（或使用逗号）。</explain>
      <paraID> B9D0B41</paraID>
      <start>39</start>
      <end>41</end>
      <status>unmodified</status>
      <modifiedWord/>
      <trackRevisions>false</trackRevisions>
    </reviewItem>
    <reviewItem>
      <errorID>8fd5cb7b-c639-4ab8-a809-af91e289c852</errorID>
      <errorWord>胶粘剂</errorWord>
      <group>L1_Word</group>
      <groupName>字词问题</groupName>
      <ability>L2_Typo</ability>
      <abilityName>字词错误</abilityName>
      <candidateList>
        <item>胶黏剂</item>
      </candidateList>
      <explain/>
      <paraID>4AFBD146</paraID>
      <start>35</start>
      <end>38</end>
      <status>unmodified</status>
      <modifiedWord/>
      <trackRevisions>false</trackRevisions>
    </reviewItem>
    <reviewItem>
      <errorID>a0e8d933-af04-4957-ac8c-0256ae6bc353</errorID>
      <errorWord>(</errorWord>
      <group>L1_Format</group>
      <groupName>格式问题</groupName>
      <ability>L2_HalfPunc</ability>
      <abilityName>全半角检查</abilityName>
      <candidateList>
        <item>（</item>
      </candidateList>
      <explain>文本全半角错误。</explain>
      <paraID> F03CB07</paraID>
      <start>20</start>
      <end>21</end>
      <status>unmodified</status>
      <modifiedWord/>
      <trackRevisions>false</trackRevisions>
    </reviewItem>
    <reviewItem>
      <errorID>2e676be7-b99b-4dae-8296-1eeabb0d1d07</errorID>
      <errorWord>)</errorWord>
      <group>L1_Format</group>
      <groupName>格式问题</groupName>
      <ability>L2_HalfPunc</ability>
      <abilityName>全半角检查</abilityName>
      <candidateList>
        <item>）</item>
      </candidateList>
      <explain>文本全半角错误。</explain>
      <paraID> F03CB07</paraID>
      <start>23</start>
      <end>24</end>
      <status>unmodified</status>
      <modifiedWord/>
      <trackRevisions>false</trackRevisions>
    </reviewItem>
    <reviewItem>
      <errorID>93db912e-5941-4fe3-8fb7-52f72cba329f</errorID>
      <errorWord>(</errorWord>
      <group>L1_Format</group>
      <groupName>格式问题</groupName>
      <ability>L2_HalfPunc</ability>
      <abilityName>全半角检查</abilityName>
      <candidateList>
        <item>（</item>
      </candidateList>
      <explain>文本全半角错误。</explain>
      <paraID>22ED0EC9</paraID>
      <start>0</start>
      <end>1</end>
      <status>unmodified</status>
      <modifiedWord/>
      <trackRevisions>false</trackRevisions>
    </reviewItem>
    <reviewItem>
      <errorID>a9694cb8-63db-4b5a-9d35-72b7bc2a1a5b</errorID>
      <errorWord>)</errorWord>
      <group>L1_Format</group>
      <groupName>格式问题</groupName>
      <ability>L2_HalfPunc</ability>
      <abilityName>全半角检查</abilityName>
      <candidateList>
        <item>）</item>
      </candidateList>
      <explain>文本全半角错误。</explain>
      <paraID>22ED0EC9</paraID>
      <start>2</start>
      <end>3</end>
      <status>unmodified</status>
      <modifiedWord/>
      <trackRevisions>false</trackRevisions>
    </reviewItem>
    <reviewItem>
      <errorID>3826fb16-0941-4eea-8303-15391e99cc90</errorID>
      <errorWord>(</errorWord>
      <group>L1_Format</group>
      <groupName>格式问题</groupName>
      <ability>L2_HalfPunc</ability>
      <abilityName>全半角检查</abilityName>
      <candidateList>
        <item>（</item>
      </candidateList>
      <explain>文本全半角错误。</explain>
      <paraID>  2AC0FC</paraID>
      <start>0</start>
      <end>1</end>
      <status>unmodified</status>
      <modifiedWord/>
      <trackRevisions>false</trackRevisions>
    </reviewItem>
    <reviewItem>
      <errorID>f459e91c-796c-41c4-8aea-15643816c421</errorID>
      <errorWord>)</errorWord>
      <group>L1_Format</group>
      <groupName>格式问题</groupName>
      <ability>L2_HalfPunc</ability>
      <abilityName>全半角检查</abilityName>
      <candidateList>
        <item>）</item>
      </candidateList>
      <explain>文本全半角错误。</explain>
      <paraID>  2AC0FC</paraID>
      <start>2</start>
      <end>3</end>
      <status>unmodified</status>
      <modifiedWord/>
      <trackRevisions>false</trackRevisions>
    </reviewItem>
    <reviewItem>
      <errorID>6ba89e5e-486d-4daa-b002-81d09b2588b7</errorID>
      <errorWord>的的</errorWord>
      <group>L1_Word</group>
      <groupName>字词问题</groupName>
      <ability>L2_Typo</ability>
      <abilityName>字词错误</abilityName>
      <candidateList>
        <item>的</item>
      </candidateList>
      <explain>“的”常用于连接修饰语与名词性中心语，表示属性、所属或描述。</explain>
      <paraID>7791DEBF</paraID>
      <start>5</start>
      <end>7</end>
      <status>unmodified</status>
      <modifiedWord/>
      <trackRevisions>false</trackRevisions>
    </reviewItem>
    <reviewItem>
      <errorID>0a27ae23-c303-4158-8c37-cbbb366b46fd</errorID>
      <errorWord>(</errorWord>
      <group>L1_Format</group>
      <groupName>格式问题</groupName>
      <ability>L2_HalfPunc</ability>
      <abilityName>全半角检查</abilityName>
      <candidateList>
        <item>（</item>
      </candidateList>
      <explain>文本全半角错误。</explain>
      <paraID>7791DEBF</paraID>
      <start>42</start>
      <end>43</end>
      <status>unmodified</status>
      <modifiedWord/>
      <trackRevisions>false</trackRevisions>
    </reviewItem>
    <reviewItem>
      <errorID>79d0694a-639d-4739-95e2-60cf6c20a38b</errorID>
      <errorWord>)</errorWord>
      <group>L1_Format</group>
      <groupName>格式问题</groupName>
      <ability>L2_HalfPunc</ability>
      <abilityName>全半角检查</abilityName>
      <candidateList>
        <item>）</item>
      </candidateList>
      <explain>文本全半角错误。</explain>
      <paraID>7791DEBF</paraID>
      <start>48</start>
      <end>49</end>
      <status>unmodified</status>
      <modifiedWord/>
      <trackRevisions>false</trackRevisions>
    </reviewItem>
    <reviewItem>
      <errorID>b485302a-ec37-4331-a468-cce04eca29d9</errorID>
      <errorWord>[2026]</errorWord>
      <group>L1_Punc</group>
      <groupName>标点问题</groupName>
      <ability>L2_Punc</ability>
      <abilityName>标点符号检查</abilityName>
      <candidateList>
        <item>〔2026〕</item>
      </candidateList>
      <explain/>
      <paraID>58F4DF12</paraID>
      <start>210</start>
      <end>216</end>
      <status>unmodified</status>
      <modifiedWord/>
      <trackRevisions>false</trackRevisions>
    </reviewItem>
    <reviewItem>
      <errorID>44757e8a-2d58-4b0b-8652-0b78f2d5589e</errorID>
      <errorWord>建设项目环境保护管理规定</errorWord>
      <group>L1_Knowledge</group>
      <groupName>知识性问题</groupName>
      <ability>L2_Knowledge</ability>
      <abilityName>其他知识</abilityName>
      <candidateList>
        <item>建设项目环境保护管理条例</item>
      </candidateList>
      <explain>当前法律法规未收录或尚未生效，注意核查是否正确。</explain>
      <paraID>401937A3</paraID>
      <start>3</start>
      <end>15</end>
      <status>unmodified</status>
      <modifiedWord/>
      <trackRevisions>false</trackRevisions>
    </reviewItem>
    <reviewItem>
      <errorID>62d7fe30-a9a0-492e-99a9-008f911db9de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401937A3</paraID>
      <start>15</start>
      <end>18</end>
      <status>unmodified</status>
      <modifiedWord/>
      <trackRevisions>false</trackRevisions>
    </reviewItem>
    <reviewItem>
      <errorID>836b415d-b903-4e58-9f3d-24470c39ce47</errorID>
      <errorWord>-</errorWord>
      <group>L1_Format</group>
      <groupName>格式问题</groupName>
      <ability>L2_HalfPunc</ability>
      <abilityName>全半角检查</abilityName>
      <candidateList>
        <item>－</item>
      </candidateList>
      <explain>文本全半角错误。</explain>
      <paraID>401937A3</paraID>
      <start>65</start>
      <end>66</end>
      <status>unmodified</status>
      <modifiedWord/>
      <trackRevisions>false</trackRevisions>
    </reviewItem>
    <reviewItem>
      <errorID>4a1d56ee-c806-4844-ab68-c9990314cf00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30599D63</paraID>
      <start>131</start>
      <end>134</end>
      <status>unmodified</status>
      <modifiedWord/>
      <trackRevisions>false</trackRevisions>
    </reviewItem>
    <reviewItem>
      <errorID>3ff4aa70-e904-4a41-90bc-68c503c3d706</errorID>
      <errorWord>(</errorWord>
      <group>L1_Format</group>
      <groupName>格式问题</groupName>
      <ability>L2_HalfPunc</ability>
      <abilityName>全半角检查</abilityName>
      <candidateList>
        <item>（</item>
      </candidateList>
      <explain>文本全半角错误。</explain>
      <paraID>37954293</paraID>
      <start>14</start>
      <end>15</end>
      <status>unmodified</status>
      <modifiedWord/>
      <trackRevisions>false</trackRevisions>
    </reviewItem>
    <reviewItem>
      <errorID>22a03810-495c-4a30-b73c-e7a853a2ea7a</errorID>
      <errorWord>)</errorWord>
      <group>L1_Format</group>
      <groupName>格式问题</groupName>
      <ability>L2_HalfPunc</ability>
      <abilityName>全半角检查</abilityName>
      <candidateList>
        <item>）</item>
      </candidateList>
      <explain>文本全半角错误。</explain>
      <paraID>37954293</paraID>
      <start>19</start>
      <end>20</end>
      <status>unmodified</status>
      <modifiedWord/>
      <trackRevisions>false</trackRevisions>
    </reviewItem>
    <reviewItem>
      <errorID>97f5d89c-bd89-4e8f-b2b5-fc20e44b8b31</errorID>
      <errorWord>位于位于</errorWord>
      <group>L1_Word</group>
      <groupName>字词问题</groupName>
      <ability>L2_Typo</ability>
      <abilityName>字词错误</abilityName>
      <candidateList>
        <item>位于</item>
      </candidateList>
      <explain/>
      <paraID>58AB236D</paraID>
      <start>4</start>
      <end>8</end>
      <status>unmodified</status>
      <modifiedWord/>
      <trackRevisions>false</trackRevisions>
    </reviewItem>
    <reviewItem>
      <errorID>fea57e99-059c-428a-a90f-31a86dfac6cc</errorID>
      <errorWord>是</errorWord>
      <group>L1_Word</group>
      <groupName>字词问题</groupName>
      <ability>L2_Typo</ability>
      <abilityName>字词错误</abilityName>
      <candidateList>
        <item>时</item>
      </candidateList>
      <explain>存在发音相同字词的误用。</explain>
      <paraID>6D445471</paraID>
      <start>15</start>
      <end>16</end>
      <status>unmodified</status>
      <modifiedWord/>
      <trackRevisions>false</trackRevisions>
    </reviewItem>
    <reviewItem>
      <errorID>b3344af6-389e-4327-9f52-d919bd216125</errorID>
      <errorWord>(</errorWord>
      <group>L1_Format</group>
      <groupName>格式问题</groupName>
      <ability>L2_HalfPunc</ability>
      <abilityName>全半角检查</abilityName>
      <candidateList>
        <item>（</item>
      </candidateList>
      <explain>文本全半角错误。</explain>
      <paraID>7EE4216A</paraID>
      <start>19</start>
      <end>20</end>
      <status>unmodified</status>
      <modifiedWord/>
      <trackRevisions>false</trackRevisions>
    </reviewItem>
    <reviewItem>
      <errorID>4d71f204-c46a-49ee-8437-9a8d394b2b4c</errorID>
      <errorWord>)</errorWord>
      <group>L1_Format</group>
      <groupName>格式问题</groupName>
      <ability>L2_HalfPunc</ability>
      <abilityName>全半角检查</abilityName>
      <candidateList>
        <item>）</item>
      </candidateList>
      <explain>文本全半角错误。</explain>
      <paraID>7EE4216A</paraID>
      <start>25</start>
      <end>26</end>
      <status>unmodified</status>
      <modifiedWord/>
      <trackRevisions>false</trackRevisions>
    </reviewItem>
    <reviewItem>
      <errorID>760c1dad-2b1c-4f26-a8a7-4e86a929e8d3</errorID>
      <errorWord>详</errorWord>
      <group>L1_Word</group>
      <groupName>字词问题</groupName>
      <ability>L2_Typo</ability>
      <abilityName>字词错误</abilityName>
      <candidateList>
        <item>祥</item>
      </candidateList>
      <explain>存在发音相同字词的误用。</explain>
      <paraID> D0B5A49</paraID>
      <start>27</start>
      <end>28</end>
      <status>unmodified</status>
      <modifiedWord/>
      <trackRevisions>false</trackRevisions>
    </reviewItem>
    <reviewItem>
      <errorID>0c83df5c-4160-44f0-9ce1-1412ac7db9fc</errorID>
      <errorWord>(</errorWord>
      <group>L1_Format</group>
      <groupName>格式问题</groupName>
      <ability>L2_HalfPunc</ability>
      <abilityName>全半角检查</abilityName>
      <candidateList>
        <item>（</item>
      </candidateList>
      <explain>文本全半角错误。</explain>
      <paraID>44F07073</paraID>
      <start>45</start>
      <end>46</end>
      <status>unmodified</status>
      <modifiedWord/>
      <trackRevisions>false</trackRevisions>
    </reviewItem>
    <reviewItem>
      <errorID>a141b89b-d8be-4e6d-b210-ca5e67216802</errorID>
      <errorWord>)</errorWord>
      <group>L1_Format</group>
      <groupName>格式问题</groupName>
      <ability>L2_HalfPunc</ability>
      <abilityName>全半角检查</abilityName>
      <candidateList>
        <item>）</item>
      </candidateList>
      <explain>文本全半角错误。</explain>
      <paraID>44F07073</paraID>
      <start>48</start>
      <end>49</end>
      <status>unmodified</status>
      <modifiedWord/>
      <trackRevisions>false</trackRevisions>
    </reviewItem>
    <reviewItem>
      <errorID>e58be524-f4fa-4c7c-a566-9369bc57107a</errorID>
      <errorWord>详</errorWord>
      <group>L1_Word</group>
      <groupName>字词问题</groupName>
      <ability>L2_Typo</ability>
      <abilityName>字词错误</abilityName>
      <candidateList>
        <item>祥</item>
      </candidateList>
      <explain>存在发音相同字词的误用。</explain>
      <paraID>44F07073</paraID>
      <start>72</start>
      <end>73</end>
      <status>unmodified</status>
      <modifiedWord/>
      <trackRevisions>false</trackRevisions>
    </reviewItem>
    <reviewItem>
      <errorID>f8895d04-b5ad-4bb6-8471-b5dd61b74ccc</errorID>
      <errorWord>是</errorWord>
      <group>L1_Word</group>
      <groupName>字词问题</groupName>
      <ability>L2_Typo</ability>
      <abilityName>字词错误</abilityName>
      <candidateList>
        <item>时</item>
      </candidateList>
      <explain>存在发音相同字词的误用。</explain>
      <paraID>360190AD</paraID>
      <start>15</start>
      <end>16</end>
      <status>unmodified</status>
      <modifiedWord/>
      <trackRevisions>false</trackRevisions>
    </reviewItem>
    <reviewItem>
      <errorID>525d3d5c-8ba0-4505-aaf4-c9fd7ee8baeb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83C770E</paraID>
      <start>37</start>
      <end>38</end>
      <status>unmodified</status>
      <modifiedWord/>
      <trackRevisions>false</trackRevisions>
    </reviewItem>
    <reviewItem>
      <errorID>ae294f3a-5f24-4fd7-abc4-6dc6a4f9b2bf</errorID>
      <errorWord>(</errorWord>
      <group>L1_Format</group>
      <groupName>格式问题</groupName>
      <ability>L2_HalfPunc</ability>
      <abilityName>全半角检查</abilityName>
      <candidateList>
        <item>（</item>
      </candidateList>
      <explain>文本全半角错误。</explain>
      <paraID>2CC0EC18</paraID>
      <start>118</start>
      <end>119</end>
      <status>unmodified</status>
      <modifiedWord/>
      <trackRevisions>false</trackRevisions>
    </reviewItem>
    <reviewItem>
      <errorID>8d8f599e-3c5c-4582-86c4-354d69aea1ce</errorID>
      <errorWord>)</errorWord>
      <group>L1_Format</group>
      <groupName>格式问题</groupName>
      <ability>L2_HalfPunc</ability>
      <abilityName>全半角检查</abilityName>
      <candidateList>
        <item>）</item>
      </candidateList>
      <explain>文本全半角错误。</explain>
      <paraID>2CC0EC18</paraID>
      <start>131</start>
      <end>132</end>
      <status>unmodified</status>
      <modifiedWord/>
      <trackRevisions>false</trackRevisions>
    </reviewItem>
    <reviewItem>
      <errorID>338e523b-97e6-4996-8848-de6fbbd0cdd0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2CC0EC18</paraID>
      <start>154</start>
      <end>155</end>
      <status>unmodified</status>
      <modifiedWord/>
      <trackRevisions>false</trackRevisions>
    </reviewItem>
    <reviewItem>
      <errorID>0d432d96-4ece-4f9c-a092-12c15bd2ad1c</errorID>
      <errorWord>)</errorWord>
      <group>L1_Format</group>
      <groupName>格式问题</groupName>
      <ability>L2_HalfPunc</ability>
      <abilityName>全半角检查</abilityName>
      <candidateList>
        <item>）</item>
      </candidateList>
      <explain>文本全半角错误。</explain>
      <paraID>55FB83ED</paraID>
      <start>51</start>
      <end>52</end>
      <status>unmodified</status>
      <modifiedWord/>
      <trackRevisions>false</trackRevisions>
    </reviewItem>
    <reviewItem>
      <errorID>01b17596-25d9-4600-9a24-30c409ff2d41</errorID>
      <errorWord>根据监测结果显示</errorWord>
      <group>L1_Grammar</group>
      <groupName>语法问题</groupName>
      <ability>L2_Grammar</ability>
      <abilityName>语法错误</abilityName>
      <candidateList>
        <item>根据监测结果</item>
      </candidateList>
      <explain/>
      <paraID>1953538F</paraID>
      <start>23</start>
      <end>31</end>
      <status>unmodified</status>
      <modifiedWord/>
      <trackRevisions>false</trackRevisions>
    </reviewItem>
    <reviewItem>
      <errorID>8488bbe4-e123-4863-a9f2-f64fc411afe2</errorID>
      <errorWord>(</errorWord>
      <group>L1_Format</group>
      <groupName>格式问题</groupName>
      <ability>L2_HalfPunc</ability>
      <abilityName>全半角检查</abilityName>
      <candidateList>
        <item>（</item>
      </candidateList>
      <explain>文本全半角错误。</explain>
      <paraID>1953538F</paraID>
      <start>65</start>
      <end>66</end>
      <status>unmodified</status>
      <modifiedWord/>
      <trackRevisions>false</trackRevisions>
    </reviewItem>
    <reviewItem>
      <errorID>fee8df6f-d3e3-4bfd-aed7-d32f92d116c9</errorID>
      <errorWord>)</errorWord>
      <group>L1_Format</group>
      <groupName>格式问题</groupName>
      <ability>L2_HalfPunc</ability>
      <abilityName>全半角检查</abilityName>
      <candidateList>
        <item>）</item>
      </candidateList>
      <explain>文本全半角错误。</explain>
      <paraID>1953538F</paraID>
      <start>78</start>
      <end>79</end>
      <status>unmodified</status>
      <modifiedWord/>
      <trackRevisions>false</trackRevisions>
    </reviewItem>
    <reviewItem>
      <errorID>b9847306-280e-4e2c-8e98-a8e11de1b327</errorID>
      <errorWord>（</errorWord>
      <group>L1_Format</group>
      <groupName>格式问题</groupName>
      <ability>L2_HalfPunc</ability>
      <abilityName>全半角检查</abilityName>
      <candidateList>
        <item>(</item>
      </candidateList>
      <explain>文本全半角错误。</explain>
      <paraID>7CFEFC69</paraID>
      <start>0</start>
      <end>1</end>
      <status>unmodified</status>
      <modifiedWord/>
      <trackRevisions>false</trackRevisions>
    </reviewItem>
    <reviewItem>
      <errorID>f3a748b7-f442-46b0-abed-719498391ae5</errorID>
      <errorWord>）</errorWord>
      <group>L1_Format</group>
      <groupName>格式问题</groupName>
      <ability>L2_HalfPunc</ability>
      <abilityName>全半角检查</abilityName>
      <candidateList>
        <item>)</item>
      </candidateList>
      <explain>文本全半角错误。</explain>
      <paraID>7CFEFC69</paraID>
      <start>6</start>
      <end>7</end>
      <status>unmodified</status>
      <modifiedWord/>
      <trackRevisions>false</trackRevisions>
    </reviewItem>
    <reviewItem>
      <errorID>bd274cc0-be0d-4df9-955d-fdb2bc716022</errorID>
      <errorWord>（</errorWord>
      <group>L1_Format</group>
      <groupName>格式问题</groupName>
      <ability>L2_HalfPunc</ability>
      <abilityName>全半角检查</abilityName>
      <candidateList>
        <item>(</item>
      </candidateList>
      <explain>文本全半角错误。</explain>
      <paraID>10FC7ADC</paraID>
      <start>0</start>
      <end>1</end>
      <status>unmodified</status>
      <modifiedWord/>
      <trackRevisions>false</trackRevisions>
    </reviewItem>
    <reviewItem>
      <errorID>75149fda-bc7b-468d-b947-4aa2664130ed</errorID>
      <errorWord>）</errorWord>
      <group>L1_Format</group>
      <groupName>格式问题</groupName>
      <ability>L2_HalfPunc</ability>
      <abilityName>全半角检查</abilityName>
      <candidateList>
        <item>)</item>
      </candidateList>
      <explain>文本全半角错误。</explain>
      <paraID>10FC7ADC</paraID>
      <start>6</start>
      <end>7</end>
      <status>unmodified</status>
      <modifiedWord/>
      <trackRevisions>false</trackRevisions>
    </reviewItem>
    <reviewItem>
      <errorID>22f9cec6-0bac-4746-88e3-a35030f9a408</errorID>
      <errorWord>（</errorWord>
      <group>L1_Format</group>
      <groupName>格式问题</groupName>
      <ability>L2_HalfPunc</ability>
      <abilityName>全半角检查</abilityName>
      <candidateList>
        <item>(</item>
      </candidateList>
      <explain>文本全半角错误。</explain>
      <paraID>511A4B9E</paraID>
      <start>0</start>
      <end>1</end>
      <status>unmodified</status>
      <modifiedWord/>
      <trackRevisions>false</trackRevisions>
    </reviewItem>
    <reviewItem>
      <errorID>3bb72582-4d9c-48e6-b3c7-4470be43839f</errorID>
      <errorWord>）</errorWord>
      <group>L1_Format</group>
      <groupName>格式问题</groupName>
      <ability>L2_HalfPunc</ability>
      <abilityName>全半角检查</abilityName>
      <candidateList>
        <item>)</item>
      </candidateList>
      <explain>文本全半角错误。</explain>
      <paraID>511A4B9E</paraID>
      <start>6</start>
      <end>7</end>
      <status>unmodified</status>
      <modifiedWord/>
      <trackRevisions>false</trackRevisions>
    </reviewItem>
    <reviewItem>
      <errorID>227b4371-0e24-4368-99e5-e7b665767875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10336C96</paraID>
      <start>5</start>
      <end>6</end>
      <status>unmodified</status>
      <modifiedWord/>
      <trackRevisions>false</trackRevisions>
    </reviewItem>
    <reviewItem>
      <errorID>b0e83e99-57c1-42c9-8f9d-944d809d86f2</errorID>
      <errorWord>（</errorWord>
      <group>L1_Format</group>
      <groupName>格式问题</groupName>
      <ability>L2_HalfPunc</ability>
      <abilityName>全半角检查</abilityName>
      <candidateList>
        <item>(</item>
      </candidateList>
      <explain>文本全半角错误。</explain>
      <paraID>4DC18F77</paraID>
      <start>0</start>
      <end>1</end>
      <status>unmodified</status>
      <modifiedWord/>
      <trackRevisions>false</trackRevisions>
    </reviewItem>
    <reviewItem>
      <errorID>641e2bbf-f175-417e-bac2-57d849369f44</errorID>
      <errorWord>）</errorWord>
      <group>L1_Format</group>
      <groupName>格式问题</groupName>
      <ability>L2_HalfPunc</ability>
      <abilityName>全半角检查</abilityName>
      <candidateList>
        <item>)</item>
      </candidateList>
      <explain>文本全半角错误。</explain>
      <paraID>4DC18F77</paraID>
      <start>6</start>
      <end>7</end>
      <status>unmodified</status>
      <modifiedWord/>
      <trackRevisions>false</trackRevisions>
    </reviewItem>
    <reviewItem>
      <errorID>a421ec0a-9676-4562-8e22-08fe7f0e0d1f</errorID>
      <errorWord>（</errorWord>
      <group>L1_Format</group>
      <groupName>格式问题</groupName>
      <ability>L2_HalfPunc</ability>
      <abilityName>全半角检查</abilityName>
      <candidateList>
        <item>(</item>
      </candidateList>
      <explain>文本全半角错误。</explain>
      <paraID>4DE6770A</paraID>
      <start>0</start>
      <end>1</end>
      <status>unmodified</status>
      <modifiedWord/>
      <trackRevisions>false</trackRevisions>
    </reviewItem>
    <reviewItem>
      <errorID>f2b67e37-3c30-4e70-8d80-60ea7c0d30be</errorID>
      <errorWord>）</errorWord>
      <group>L1_Format</group>
      <groupName>格式问题</groupName>
      <ability>L2_HalfPunc</ability>
      <abilityName>全半角检查</abilityName>
      <candidateList>
        <item>)</item>
      </candidateList>
      <explain>文本全半角错误。</explain>
      <paraID>4DE6770A</paraID>
      <start>6</start>
      <end>7</end>
      <status>unmodified</status>
      <modifiedWord/>
      <trackRevisions>false</trackRevisions>
    </reviewItem>
    <reviewItem>
      <errorID>1d7418b7-053f-4de0-bd7f-dc9e3bed260a</errorID>
      <errorWord>（</errorWord>
      <group>L1_Format</group>
      <groupName>格式问题</groupName>
      <ability>L2_HalfPunc</ability>
      <abilityName>全半角检查</abilityName>
      <candidateList>
        <item>(</item>
      </candidateList>
      <explain>文本全半角错误。</explain>
      <paraID>72778ACC</paraID>
      <start>0</start>
      <end>1</end>
      <status>unmodified</status>
      <modifiedWord/>
      <trackRevisions>false</trackRevisions>
    </reviewItem>
    <reviewItem>
      <errorID>79dffb10-4adf-43b5-9419-1550804409af</errorID>
      <errorWord>）</errorWord>
      <group>L1_Format</group>
      <groupName>格式问题</groupName>
      <ability>L2_HalfPunc</ability>
      <abilityName>全半角检查</abilityName>
      <candidateList>
        <item>)</item>
      </candidateList>
      <explain>文本全半角错误。</explain>
      <paraID>72778ACC</paraID>
      <start>6</start>
      <end>7</end>
      <status>unmodified</status>
      <modifiedWord/>
      <trackRevisions>false</trackRevisions>
    </reviewItem>
    <reviewItem>
      <errorID>e39d9bc9-c8fd-4873-ac02-7aa1e4889692</errorID>
      <errorWord>（</errorWord>
      <group>L1_Format</group>
      <groupName>格式问题</groupName>
      <ability>L2_HalfPunc</ability>
      <abilityName>全半角检查</abilityName>
      <candidateList>
        <item>(</item>
      </candidateList>
      <explain>文本全半角错误。</explain>
      <paraID>1DA4406F</paraID>
      <start>0</start>
      <end>1</end>
      <status>unmodified</status>
      <modifiedWord/>
      <trackRevisions>false</trackRevisions>
    </reviewItem>
    <reviewItem>
      <errorID>de2273f3-7f5f-4983-a374-bdcb8cb8c2a9</errorID>
      <errorWord>）</errorWord>
      <group>L1_Format</group>
      <groupName>格式问题</groupName>
      <ability>L2_HalfPunc</ability>
      <abilityName>全半角检查</abilityName>
      <candidateList>
        <item>)</item>
      </candidateList>
      <explain>文本全半角错误。</explain>
      <paraID>1DA4406F</paraID>
      <start>6</start>
      <end>7</end>
      <status>unmodified</status>
      <modifiedWord/>
      <trackRevisions>false</trackRevisions>
    </reviewItem>
    <reviewItem>
      <errorID>7fba8e5f-0bff-4e45-9ab2-90e201f4a73e</errorID>
      <errorWord>(</errorWord>
      <group>L1_Format</group>
      <groupName>格式问题</groupName>
      <ability>L2_HalfPunc</ability>
      <abilityName>全半角检查</abilityName>
      <candidateList>
        <item>（</item>
      </candidateList>
      <explain>文本全半角错误。</explain>
      <paraID>1422C1BE</paraID>
      <start>81</start>
      <end>82</end>
      <status>unmodified</status>
      <modifiedWord/>
      <trackRevisions>false</trackRevisions>
    </reviewItem>
    <reviewItem>
      <errorID>0170bffa-d9f5-445a-8152-ceea451207ec</errorID>
      <errorWord>)</errorWord>
      <group>L1_Format</group>
      <groupName>格式问题</groupName>
      <ability>L2_HalfPunc</ability>
      <abilityName>全半角检查</abilityName>
      <candidateList>
        <item>）</item>
      </candidateList>
      <explain>文本全半角错误。</explain>
      <paraID>1422C1BE</paraID>
      <start>96</start>
      <end>97</end>
      <status>unmodified</status>
      <modifiedWord/>
      <trackRevisions>false</trackRevisions>
    </reviewItem>
    <reviewItem>
      <errorID>36f3041f-77d5-4baf-bc11-e21ba69cd18c</errorID>
      <errorWord>[2014]30号</errorWord>
      <group>L1_Knowledge</group>
      <groupName>知识性问题</groupName>
      <ability>L2_Knowledge</ability>
      <abilityName>其他知识</abilityName>
      <candidateList>
        <item>〔2014〕30号</item>
      </candidateList>
      <explain>发文字号格式错误。</explain>
      <paraID> 729CC56</paraID>
      <start>12</start>
      <end>21</end>
      <status>unmodified</status>
      <modifiedWord/>
      <trackRevisions>false</trackRevisions>
    </reviewItem>
    <reviewItem>
      <errorID>3d3b67d0-69b2-494d-a9d2-05160ba62374</errorID>
      <errorWord>[2006]133号</errorWord>
      <group>L1_Knowledge</group>
      <groupName>知识性问题</groupName>
      <ability>L2_Knowledge</ability>
      <abilityName>其他知识</abilityName>
      <candidateList>
        <item>〔2006〕133号</item>
      </candidateList>
      <explain>发文字号格式错误。</explain>
      <paraID>17513352</paraID>
      <start>30</start>
      <end>40</end>
      <status>unmodified</status>
      <modifiedWord/>
      <trackRevisions>false</trackRevisions>
    </reviewItem>
    <reviewItem>
      <errorID>1e3608a7-5167-4660-9741-119acb537bf0</errorID>
      <errorWord>-</errorWord>
      <group>L1_Format</group>
      <groupName>格式问题</groupName>
      <ability>L2_HalfPunc</ability>
      <abilityName>全半角检查</abilityName>
      <candidateList>
        <item>－</item>
      </candidateList>
      <explain>文本全半角错误。</explain>
      <paraID>17513352</paraID>
      <start>63</start>
      <end>64</end>
      <status>unmodified</status>
      <modifiedWord/>
      <trackRevisions>false</trackRevisions>
    </reviewItem>
    <reviewItem>
      <errorID>fb0357b0-a610-4437-ac17-d068a119f373</errorID>
      <errorWord>)</errorWord>
      <group>L1_Format</group>
      <groupName>格式问题</groupName>
      <ability>L2_HalfPunc</ability>
      <abilityName>全半角检查</abilityName>
      <candidateList>
        <item>）</item>
      </candidateList>
      <explain>文本全半角错误。</explain>
      <paraID>64CCE466</paraID>
      <start>47</start>
      <end>48</end>
      <status>unmodified</status>
      <modifiedWord/>
      <trackRevisions>false</trackRevisions>
    </reviewItem>
    <reviewItem>
      <errorID>2ec1b9ba-3b83-478e-bb60-16c36812d87a</errorID>
      <errorWord>～</errorWord>
      <group>L1_Format</group>
      <groupName>格式问题</groupName>
      <ability>L2_HalfPunc</ability>
      <abilityName>全半角检查</abilityName>
      <candidateList>
        <item>~</item>
      </candidateList>
      <explain>文本全半角错误。</explain>
      <paraID> 16C73A4</paraID>
      <start>1</start>
      <end>2</end>
      <status>unmodified</status>
      <modifiedWord/>
      <trackRevisions>false</trackRevisions>
    </reviewItem>
    <reviewItem>
      <errorID>1f3e7bea-4396-450b-9d28-3811785e05ea</errorID>
      <errorWord>根据福州市人民政府网站发布显示</errorWord>
      <group>L1_Grammar</group>
      <groupName>语法问题</groupName>
      <ability>L2_Grammar</ability>
      <abilityName>语法错误</abilityName>
      <candidateList>
        <item>根据福州市人民政府网站发布</item>
      </candidateList>
      <explain/>
      <paraID>4270A968</paraID>
      <start>16</start>
      <end>31</end>
      <status>unmodified</status>
      <modifiedWord/>
      <trackRevisions>false</trackRevisions>
    </reviewItem>
    <reviewItem>
      <errorID>20ad14f9-4da4-43c9-be77-8898ae629d06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4270A968</paraID>
      <start>38</start>
      <end>39</end>
      <status>unmodified</status>
      <modifiedWord/>
      <trackRevisions>false</trackRevisions>
    </reviewItem>
    <reviewItem>
      <errorID>fdf3fcf4-5da5-476a-a317-6acf2393265c</errorID>
      <errorWord>进</errorWord>
      <group>L1_Word</group>
      <groupName>字词问题</groupName>
      <ability>L2_Typo</ability>
      <abilityName>字词错误</abilityName>
      <candidateList>
        <item>进入</item>
      </candidateList>
      <explain>〈动〉支进到某个范围或某个时期里：～学校｜～新阶段◇～角色。</explain>
      <paraID>21221F20</paraID>
      <start>37</start>
      <end>38</end>
      <status>unmodified</status>
      <modifiedWord/>
      <trackRevisions>false</trackRevisions>
    </reviewItem>
    <reviewItem>
      <errorID>f7adf324-974a-453c-bc57-63df33172e68</errorID>
      <errorWord>(</errorWord>
      <group>L1_Punc</group>
      <groupName>标点问题</groupName>
      <ability>L2_Punc</ability>
      <abilityName>标点符号检查</abilityName>
      <candidateList/>
      <explain>同一形式括号套用。</explain>
      <paraID>1F802A28</paraID>
      <start>10</start>
      <end>11</end>
      <status>unmodified</status>
      <modifiedWord/>
      <trackRevisions>false</trackRevisions>
    </reviewItem>
    <reviewItem>
      <errorID>362dcdfb-1f65-4b39-87d7-405d907e4918</errorID>
      <errorWord>)</errorWord>
      <group>L1_Punc</group>
      <groupName>标点问题</groupName>
      <ability>L2_Punc</ability>
      <abilityName>标点符号检查</abilityName>
      <candidateList/>
      <explain>同一形式括号套用。</explain>
      <paraID>1F802A28</paraID>
      <start>12</start>
      <end>13</end>
      <status>unmodified</status>
      <modifiedWord/>
      <trackRevisions>false</trackRevisions>
    </reviewItem>
    <reviewItem>
      <errorID>0c40126a-fa28-41e9-b1d8-2a680dd5d4f1</errorID>
      <errorWord>周边为</errorWord>
      <group>L1_Word</group>
      <groupName>字词问题</groupName>
      <ability>L2_Typo</ability>
      <abilityName>字词错误</abilityName>
      <candidateList>
        <item>周边</item>
      </candidateList>
      <explain/>
      <paraID>1B181674</paraID>
      <start>29</start>
      <end>32</end>
      <status>unmodified</status>
      <modifiedWord/>
      <trackRevisions>false</trackRevisions>
    </reviewItem>
    <reviewItem>
      <errorID>6387ee4c-261d-4532-ab84-1ae3b06097e0</errorID>
      <errorWord>(</errorWord>
      <group>L1_Format</group>
      <groupName>格式问题</groupName>
      <ability>L2_HalfPunc</ability>
      <abilityName>全半角检查</abilityName>
      <candidateList>
        <item>（</item>
      </candidateList>
      <explain>文本全半角错误。</explain>
      <paraID>530D8EB8</paraID>
      <start>20</start>
      <end>21</end>
      <status>unmodified</status>
      <modifiedWord/>
      <trackRevisions>false</trackRevisions>
    </reviewItem>
    <reviewItem>
      <errorID>77725c52-874d-4e3a-b77c-d61c4aa3f3b4</errorID>
      <errorWord>)</errorWord>
      <group>L1_Format</group>
      <groupName>格式问题</groupName>
      <ability>L2_HalfPunc</ability>
      <abilityName>全半角检查</abilityName>
      <candidateList>
        <item>）</item>
      </candidateList>
      <explain>文本全半角错误。</explain>
      <paraID>530D8EB8</paraID>
      <start>26</start>
      <end>27</end>
      <status>unmodified</status>
      <modifiedWord/>
      <trackRevisions>false</trackRevisions>
    </reviewItem>
    <reviewItem>
      <errorID>ba8e4d9a-bace-442e-92df-c27425c11480</errorID>
      <errorWord>)</errorWord>
      <group>L1_Format</group>
      <groupName>格式问题</groupName>
      <ability>L2_HalfPunc</ability>
      <abilityName>全半角检查</abilityName>
      <candidateList>
        <item>）</item>
      </candidateList>
      <explain>文本全半角错误。</explain>
      <paraID>530D8EB8</paraID>
      <start>30</start>
      <end>31</end>
      <status>unmodified</status>
      <modifiedWord/>
      <trackRevisions>false</trackRevisions>
    </reviewItem>
    <reviewItem>
      <errorID>e742e29c-c397-4626-ae78-48a1fe737edf</errorID>
      <errorWord>(</errorWord>
      <group>L1_Format</group>
      <groupName>格式问题</groupName>
      <ability>L2_HalfPunc</ability>
      <abilityName>全半角检查</abilityName>
      <candidateList>
        <item>（</item>
      </candidateList>
      <explain>文本全半角错误。</explain>
      <paraID>530D8EB8</paraID>
      <start>32</start>
      <end>33</end>
      <status>unmodified</status>
      <modifiedWord/>
      <trackRevisions>false</trackRevisions>
    </reviewItem>
    <reviewItem>
      <errorID>44bf418f-ff62-4ddd-b4c1-6ad8a5087b89</errorID>
      <errorWord>)</errorWord>
      <group>L1_Format</group>
      <groupName>格式问题</groupName>
      <ability>L2_HalfPunc</ability>
      <abilityName>全半角检查</abilityName>
      <candidateList>
        <item>）</item>
      </candidateList>
      <explain>文本全半角错误。</explain>
      <paraID>530D8EB8</paraID>
      <start>46</start>
      <end>47</end>
      <status>unmodified</status>
      <modifiedWord/>
      <trackRevisions>false</trackRevisions>
    </reviewItem>
    <reviewItem>
      <errorID>52df7ad4-d0bf-4bf0-aa7a-85d3dac2a961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530D8EB8</paraID>
      <start>50</start>
      <end>51</end>
      <status>unmodified</status>
      <modifiedWord/>
      <trackRevisions>false</trackRevisions>
    </reviewItem>
    <reviewItem>
      <errorID>007b44ef-2b80-4f7b-999d-f0400d899301</errorID>
      <errorWord>(</errorWord>
      <group>L1_Format</group>
      <groupName>格式问题</groupName>
      <ability>L2_HalfPunc</ability>
      <abilityName>全半角检查</abilityName>
      <candidateList>
        <item>（</item>
      </candidateList>
      <explain>文本全半角错误。</explain>
      <paraID> ABFB437</paraID>
      <start>109</start>
      <end>110</end>
      <status>unmodified</status>
      <modifiedWord/>
      <trackRevisions>false</trackRevisions>
    </reviewItem>
    <reviewItem>
      <errorID>a6c189fa-fbac-485e-b15a-1f59404b62f0</errorID>
      <errorWord>)</errorWord>
      <group>L1_Format</group>
      <groupName>格式问题</groupName>
      <ability>L2_HalfPunc</ability>
      <abilityName>全半角检查</abilityName>
      <candidateList>
        <item>）</item>
      </candidateList>
      <explain>文本全半角错误。</explain>
      <paraID> ABFB437</paraID>
      <start>122</start>
      <end>123</end>
      <status>unmodified</status>
      <modifiedWord/>
      <trackRevisions>false</trackRevisions>
    </reviewItem>
    <reviewItem>
      <errorID>be839786-0ef8-41ec-a203-354b1aefe57e</errorID>
      <errorWord>（</errorWord>
      <group>L1_Format</group>
      <groupName>格式问题</groupName>
      <ability>L2_HalfPunc</ability>
      <abilityName>全半角检查</abilityName>
      <candidateList>
        <item>(</item>
      </candidateList>
      <explain>文本全半角错误。</explain>
      <paraID>5AC58349</paraID>
      <start>0</start>
      <end>1</end>
      <status>unmodified</status>
      <modifiedWord/>
      <trackRevisions>false</trackRevisions>
    </reviewItem>
    <reviewItem>
      <errorID>4f190e9d-d009-48c2-99ff-195335633d7e</errorID>
      <errorWord>）</errorWord>
      <group>L1_Format</group>
      <groupName>格式问题</groupName>
      <ability>L2_HalfPunc</ability>
      <abilityName>全半角检查</abilityName>
      <candidateList>
        <item>)</item>
      </candidateList>
      <explain>文本全半角错误。</explain>
      <paraID>5AC58349</paraID>
      <start>3</start>
      <end>4</end>
      <status>unmodified</status>
      <modifiedWord/>
      <trackRevisions>false</trackRevisions>
    </reviewItem>
    <reviewItem>
      <errorID>28a50220-0618-4ed6-b3f2-2be96e3c09ed</errorID>
      <errorWord>（</errorWord>
      <group>L1_Format</group>
      <groupName>格式问题</groupName>
      <ability>L2_HalfPunc</ability>
      <abilityName>全半角检查</abilityName>
      <candidateList>
        <item>(</item>
      </candidateList>
      <explain>文本全半角错误。</explain>
      <paraID>17A9F305</paraID>
      <start>2</start>
      <end>3</end>
      <status>unmodified</status>
      <modifiedWord/>
      <trackRevisions>false</trackRevisions>
    </reviewItem>
    <reviewItem>
      <errorID>68da1a7c-ff93-456e-9a32-b14e350bb010</errorID>
      <errorWord>）</errorWord>
      <group>L1_Format</group>
      <groupName>格式问题</groupName>
      <ability>L2_HalfPunc</ability>
      <abilityName>全半角检查</abilityName>
      <candidateList>
        <item>)</item>
      </candidateList>
      <explain>文本全半角错误。</explain>
      <paraID>17A9F305</paraID>
      <start>4</start>
      <end>5</end>
      <status>unmodified</status>
      <modifiedWord/>
      <trackRevisions>false</trackRevisions>
    </reviewItem>
    <reviewItem>
      <errorID>81a9763a-87cf-4d10-b8ab-63832f3fa691</errorID>
      <errorWord>固废废物污染</errorWord>
      <group>L1_Knowledge</group>
      <groupName>知识性问题</groupName>
      <ability>L2_Term</ability>
      <abilityName>专业术语</abilityName>
      <candidateList>
        <item>固体废物污染</item>
      </candidateList>
      <explain/>
      <paraID>76011B2E</paraID>
      <start>5</start>
      <end>11</end>
      <status>unmodified</status>
      <modifiedWord/>
      <trackRevisions>false</trackRevisions>
    </reviewItem>
    <reviewItem>
      <errorID>ee9a8fb4-c860-4bcd-907f-8edfd2371b1f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45F49DFE</paraID>
      <start>116</start>
      <end>119</end>
      <status>unmodified</status>
      <modifiedWord/>
      <trackRevisions>false</trackRevisions>
    </reviewItem>
    <reviewItem>
      <errorID>2c6ae96e-bd76-407b-aa0c-7231ba851054</errorID>
      <errorWord>-</errorWord>
      <group>L1_Format</group>
      <groupName>格式问题</groupName>
      <ability>L2_HalfPunc</ability>
      <abilityName>全半角检查</abilityName>
      <candidateList>
        <item>－</item>
      </candidateList>
      <explain>文本全半角错误。</explain>
      <paraID>1A69D1DB</paraID>
      <start>2</start>
      <end>3</end>
      <status>unmodified</status>
      <modifiedWord/>
      <trackRevisions>false</trackRevisions>
    </reviewItem>
    <reviewItem>
      <errorID>009071bc-e6d5-4327-8ba7-5cfead70fbb8</errorID>
      <errorWord>-</errorWord>
      <group>L1_Format</group>
      <groupName>格式问题</groupName>
      <ability>L2_HalfPunc</ability>
      <abilityName>全半角检查</abilityName>
      <candidateList>
        <item>－</item>
      </candidateList>
      <explain>文本全半角错误。</explain>
      <paraID>1A69D1DB</paraID>
      <start>5</start>
      <end>6</end>
      <status>unmodified</status>
      <modifiedWord/>
      <trackRevisions>false</trackRevisions>
    </reviewItem>
    <reviewItem>
      <errorID>629d99d7-4aaa-46f2-ae38-c20032270bca</errorID>
      <errorWord>-</errorWord>
      <group>L1_Format</group>
      <groupName>格式问题</groupName>
      <ability>L2_HalfPunc</ability>
      <abilityName>全半角检查</abilityName>
      <candidateList>
        <item>－</item>
      </candidateList>
      <explain>文本全半角错误。</explain>
      <paraID>609C9A33</paraID>
      <start>4</start>
      <end>5</end>
      <status>unmodified</status>
      <modifiedWord/>
      <trackRevisions>false</trackRevisions>
    </reviewItem>
    <reviewItem>
      <errorID>5cb2be2c-308b-4f3c-8e72-028f0b44a849</errorID>
      <errorWord>(</errorWord>
      <group>L1_Format</group>
      <groupName>格式问题</groupName>
      <ability>L2_HalfPunc</ability>
      <abilityName>全半角检查</abilityName>
      <candidateList>
        <item>（</item>
      </candidateList>
      <explain>文本全半角错误。</explain>
      <paraID>49210AF8</paraID>
      <start>3</start>
      <end>4</end>
      <status>unmodified</status>
      <modifiedWord/>
      <trackRevisions>false</trackRevisions>
    </reviewItem>
    <reviewItem>
      <errorID>fa188a71-16cf-4538-aace-be0801e90f39</errorID>
      <errorWord>)</errorWord>
      <group>L1_Format</group>
      <groupName>格式问题</groupName>
      <ability>L2_HalfPunc</ability>
      <abilityName>全半角检查</abilityName>
      <candidateList>
        <item>）</item>
      </candidateList>
      <explain>文本全半角错误。</explain>
      <paraID>49210AF8</paraID>
      <start>9</start>
      <end>10</end>
      <status>unmodified</status>
      <modifiedWord/>
      <trackRevisions>false</trackRevisions>
    </reviewItem>
    <reviewItem>
      <errorID>ba5af48e-4e28-4591-b9b5-4eb5a1ef781d</errorID>
      <errorWord>粒装</errorWord>
      <group>L1_Word</group>
      <groupName>字词问题</groupName>
      <ability>L2_Typo</ability>
      <abilityName>字词错误</abilityName>
      <candidateList>
        <item>粒状</item>
      </candidateList>
      <explain/>
      <paraID>5C3000ED</paraID>
      <start>22</start>
      <end>24</end>
      <status>unmodified</status>
      <modifiedWord/>
      <trackRevisions>false</trackRevisions>
    </reviewItem>
    <reviewItem>
      <errorID>f68978b7-4be4-41c5-81d1-003d175bc547</errorID>
      <errorWord>-</errorWord>
      <group>L1_Format</group>
      <groupName>格式问题</groupName>
      <ability>L2_HalfPunc</ability>
      <abilityName>全半角检查</abilityName>
      <candidateList>
        <item>－</item>
      </candidateList>
      <explain>文本全半角错误。</explain>
      <paraID>6D6C2D2C</paraID>
      <start>2</start>
      <end>3</end>
      <status>unmodified</status>
      <modifiedWord/>
      <trackRevisions>false</trackRevisions>
    </reviewItem>
    <reviewItem>
      <errorID>56569602-ed43-48aa-bf1d-b1d85661c7fd</errorID>
      <errorWord>-</errorWord>
      <group>L1_Format</group>
      <groupName>格式问题</groupName>
      <ability>L2_HalfPunc</ability>
      <abilityName>全半角检查</abilityName>
      <candidateList>
        <item>－</item>
      </candidateList>
      <explain>文本全半角错误。</explain>
      <paraID>6D6C2D2C</paraID>
      <start>5</start>
      <end>6</end>
      <status>unmodified</status>
      <modifiedWord/>
      <trackRevisions>false</trackRevisions>
    </reviewItem>
    <reviewItem>
      <errorID>d2ed4f71-24a8-4bdf-9f9d-787c5ee4d891</errorID>
      <errorWord>-</errorWord>
      <group>L1_Format</group>
      <groupName>格式问题</groupName>
      <ability>L2_HalfPunc</ability>
      <abilityName>全半角检查</abilityName>
      <candidateList>
        <item>－</item>
      </candidateList>
      <explain>文本全半角错误。</explain>
      <paraID>3E1AF918</paraID>
      <start>4</start>
      <end>5</end>
      <status>unmodified</status>
      <modifiedWord/>
      <trackRevisions>false</trackRevisions>
    </reviewItem>
    <reviewItem>
      <errorID>19b4cef4-caa6-4592-b883-0a2118aeeddd</errorID>
      <errorWord>边脚料</errorWord>
      <group>L1_Word</group>
      <groupName>字词问题</groupName>
      <ability>L2_Typo</ability>
      <abilityName>字词错误</abilityName>
      <candidateList>
        <item>边角料</item>
      </candidateList>
      <explain/>
      <paraID>72E3F9B8</paraID>
      <start>12</start>
      <end>15</end>
      <status>unmodified</status>
      <modifiedWord/>
      <trackRevisions>false</trackRevisions>
    </reviewItem>
    <reviewItem>
      <errorID>4c2d5598-0aac-4e50-8bec-95cba63aeea3</errorID>
      <errorWord>-</errorWord>
      <group>L1_Format</group>
      <groupName>格式问题</groupName>
      <ability>L2_HalfPunc</ability>
      <abilityName>全半角检查</abilityName>
      <candidateList>
        <item>－</item>
      </candidateList>
      <explain>文本全半角错误。</explain>
      <paraID> 164B9ED</paraID>
      <start>2</start>
      <end>3</end>
      <status>unmodified</status>
      <modifiedWord/>
      <trackRevisions>false</trackRevisions>
    </reviewItem>
    <reviewItem>
      <errorID>0c25afb9-d57b-409a-88dc-41b2c50ae5dd</errorID>
      <errorWord>-</errorWord>
      <group>L1_Format</group>
      <groupName>格式问题</groupName>
      <ability>L2_HalfPunc</ability>
      <abilityName>全半角检查</abilityName>
      <candidateList>
        <item>－</item>
      </candidateList>
      <explain>文本全半角错误。</explain>
      <paraID> 164B9ED</paraID>
      <start>5</start>
      <end>6</end>
      <status>unmodified</status>
      <modifiedWord/>
      <trackRevisions>false</trackRevisions>
    </reviewItem>
    <reviewItem>
      <errorID>df409f0e-26d3-449f-b15b-2bb0e60d3086</errorID>
      <errorWord>-</errorWord>
      <group>L1_Format</group>
      <groupName>格式问题</groupName>
      <ability>L2_HalfPunc</ability>
      <abilityName>全半角检查</abilityName>
      <candidateList>
        <item>－</item>
      </candidateList>
      <explain>文本全半角错误。</explain>
      <paraID>5294D26D</paraID>
      <start>4</start>
      <end>5</end>
      <status>unmodified</status>
      <modifiedWord/>
      <trackRevisions>false</trackRevisions>
    </reviewItem>
    <reviewItem>
      <errorID>137275b1-707a-450a-94ca-0a2ab598793a</errorID>
      <errorWord>边脚料</errorWord>
      <group>L1_Word</group>
      <groupName>字词问题</groupName>
      <ability>L2_Typo</ability>
      <abilityName>字词错误</abilityName>
      <candidateList>
        <item>边角料</item>
      </candidateList>
      <explain/>
      <paraID> EEF97F3</paraID>
      <start>8</start>
      <end>11</end>
      <status>unmodified</status>
      <modifiedWord/>
      <trackRevisions>false</trackRevisions>
    </reviewItem>
    <reviewItem>
      <errorID>4c98f4e1-eca1-4b10-a72d-202703f47f5c</errorID>
      <errorWord>(</errorWord>
      <group>L1_Format</group>
      <groupName>格式问题</groupName>
      <ability>L2_HalfPunc</ability>
      <abilityName>全半角检查</abilityName>
      <candidateList>
        <item>（</item>
      </candidateList>
      <explain>文本全半角错误。</explain>
      <paraID>69772529</paraID>
      <start>6</start>
      <end>7</end>
      <status>unmodified</status>
      <modifiedWord/>
      <trackRevisions>false</trackRevisions>
    </reviewItem>
    <reviewItem>
      <errorID>ab80f01f-5ed3-49ad-9344-764998961f47</errorID>
      <errorWord>)</errorWord>
      <group>L1_Format</group>
      <groupName>格式问题</groupName>
      <ability>L2_HalfPunc</ability>
      <abilityName>全半角检查</abilityName>
      <candidateList>
        <item>）</item>
      </candidateList>
      <explain>文本全半角错误。</explain>
      <paraID>69772529</paraID>
      <start>8</start>
      <end>9</end>
      <status>unmodified</status>
      <modifiedWord/>
      <trackRevisions>false</trackRevisions>
    </reviewItem>
    <reviewItem>
      <errorID>7d47905e-2fea-4fc2-8d94-91d225bf1ec0</errorID>
      <errorWord>（</errorWord>
      <group>L1_Format</group>
      <groupName>格式问题</groupName>
      <ability>L2_HalfPunc</ability>
      <abilityName>全半角检查</abilityName>
      <candidateList>
        <item>(</item>
      </candidateList>
      <explain>文本全半角错误。</explain>
      <paraID>6347932F</paraID>
      <start>0</start>
      <end>1</end>
      <status>unmodified</status>
      <modifiedWord/>
      <trackRevisions>false</trackRevisions>
    </reviewItem>
    <reviewItem>
      <errorID>60da2769-499e-4358-ac70-28f2060973a5</errorID>
      <errorWord>）</errorWord>
      <group>L1_Format</group>
      <groupName>格式问题</groupName>
      <ability>L2_HalfPunc</ability>
      <abilityName>全半角检查</abilityName>
      <candidateList>
        <item>)</item>
      </candidateList>
      <explain>文本全半角错误。</explain>
      <paraID>6347932F</paraID>
      <start>2</start>
      <end>3</end>
      <status>unmodified</status>
      <modifiedWord/>
      <trackRevisions>false</trackRevisions>
    </reviewItem>
    <reviewItem>
      <errorID>80374b09-5d47-41e5-97f2-bc2640fbcffd</errorID>
      <errorWord>(</errorWord>
      <group>L1_Format</group>
      <groupName>格式问题</groupName>
      <ability>L2_HalfPunc</ability>
      <abilityName>全半角检查</abilityName>
      <candidateList>
        <item>（</item>
      </candidateList>
      <explain>文本全半角错误。</explain>
      <paraID>552CB4C1</paraID>
      <start>21</start>
      <end>22</end>
      <status>unmodified</status>
      <modifiedWord/>
      <trackRevisions>false</trackRevisions>
    </reviewItem>
    <reviewItem>
      <errorID>62be1fbe-bfd6-42b5-8ccd-d2140195689a</errorID>
      <errorWord>)</errorWord>
      <group>L1_Format</group>
      <groupName>格式问题</groupName>
      <ability>L2_HalfPunc</ability>
      <abilityName>全半角检查</abilityName>
      <candidateList>
        <item>）</item>
      </candidateList>
      <explain>文本全半角错误。</explain>
      <paraID>552CB4C1</paraID>
      <start>34</start>
      <end>35</end>
      <status>unmodified</status>
      <modifiedWord/>
      <trackRevisions>false</trackRevisions>
    </reviewItem>
    <reviewItem>
      <errorID>d41ff4b8-d427-4c1b-93eb-e271d90211ae</errorID>
      <errorWord>制订</errorWord>
      <group>L1_Word</group>
      <groupName>字词问题</groupName>
      <ability>L2_Typo</ability>
      <abilityName>字词错误</abilityName>
      <candidateList>
        <item>制定</item>
      </candidateList>
      <explain>〈动〉定出（法律、规程、政策等）：～宪法｜～学会章程。</explain>
      <paraID>16356650</paraID>
      <start>116</start>
      <end>118</end>
      <status>unmodified</status>
      <modifiedWord/>
      <trackRevisions>false</trackRevisions>
    </reviewItem>
    <reviewItem>
      <errorID>bc5a5d99-34bb-4915-aa57-12b2b3e3172d</errorID>
      <errorWord>：</errorWord>
      <group>L1_Format</group>
      <groupName>格式问题</groupName>
      <ability>L2_HalfPunc</ability>
      <abilityName>全半角检查</abilityName>
      <candidateList>
        <item>:</item>
      </candidateList>
      <explain>文本全半角错误。</explain>
      <paraID>5D73DDFF</paraID>
      <start>113</start>
      <end>114</end>
      <status>unmodified</status>
      <modifiedWord/>
      <trackRevisions>false</trackRevisions>
    </reviewItem>
    <reviewItem>
      <errorID>a3128191-8b81-4ad9-84d2-9281b93cf54b</errorID>
      <errorWord>(</errorWord>
      <group>L1_Format</group>
      <groupName>格式问题</groupName>
      <ability>L2_HalfPunc</ability>
      <abilityName>全半角检查</abilityName>
      <candidateList>
        <item>（</item>
      </candidateList>
      <explain>文本全半角错误。</explain>
      <paraID>124FBA97</paraID>
      <start>2</start>
      <end>3</end>
      <status>unmodified</status>
      <modifiedWord/>
      <trackRevisions>false</trackRevisions>
    </reviewItem>
    <reviewItem>
      <errorID>670b42b6-d71b-4043-b287-84b27a999264</errorID>
      <errorWord>)</errorWord>
      <group>L1_Format</group>
      <groupName>格式问题</groupName>
      <ability>L2_HalfPunc</ability>
      <abilityName>全半角检查</abilityName>
      <candidateList>
        <item>）</item>
      </candidateList>
      <explain>文本全半角错误。</explain>
      <paraID>124FBA97</paraID>
      <start>6</start>
      <end>7</end>
      <status>unmodified</status>
      <modifiedWord/>
      <trackRevisions>false</trackRevisions>
    </reviewItem>
    <reviewItem>
      <errorID>41d0ebba-f992-466a-9f6f-c14de3c99e93</errorID>
      <errorWord>(</errorWord>
      <group>L1_Format</group>
      <groupName>格式问题</groupName>
      <ability>L2_HalfPunc</ability>
      <abilityName>全半角检查</abilityName>
      <candidateList>
        <item>（</item>
      </candidateList>
      <explain>文本全半角错误。</explain>
      <paraID>6AC8079B</paraID>
      <start>16</start>
      <end>17</end>
      <status>unmodified</status>
      <modifiedWord/>
      <trackRevisions>false</trackRevisions>
    </reviewItem>
    <reviewItem>
      <errorID>8367234f-941b-48f3-bcc9-2b7760dbc1c4</errorID>
      <errorWord>)</errorWord>
      <group>L1_Format</group>
      <groupName>格式问题</groupName>
      <ability>L2_HalfPunc</ability>
      <abilityName>全半角检查</abilityName>
      <candidateList>
        <item>）</item>
      </candidateList>
      <explain>文本全半角错误。</explain>
      <paraID>6AC8079B</paraID>
      <start>29</start>
      <end>30</end>
      <status>unmodified</status>
      <modifiedWord/>
      <trackRevisions>false</trackRevisions>
    </reviewItem>
    <reviewItem>
      <errorID>6a103c83-3d30-4463-a5d2-0083d6b734d7</errorID>
      <errorWord>(</errorWord>
      <group>L1_Format</group>
      <groupName>格式问题</groupName>
      <ability>L2_HalfPunc</ability>
      <abilityName>全半角检查</abilityName>
      <candidateList>
        <item>（</item>
      </candidateList>
      <explain>文本全半角错误。</explain>
      <paraID>77172E12</paraID>
      <start>88</start>
      <end>89</end>
      <status>unmodified</status>
      <modifiedWord/>
      <trackRevisions>false</trackRevisions>
    </reviewItem>
    <reviewItem>
      <errorID>4e8b22c5-5124-4f39-a362-7961ef1f3596</errorID>
      <errorWord>)(</errorWord>
      <group>L1_Format</group>
      <groupName>格式问题</groupName>
      <ability>L2_HalfPunc</ability>
      <abilityName>全半角检查</abilityName>
      <candidateList>
        <item>）（</item>
      </candidateList>
      <explain>文本全半角错误。</explain>
      <paraID>77172E12</paraID>
      <start>94</start>
      <end>96</end>
      <status>unmodified</status>
      <modifiedWord/>
      <trackRevisions>false</trackRevisions>
    </reviewItem>
    <reviewItem>
      <errorID>f72fc04a-ed00-4b5f-a5ac-fca3755f4dd5</errorID>
      <errorWord>)</errorWord>
      <group>L1_Format</group>
      <groupName>格式问题</groupName>
      <ability>L2_HalfPunc</ability>
      <abilityName>全半角检查</abilityName>
      <candidateList>
        <item>）</item>
      </candidateList>
      <explain>文本全半角错误。</explain>
      <paraID>77172E12</paraID>
      <start>98</start>
      <end>99</end>
      <status>unmodified</status>
      <modifiedWord/>
      <trackRevisions>false</trackRevisions>
    </reviewItem>
    <reviewItem>
      <errorID>132327bd-e0d3-4c9b-95bc-fb8163de4312</errorID>
      <errorWord>(</errorWord>
      <group>L1_Format</group>
      <groupName>格式问题</groupName>
      <ability>L2_HalfPunc</ability>
      <abilityName>全半角检查</abilityName>
      <candidateList>
        <item>（</item>
      </candidateList>
      <explain>文本全半角错误。</explain>
      <paraID>77172E12</paraID>
      <start>100</start>
      <end>101</end>
      <status>unmodified</status>
      <modifiedWord/>
      <trackRevisions>false</trackRevisions>
    </reviewItem>
    <reviewItem>
      <errorID>c47872f7-9f50-4a74-af86-b18805aa7fe3</errorID>
      <errorWord>)</errorWord>
      <group>L1_Format</group>
      <groupName>格式问题</groupName>
      <ability>L2_HalfPunc</ability>
      <abilityName>全半角检查</abilityName>
      <candidateList>
        <item>）</item>
      </candidateList>
      <explain>文本全半角错误。</explain>
      <paraID>77172E12</paraID>
      <start>114</start>
      <end>115</end>
      <status>unmodified</status>
      <modifiedWord/>
      <trackRevisions>false</trackRevisions>
    </reviewItem>
    <reviewItem>
      <errorID>569df331-723f-4d03-b1cb-549c3228548a</errorID>
      <errorWord>要求后</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14040D6A</paraID>
      <start>69</start>
      <end>72</end>
      <status>unmodified</status>
      <modifiedWord/>
      <trackRevisions>false</trackRevisions>
    </reviewItem>
    <reviewItem>
      <errorID>609533f8-ad19-413f-93ae-67d8acbeb125</errorID>
      <errorWord>环环</errorWord>
      <group>L1_Word</group>
      <groupName>字词问题</groupName>
      <ability>L2_Typo</ability>
      <abilityName>字词错误</abilityName>
      <candidateList>
        <item>环</item>
      </candidateList>
      <explain/>
      <paraID>59DE0627</paraID>
      <start>4</start>
      <end>6</end>
      <status>unmodified</status>
      <modifiedWord/>
      <trackRevisions>false</trackRevisions>
    </reviewItem>
    <reviewItem>
      <errorID>fbcd558e-b3e4-42ed-94b1-3b4d9ce86ddb</errorID>
      <errorWord>来自于</errorWord>
      <group>L1_Grammar</group>
      <groupName>语法问题</groupName>
      <ability>L2_Grammar</ability>
      <abilityName>语法错误</abilityName>
      <candidateList>
        <item>来自</item>
      </candidateList>
      <explain/>
      <paraID>5212A032</paraID>
      <start>7</start>
      <end>10</end>
      <status>unmodified</status>
      <modifiedWord/>
      <trackRevisions>false</trackRevisions>
    </reviewItem>
    <reviewItem>
      <errorID>74bda5ae-7390-47fe-90fd-7388444e756e</errorID>
      <errorWord>后后</errorWord>
      <group>L1_Word</group>
      <groupName>字词问题</groupName>
      <ability>L2_Typo</ability>
      <abilityName>字词错误</abilityName>
      <candidateList>
        <item>后</item>
      </candidateList>
      <explain>❶君主的妻子：皇～｜～妃。❷古代称君主：商之先～。❸（Hòu）〈名〉姓。</explain>
      <paraID>6A972CE9</paraID>
      <start>36</start>
      <end>38</end>
      <status>unmodified</status>
      <modifiedWord/>
      <trackRevisions>false</trackRevisions>
    </reviewItem>
    <reviewItem>
      <errorID>86e3ba3a-2419-4d17-860a-bf5599420485</errorID>
      <errorWord>)</errorWord>
      <group>L1_Format</group>
      <groupName>格式问题</groupName>
      <ability>L2_HalfPunc</ability>
      <abilityName>全半角检查</abilityName>
      <candidateList>
        <item>）</item>
      </candidateList>
      <explain>文本全半角错误。</explain>
      <paraID>49F133C8</paraID>
      <start>56</start>
      <end>57</end>
      <status>unmodified</status>
      <modifiedWord/>
      <trackRevisions>false</trackRevisions>
    </reviewItem>
    <reviewItem>
      <errorID>d78e5dda-ffa0-4a82-9db4-f4d9a3ab4ae7</errorID>
      <errorWord>程</errorWord>
      <group>L1_Word</group>
      <groupName>字词问题</groupName>
      <ability>L2_Typo</ability>
      <abilityName>字词错误</abilityName>
      <candidateList>
        <item>程中</item>
      </candidateList>
      <explain/>
      <paraID>7FFCB357</paraID>
      <start>63</start>
      <end>64</end>
      <status>unmodified</status>
      <modifiedWord/>
      <trackRevisions>false</trackRevisions>
    </reviewItem>
    <reviewItem>
      <errorID>249b2c6d-588e-44e5-85c3-318a3a788bbd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3ECFAEE0</paraID>
      <start>114</start>
      <end>115</end>
      <status>unmodified</status>
      <modifiedWord/>
      <trackRevisions>false</trackRevisions>
    </reviewItem>
    <reviewItem>
      <errorID>29aa8f71-17b9-410f-a938-1917dcd441a1</errorID>
      <errorWord>(</errorWord>
      <group>L1_Format</group>
      <groupName>格式问题</groupName>
      <ability>L2_HalfPunc</ability>
      <abilityName>全半角检查</abilityName>
      <candidateList>
        <item>（</item>
      </candidateList>
      <explain>文本全半角错误。</explain>
      <paraID>3AA6DE00</paraID>
      <start>1</start>
      <end>2</end>
      <status>unmodified</status>
      <modifiedWord/>
      <trackRevisions>false</trackRevisions>
    </reviewItem>
    <reviewItem>
      <errorID>82d9024f-a7de-4cae-aeb3-51288a0c0168</errorID>
      <errorWord>)</errorWord>
      <group>L1_Format</group>
      <groupName>格式问题</groupName>
      <ability>L2_HalfPunc</ability>
      <abilityName>全半角检查</abilityName>
      <candidateList>
        <item>）</item>
      </candidateList>
      <explain>文本全半角错误。</explain>
      <paraID>3AA6DE00</paraID>
      <start>3</start>
      <end>4</end>
      <status>unmodified</status>
      <modifiedWord/>
      <trackRevisions>false</trackRevisions>
    </reviewItem>
    <reviewItem>
      <errorID>a4da5829-ae1a-431c-ac2e-8d439d002fba</errorID>
      <errorWord>按《中华人民共和国</errorWord>
      <group>L1_Word</group>
      <groupName>字词问题</groupName>
      <ability>L2_Typo</ability>
      <abilityName>字词错误</abilityName>
      <candidateList>
        <item>按照《中华人民共和国</item>
      </candidateList>
      <explain/>
      <paraID>10D6524D</paraID>
      <start>24</start>
      <end>33</end>
      <status>unmodified</status>
      <modifiedWord/>
      <trackRevisions>false</trackRevisions>
    </reviewItem>
    <reviewItem>
      <errorID>3ebe4b97-5139-4f56-b6f9-c537309ace46</errorID>
      <errorWord>(</errorWord>
      <group>L1_Format</group>
      <groupName>格式问题</groupName>
      <ability>L2_HalfPunc</ability>
      <abilityName>全半角检查</abilityName>
      <candidateList>
        <item>（</item>
      </candidateList>
      <explain>文本全半角错误。</explain>
      <paraID>28FAD1FE</paraID>
      <start>86</start>
      <end>87</end>
      <status>unmodified</status>
      <modifiedWord/>
      <trackRevisions>false</trackRevisions>
    </reviewItem>
    <reviewItem>
      <errorID>0c7de0ca-93c5-4063-b7d6-64fb8e7c1591</errorID>
      <errorWord>)</errorWord>
      <group>L1_Format</group>
      <groupName>格式问题</groupName>
      <ability>L2_HalfPunc</ability>
      <abilityName>全半角检查</abilityName>
      <candidateList>
        <item>）</item>
      </candidateList>
      <explain>文本全半角错误。</explain>
      <paraID>28FAD1FE</paraID>
      <start>89</start>
      <end>90</end>
      <status>unmodified</status>
      <modifiedWord/>
      <trackRevisions>false</trackRevisions>
    </reviewItem>
    <reviewItem>
      <errorID>d75cd518-1d04-43eb-9caa-c821e25bc41d</errorID>
      <errorWord>(</errorWord>
      <group>L1_Format</group>
      <groupName>格式问题</groupName>
      <ability>L2_HalfPunc</ability>
      <abilityName>全半角检查</abilityName>
      <candidateList>
        <item>（</item>
      </candidateList>
      <explain>文本全半角错误。</explain>
      <paraID>28FAD1FE</paraID>
      <start>92</start>
      <end>93</end>
      <status>unmodified</status>
      <modifiedWord/>
      <trackRevisions>false</trackRevisions>
    </reviewItem>
    <reviewItem>
      <errorID>b8cccea4-f332-4a82-bd05-7b861f1b7b06</errorID>
      <errorWord>)</errorWord>
      <group>L1_Format</group>
      <groupName>格式问题</groupName>
      <ability>L2_HalfPunc</ability>
      <abilityName>全半角检查</abilityName>
      <candidateList>
        <item>）</item>
      </candidateList>
      <explain>文本全半角错误。</explain>
      <paraID>28FAD1FE</paraID>
      <start>108</start>
      <end>109</end>
      <status>unmodified</status>
      <modifiedWord/>
      <trackRevisions>false</trackRevisions>
    </reviewItem>
    <reviewItem>
      <errorID>a890f8dc-feee-40e8-bc8f-1f1280ada58e</errorID>
      <errorWord>(</errorWord>
      <group>L1_Format</group>
      <groupName>格式问题</groupName>
      <ability>L2_HalfPunc</ability>
      <abilityName>全半角检查</abilityName>
      <candidateList>
        <item>（</item>
      </candidateList>
      <explain>文本全半角错误。</explain>
      <paraID>789E81EA</paraID>
      <start>61</start>
      <end>62</end>
      <status>unmodified</status>
      <modifiedWord/>
      <trackRevisions>false</trackRevisions>
    </reviewItem>
    <reviewItem>
      <errorID>97c5a88b-1f1d-4c4e-9395-6988ff322688</errorID>
      <errorWord>)</errorWord>
      <group>L1_Format</group>
      <groupName>格式问题</groupName>
      <ability>L2_HalfPunc</ability>
      <abilityName>全半角检查</abilityName>
      <candidateList>
        <item>）</item>
      </candidateList>
      <explain>文本全半角错误。</explain>
      <paraID>789E81EA</paraID>
      <start>72</start>
      <end>73</end>
      <status>unmodified</status>
      <modifiedWord/>
      <trackRevisions>false</trackRevisions>
    </reviewItem>
    <reviewItem>
      <errorID>b5a57282-a386-4820-9f64-43f6887a0e3d</errorID>
      <errorWord>程</errorWord>
      <group>L1_Word</group>
      <groupName>字词问题</groupName>
      <ability>L2_Typo</ability>
      <abilityName>字词错误</abilityName>
      <candidateList>
        <item>程中</item>
      </candidateList>
      <explain/>
      <paraID>789E81EA</paraID>
      <start>86</start>
      <end>87</end>
      <status>unmodified</status>
      <modifiedWord/>
      <trackRevisions>false</trackRevisions>
    </reviewItem>
    <reviewItem>
      <errorID>22f8269f-0817-4cc9-b6fc-8aa80326c62d</errorID>
      <errorWord>主要的</errorWord>
      <group>L1_Word</group>
      <groupName>字词问题</groupName>
      <ability>L2_Typo</ability>
      <abilityName>字词错误</abilityName>
      <candidateList>
        <item>主要</item>
      </candidateList>
      <explain>〈形〉属性词。有关事物中最重要的；起决定作用的：～原因｜～目的｜～人物。</explain>
      <paraID>363E1B6F</paraID>
      <start>7</start>
      <end>10</end>
      <status>unmodified</status>
      <modifiedWord/>
      <trackRevisions>false</trackRevisions>
    </reviewItem>
    <reviewItem>
      <errorID>fbe0b2c0-b876-483b-a54b-96a0d982c495</errorID>
      <errorWord>(</errorWord>
      <group>L1_Format</group>
      <groupName>格式问题</groupName>
      <ability>L2_HalfPunc</ability>
      <abilityName>全半角检查</abilityName>
      <candidateList>
        <item>（</item>
      </candidateList>
      <explain>文本全半角错误。</explain>
      <paraID>45F59D83</paraID>
      <start>3</start>
      <end>4</end>
      <status>unmodified</status>
      <modifiedWord/>
      <trackRevisions>false</trackRevisions>
    </reviewItem>
    <reviewItem>
      <errorID>78656087-ad15-4010-9778-27d067165efa</errorID>
      <errorWord>)</errorWord>
      <group>L1_Format</group>
      <groupName>格式问题</groupName>
      <ability>L2_HalfPunc</ability>
      <abilityName>全半角检查</abilityName>
      <candidateList>
        <item>）</item>
      </candidateList>
      <explain>文本全半角错误。</explain>
      <paraID>45F59D83</paraID>
      <start>9</start>
      <end>10</end>
      <status>unmodified</status>
      <modifiedWord/>
      <trackRevisions>false</trackRevisions>
    </reviewItem>
    <reviewItem>
      <errorID>379bfe16-8827-44c6-b549-c6c9b6697ea0</errorID>
      <errorWord>标准标准</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4F3B601B</paraID>
      <start>42</start>
      <end>46</end>
      <status>unmodified</status>
      <modifiedWord/>
      <trackRevisions>false</trackRevisions>
    </reviewItem>
    <reviewItem>
      <errorID>c6fcb749-82c8-4a4d-a332-74f228a3c747</errorID>
      <errorWord>(</errorWord>
      <group>L1_Format</group>
      <groupName>格式问题</groupName>
      <ability>L2_HalfPunc</ability>
      <abilityName>全半角检查</abilityName>
      <candidateList>
        <item>（</item>
      </candidateList>
      <explain>文本全半角错误。</explain>
      <paraID>3CA47EC5</paraID>
      <start>18</start>
      <end>19</end>
      <status>unmodified</status>
      <modifiedWord/>
      <trackRevisions>false</trackRevisions>
    </reviewItem>
    <reviewItem>
      <errorID>59f2f8aa-fd26-4e7b-a242-045cfb291a66</errorID>
      <errorWord>)</errorWord>
      <group>L1_Format</group>
      <groupName>格式问题</groupName>
      <ability>L2_HalfPunc</ability>
      <abilityName>全半角检查</abilityName>
      <candidateList>
        <item>）</item>
      </candidateList>
      <explain>文本全半角错误。</explain>
      <paraID>3CA47EC5</paraID>
      <start>25</start>
      <end>26</end>
      <status>unmodified</status>
      <modifiedWord/>
      <trackRevisions>false</trackRevisions>
    </reviewItem>
    <reviewItem>
      <errorID>cc7d4ff4-d961-43a9-8043-302b581dab2f</errorID>
      <errorWord>(</errorWord>
      <group>L1_Format</group>
      <groupName>格式问题</groupName>
      <ability>L2_HalfPunc</ability>
      <abilityName>全半角检查</abilityName>
      <candidateList>
        <item>（</item>
      </candidateList>
      <explain>文本全半角错误。</explain>
      <paraID>3CA47EC5</paraID>
      <start>27</start>
      <end>28</end>
      <status>unmodified</status>
      <modifiedWord/>
      <trackRevisions>false</trackRevisions>
    </reviewItem>
    <reviewItem>
      <errorID>b256a148-4048-4ea1-af2d-d27c95c53f61</errorID>
      <errorWord>)</errorWord>
      <group>L1_Format</group>
      <groupName>格式问题</groupName>
      <ability>L2_HalfPunc</ability>
      <abilityName>全半角检查</abilityName>
      <candidateList>
        <item>）</item>
      </candidateList>
      <explain>文本全半角错误。</explain>
      <paraID>3CA47EC5</paraID>
      <start>38</start>
      <end>39</end>
      <status>unmodified</status>
      <modifiedWord/>
      <trackRevisions>false</trackRevisions>
    </reviewItem>
    <reviewItem>
      <errorID>9bad8a8f-9137-4124-948c-f4de59edbdce</errorID>
      <errorWord>(</errorWord>
      <group>L1_Format</group>
      <groupName>格式问题</groupName>
      <ability>L2_HalfPunc</ability>
      <abilityName>全半角检查</abilityName>
      <candidateList>
        <item>（</item>
      </candidateList>
      <explain>文本全半角错误。</explain>
      <paraID>3CA47EC5</paraID>
      <start>55</start>
      <end>56</end>
      <status>unmodified</status>
      <modifiedWord/>
      <trackRevisions>false</trackRevisions>
    </reviewItem>
    <reviewItem>
      <errorID>f7b6f22f-dbe0-4cdd-a74e-572489ae3ae0</errorID>
      <errorWord>)</errorWord>
      <group>L1_Format</group>
      <groupName>格式问题</groupName>
      <ability>L2_HalfPunc</ability>
      <abilityName>全半角检查</abilityName>
      <candidateList>
        <item>）</item>
      </candidateList>
      <explain>文本全半角错误。</explain>
      <paraID>3CA47EC5</paraID>
      <start>105</start>
      <end>106</end>
      <status>unmodified</status>
      <modifiedWord/>
      <trackRevisions>false</trackRevisions>
    </reviewItem>
    <reviewItem>
      <errorID>fb6c64fd-240a-4935-bcfe-a6aa284571ab</errorID>
      <errorWord>制</errorWord>
      <group>L1_Word</group>
      <groupName>字词问题</groupName>
      <ability>L2_Typo</ability>
      <abilityName>字词错误</abilityName>
      <candidateList>
        <item>制品</item>
      </candidateList>
      <explain/>
      <paraID>5D9F2FB4</paraID>
      <start>13</start>
      <end>14</end>
      <status>unmodified</status>
      <modifiedWord/>
      <trackRevisions>false</trackRevisions>
    </reviewItem>
    <reviewItem>
      <errorID>b5a3f997-0ecc-4731-9be0-226fdd7a3e46</errorID>
      <errorWord>(</errorWord>
      <group>L1_Format</group>
      <groupName>格式问题</groupName>
      <ability>L2_HalfPunc</ability>
      <abilityName>全半角检查</abilityName>
      <candidateList>
        <item>（</item>
      </candidateList>
      <explain>文本全半角错误。</explain>
      <paraID>7D5BD0B2</paraID>
      <start>29</start>
      <end>30</end>
      <status>unmodified</status>
      <modifiedWord/>
      <trackRevisions>false</trackRevisions>
    </reviewItem>
    <reviewItem>
      <errorID>1ad184a1-8f71-4127-8a85-e2d2eb396dd2</errorID>
      <errorWord>)</errorWord>
      <group>L1_Format</group>
      <groupName>格式问题</groupName>
      <ability>L2_HalfPunc</ability>
      <abilityName>全半角检查</abilityName>
      <candidateList>
        <item>）</item>
      </candidateList>
      <explain>文本全半角错误。</explain>
      <paraID>7D5BD0B2</paraID>
      <start>44</start>
      <end>45</end>
      <status>unmodified</status>
      <modifiedWord/>
      <trackRevisions>false</trackRevisions>
    </reviewItem>
    <reviewItem>
      <errorID>6dedc40a-8e5e-4001-b1bf-ff7903db1c2d</errorID>
      <errorWord>(</errorWord>
      <group>L1_Format</group>
      <groupName>格式问题</groupName>
      <ability>L2_HalfPunc</ability>
      <abilityName>全半角检查</abilityName>
      <candidateList>
        <item>（</item>
      </candidateList>
      <explain>文本全半角错误。</explain>
      <paraID> AFDFA33</paraID>
      <start>45</start>
      <end>46</end>
      <status>unmodified</status>
      <modifiedWord/>
      <trackRevisions>false</trackRevisions>
    </reviewItem>
    <reviewItem>
      <errorID>c804abc5-87d7-4ff6-ac31-62a9ec086091</errorID>
      <errorWord>)</errorWord>
      <group>L1_Format</group>
      <groupName>格式问题</groupName>
      <ability>L2_HalfPunc</ability>
      <abilityName>全半角检查</abilityName>
      <candidateList>
        <item>）</item>
      </candidateList>
      <explain>文本全半角错误。</explain>
      <paraID> AFDFA33</paraID>
      <start>48</start>
      <end>49</end>
      <status>unmodified</status>
      <modifiedWord/>
      <trackRevisions>false</trackRevisions>
    </reviewItem>
    <reviewItem>
      <errorID>bcc492b5-6d21-449b-80bf-95ed8c005aba</errorID>
      <errorWord>详</errorWord>
      <group>L1_Word</group>
      <groupName>字词问题</groupName>
      <ability>L2_Typo</ability>
      <abilityName>字词错误</abilityName>
      <candidateList>
        <item>祥</item>
      </candidateList>
      <explain>存在发音相同字词的误用。</explain>
      <paraID> AFDFA33</paraID>
      <start>72</start>
      <end>73</end>
      <status>unmodified</status>
      <modifiedWord/>
      <trackRevisions>false</trackRevisions>
    </reviewItem>
    <reviewItem>
      <errorID>ff12b9cf-de1d-4344-8c5b-16b9d48cb9fe</errorID>
      <errorWord>详</errorWord>
      <group>L1_Word</group>
      <groupName>字词问题</groupName>
      <ability>L2_Typo</ability>
      <abilityName>字词错误</abilityName>
      <candidateList>
        <item>祥</item>
      </candidateList>
      <explain>存在发音相同字词的误用。</explain>
      <paraID>6B5D63F1</paraID>
      <start>21</start>
      <end>22</end>
      <status>unmodified</status>
      <modifiedWord/>
      <trackRevisions>false</trackRevisions>
    </reviewItem>
    <reviewItem>
      <errorID>9c57c665-9e2c-440d-aa05-84920cecb29d</errorID>
      <errorWord>[2020]668号</errorWord>
      <group>L1_Knowledge</group>
      <groupName>知识性问题</groupName>
      <ability>L2_Knowledge</ability>
      <abilityName>其他知识</abilityName>
      <candidateList>
        <item>〔2020〕668号</item>
      </candidateList>
      <explain>发文字号格式错误。</explain>
      <paraID>10BDC686</paraID>
      <start>39</start>
      <end>49</end>
      <status>unmodified</status>
      <modifiedWord/>
      <trackRevisions>false</trackRevisions>
    </reviewItem>
    <reviewItem>
      <errorID>6fa5cda3-b7fd-4b9c-b948-5647de46bb07</errorID>
      <errorWord>[2015]52号</errorWord>
      <group>L1_Knowledge</group>
      <groupName>知识性问题</groupName>
      <ability>L2_Knowledge</ability>
      <abilityName>其他知识</abilityName>
      <candidateList>
        <item>〔2015〕52号</item>
      </candidateList>
      <explain>发文字号格式错误。</explain>
      <paraID>10BDC686</paraID>
      <start>82</start>
      <end>91</end>
      <status>unmodified</status>
      <modifiedWord/>
      <trackRevisions>false</trackRevisions>
    </reviewItem>
    <reviewItem>
      <errorID>8dcfee4c-82e5-4e95-8f72-73e012a2f414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57EB075A</paraID>
      <start>37</start>
      <end>38</end>
      <status>unmodified</status>
      <modifiedWord/>
      <trackRevisions>false</trackRevisions>
    </reviewItem>
    <reviewItem>
      <errorID>aef91d53-27f8-44a0-a00d-43d47992a109</errorID>
      <errorWord>(</errorWord>
      <group>L1_Format</group>
      <groupName>格式问题</groupName>
      <ability>L2_HalfPunc</ability>
      <abilityName>全半角检查</abilityName>
      <candidateList>
        <item>（</item>
      </candidateList>
      <explain>文本全半角错误。</explain>
      <paraID>70D8F296</paraID>
      <start>118</start>
      <end>119</end>
      <status>unmodified</status>
      <modifiedWord/>
      <trackRevisions>false</trackRevisions>
    </reviewItem>
    <reviewItem>
      <errorID>3913b213-4c84-4386-b970-953ea4e68b22</errorID>
      <errorWord>)</errorWord>
      <group>L1_Format</group>
      <groupName>格式问题</groupName>
      <ability>L2_HalfPunc</ability>
      <abilityName>全半角检查</abilityName>
      <candidateList>
        <item>）</item>
      </candidateList>
      <explain>文本全半角错误。</explain>
      <paraID>70D8F296</paraID>
      <start>131</start>
      <end>132</end>
      <status>unmodified</status>
      <modifiedWord/>
      <trackRevisions>false</trackRevisions>
    </reviewItem>
    <reviewItem>
      <errorID>d3af2cf6-5ec2-467a-a577-37a33bf4d0e0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70D8F296</paraID>
      <start>154</start>
      <end>155</end>
      <status>unmodified</status>
      <modifiedWord/>
      <trackRevisions>false</trackRevisions>
    </reviewItem>
    <reviewItem>
      <errorID>0cacf899-d5ff-4ec7-ad8f-dafdaa37a3df</errorID>
      <errorWord>根据监测结果显示</errorWord>
      <group>L1_Grammar</group>
      <groupName>语法问题</groupName>
      <ability>L2_Grammar</ability>
      <abilityName>语法错误</abilityName>
      <candidateList>
        <item>根据监测结果</item>
      </candidateList>
      <explain/>
      <paraID>362412CB</paraID>
      <start>23</start>
      <end>31</end>
      <status>unmodified</status>
      <modifiedWord/>
      <trackRevisions>false</trackRevisions>
    </reviewItem>
    <reviewItem>
      <errorID>decebc94-95c0-41ca-b427-cb49d0ccfca6</errorID>
      <errorWord>(</errorWord>
      <group>L1_Format</group>
      <groupName>格式问题</groupName>
      <ability>L2_HalfPunc</ability>
      <abilityName>全半角检查</abilityName>
      <candidateList>
        <item>（</item>
      </candidateList>
      <explain>文本全半角错误。</explain>
      <paraID>362412CB</paraID>
      <start>65</start>
      <end>66</end>
      <status>unmodified</status>
      <modifiedWord/>
      <trackRevisions>false</trackRevisions>
    </reviewItem>
    <reviewItem>
      <errorID>00a14830-019e-4663-814c-cb7c2e12c30e</errorID>
      <errorWord>)</errorWord>
      <group>L1_Format</group>
      <groupName>格式问题</groupName>
      <ability>L2_HalfPunc</ability>
      <abilityName>全半角检查</abilityName>
      <candidateList>
        <item>）</item>
      </candidateList>
      <explain>文本全半角错误。</explain>
      <paraID>362412CB</paraID>
      <start>78</start>
      <end>79</end>
      <status>unmodified</status>
      <modifiedWord/>
      <trackRevisions>false</trackRevisions>
    </reviewItem>
    <reviewItem>
      <errorID>611ed2ad-ae1b-4cbe-9cc9-9e754e3f0694</errorID>
      <errorWord>详</errorWord>
      <group>L1_Word</group>
      <groupName>字词问题</groupName>
      <ability>L2_Typo</ability>
      <abilityName>字词错误</abilityName>
      <candidateList>
        <item>详见</item>
      </candidateList>
      <explain/>
      <paraID>5A35688F</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30f0d4-3149-4c44-b6af-4405d8fd2481}">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82</Pages>
  <Words>9191</Words>
  <Characters>9742</Characters>
  <Lines>321</Lines>
  <Paragraphs>90</Paragraphs>
  <TotalTime>8</TotalTime>
  <ScaleCrop>false</ScaleCrop>
  <LinksUpToDate>false</LinksUpToDate>
  <CharactersWithSpaces>9791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2021-12-31T01:47:00Z</dcterms:created>
  <dc:creator>lhj</dc:creator>
  <cp:lastModifiedBy>微微一笑</cp:lastModifiedBy>
  <cp:lastPrinted>2026-06-09T08:03:00Z</cp:lastPrinted>
  <dcterms:modified xsi:type="dcterms:W3CDTF">2026-08-10T08:38:46Z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6BAA360EB4524468BE72020E23E439A9_13</vt:lpwstr>
  </property>
  <property fmtid="{D5CDD505-2E9C-101B-9397-08002B2CF9AE}" pid="4" name="KSOTemplateDocerSaveRecord">
    <vt:lpwstr>eyJoZGlkIjoiZWI2ZGNiODIxODk0ZTg0OWJiMTVlOTYzNjMxMzcyYTciLCJ1c2VySWQiOiI3MDcxMzA4NjcifQ==</vt:lpwstr>
  </property>
</Properties>
</file>