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AC613">
      <w:pPr>
        <w:rPr>
          <w:rFonts w:hint="eastAsia" w:ascii="方正仿宋_GB2312" w:hAnsi="方正仿宋_GB2312" w:eastAsia="方正仿宋_GB2312" w:cs="方正仿宋_GB2312"/>
          <w:color w:val="auto"/>
          <w:sz w:val="36"/>
          <w:szCs w:val="36"/>
          <w:lang w:eastAsia="zh-CN"/>
        </w:rPr>
      </w:pPr>
      <w:r>
        <w:rPr>
          <w:rFonts w:hint="eastAsia" w:ascii="方正仿宋_GB2312" w:hAnsi="方正仿宋_GB2312" w:eastAsia="方正仿宋_GB2312" w:cs="方正仿宋_GB2312"/>
          <w:color w:val="auto"/>
          <w:sz w:val="36"/>
          <w:szCs w:val="36"/>
          <w:lang w:eastAsia="zh-CN"/>
        </w:rPr>
        <w:drawing>
          <wp:anchor distT="0" distB="0" distL="114300" distR="114300" simplePos="0" relativeHeight="251664384" behindDoc="0" locked="0" layoutInCell="1" allowOverlap="1">
            <wp:simplePos x="0" y="0"/>
            <wp:positionH relativeFrom="column">
              <wp:posOffset>-197485</wp:posOffset>
            </wp:positionH>
            <wp:positionV relativeFrom="paragraph">
              <wp:posOffset>67945</wp:posOffset>
            </wp:positionV>
            <wp:extent cx="6113780" cy="8653780"/>
            <wp:effectExtent l="0" t="0" r="0" b="0"/>
            <wp:wrapNone/>
            <wp:docPr id="42" name="图片 375" descr="建设项目环境影响报告表(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75" descr="建设项目环境影响报告表(1)_01"/>
                    <pic:cNvPicPr>
                      <a:picLocks noChangeAspect="1"/>
                    </pic:cNvPicPr>
                  </pic:nvPicPr>
                  <pic:blipFill>
                    <a:blip r:embed="rId14"/>
                    <a:stretch>
                      <a:fillRect/>
                    </a:stretch>
                  </pic:blipFill>
                  <pic:spPr>
                    <a:xfrm>
                      <a:off x="0" y="0"/>
                      <a:ext cx="6113780" cy="8653780"/>
                    </a:xfrm>
                    <a:prstGeom prst="rect">
                      <a:avLst/>
                    </a:prstGeom>
                    <a:noFill/>
                    <a:ln>
                      <a:noFill/>
                    </a:ln>
                  </pic:spPr>
                </pic:pic>
              </a:graphicData>
            </a:graphic>
          </wp:anchor>
        </w:drawing>
      </w:r>
    </w:p>
    <w:p w14:paraId="68BEEB1B">
      <w:pPr>
        <w:rPr>
          <w:rFonts w:ascii="方正仿宋_GB2312" w:hAnsi="方正仿宋_GB2312" w:eastAsia="方正仿宋_GB2312" w:cs="方正仿宋_GB2312"/>
          <w:color w:val="auto"/>
          <w:sz w:val="36"/>
          <w:szCs w:val="36"/>
        </w:rPr>
      </w:pPr>
    </w:p>
    <w:p w14:paraId="5E79B3D9">
      <w:pPr>
        <w:rPr>
          <w:rFonts w:ascii="方正仿宋_GB2312" w:hAnsi="方正仿宋_GB2312" w:eastAsia="方正仿宋_GB2312" w:cs="方正仿宋_GB2312"/>
          <w:color w:val="auto"/>
          <w:sz w:val="36"/>
          <w:szCs w:val="36"/>
        </w:rPr>
      </w:pPr>
    </w:p>
    <w:p w14:paraId="1E3941D6">
      <w:pPr>
        <w:rPr>
          <w:rFonts w:ascii="方正仿宋_GB2312" w:hAnsi="方正仿宋_GB2312" w:eastAsia="方正仿宋_GB2312" w:cs="方正仿宋_GB2312"/>
          <w:color w:val="auto"/>
          <w:sz w:val="36"/>
          <w:szCs w:val="36"/>
        </w:rPr>
      </w:pPr>
    </w:p>
    <w:p w14:paraId="248C03F7">
      <w:pPr>
        <w:rPr>
          <w:rFonts w:hint="eastAsia" w:ascii="方正仿宋_GB2312" w:hAnsi="方正仿宋_GB2312" w:eastAsia="方正仿宋_GB2312" w:cs="方正仿宋_GB2312"/>
          <w:color w:val="auto"/>
          <w:sz w:val="36"/>
          <w:szCs w:val="36"/>
        </w:rPr>
      </w:pPr>
    </w:p>
    <w:p w14:paraId="74C6D654">
      <w:pPr>
        <w:adjustRightInd w:val="0"/>
        <w:snapToGrid w:val="0"/>
        <w:jc w:val="center"/>
        <w:outlineLvl w:val="0"/>
        <w:rPr>
          <w:rFonts w:hint="eastAsia" w:ascii="方正小标宋_GBK" w:eastAsia="方正小标宋_GBK"/>
          <w:bCs/>
          <w:color w:val="auto"/>
          <w:sz w:val="72"/>
          <w:szCs w:val="72"/>
        </w:rPr>
      </w:pPr>
      <w:bookmarkStart w:id="0" w:name="_Toc15408"/>
      <w:bookmarkStart w:id="1" w:name="_Toc2830"/>
      <w:bookmarkStart w:id="2" w:name="_Toc9839"/>
      <w:bookmarkStart w:id="105" w:name="_GoBack"/>
      <w:bookmarkEnd w:id="105"/>
      <w:r>
        <w:rPr>
          <w:rFonts w:hint="eastAsia" w:ascii="方正小标宋_GBK" w:eastAsia="方正小标宋_GBK"/>
          <w:bCs/>
          <w:color w:val="auto"/>
          <w:sz w:val="72"/>
          <w:szCs w:val="72"/>
        </w:rPr>
        <w:t>建设项目环境影响报告表</w:t>
      </w:r>
      <w:bookmarkEnd w:id="0"/>
      <w:bookmarkEnd w:id="1"/>
      <w:bookmarkEnd w:id="2"/>
    </w:p>
    <w:p w14:paraId="5075A537">
      <w:pPr>
        <w:adjustRightInd w:val="0"/>
        <w:snapToGrid w:val="0"/>
        <w:spacing w:before="192" w:beforeLines="80"/>
        <w:jc w:val="center"/>
        <w:rPr>
          <w:rFonts w:hint="eastAsia" w:ascii="方正楷体_GB2312" w:eastAsia="方正楷体_GB2312"/>
          <w:bCs/>
          <w:color w:val="auto"/>
          <w:sz w:val="48"/>
          <w:szCs w:val="48"/>
        </w:rPr>
      </w:pPr>
      <w:r>
        <w:rPr>
          <w:rFonts w:hint="eastAsia" w:ascii="方正楷体_GB2312" w:eastAsia="方正楷体_GB2312"/>
          <w:bCs/>
          <w:color w:val="auto"/>
          <w:sz w:val="48"/>
          <w:szCs w:val="48"/>
        </w:rPr>
        <w:t>（污染影响类）</w:t>
      </w:r>
    </w:p>
    <w:p w14:paraId="5E2C20B8">
      <w:pPr>
        <w:adjustRightInd w:val="0"/>
        <w:snapToGrid w:val="0"/>
        <w:spacing w:line="288" w:lineRule="auto"/>
        <w:jc w:val="center"/>
        <w:outlineLvl w:val="9"/>
        <w:rPr>
          <w:rFonts w:ascii="华文仿宋" w:hAnsi="华文仿宋" w:eastAsia="华文仿宋" w:cs="华文仿宋"/>
          <w:color w:val="auto"/>
          <w:kern w:val="44"/>
          <w:sz w:val="44"/>
          <w:szCs w:val="44"/>
        </w:rPr>
      </w:pPr>
    </w:p>
    <w:p w14:paraId="253E247E">
      <w:pPr>
        <w:jc w:val="center"/>
        <w:rPr>
          <w:rFonts w:eastAsia="仿宋"/>
          <w:color w:val="auto"/>
          <w:sz w:val="52"/>
          <w:szCs w:val="52"/>
        </w:rPr>
      </w:pPr>
    </w:p>
    <w:p w14:paraId="199C37E5">
      <w:pPr>
        <w:ind w:firstLine="1040"/>
        <w:rPr>
          <w:rFonts w:eastAsia="仿宋"/>
          <w:color w:val="auto"/>
          <w:sz w:val="44"/>
          <w:szCs w:val="44"/>
        </w:rPr>
      </w:pPr>
    </w:p>
    <w:p w14:paraId="5A049D8F">
      <w:pPr>
        <w:ind w:firstLine="1040"/>
        <w:rPr>
          <w:rFonts w:eastAsia="仿宋"/>
          <w:color w:val="auto"/>
          <w:sz w:val="44"/>
          <w:szCs w:val="44"/>
        </w:rPr>
      </w:pPr>
    </w:p>
    <w:p w14:paraId="6902CCE9">
      <w:pPr>
        <w:ind w:firstLine="1040"/>
        <w:rPr>
          <w:rFonts w:eastAsia="仿宋"/>
          <w:color w:val="auto"/>
          <w:sz w:val="44"/>
          <w:szCs w:val="44"/>
        </w:rPr>
      </w:pPr>
    </w:p>
    <w:p w14:paraId="4DDCC098">
      <w:pPr>
        <w:ind w:firstLine="1040"/>
        <w:rPr>
          <w:rFonts w:eastAsia="仿宋"/>
          <w:color w:val="auto"/>
          <w:sz w:val="44"/>
          <w:szCs w:val="44"/>
        </w:rPr>
      </w:pPr>
    </w:p>
    <w:tbl>
      <w:tblPr>
        <w:tblStyle w:val="1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82"/>
        <w:gridCol w:w="5778"/>
      </w:tblGrid>
      <w:tr w14:paraId="48AB9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282" w:type="dxa"/>
            <w:noWrap w:val="0"/>
            <w:vAlign w:val="center"/>
          </w:tcPr>
          <w:p w14:paraId="5419060A">
            <w:pPr>
              <w:keepNext w:val="0"/>
              <w:keepLines w:val="0"/>
              <w:pageBreakBefore w:val="0"/>
              <w:widowControl w:val="0"/>
              <w:kinsoku/>
              <w:wordWrap/>
              <w:overflowPunct/>
              <w:topLinePunct w:val="0"/>
              <w:autoSpaceDE/>
              <w:autoSpaceDN/>
              <w:bidi w:val="0"/>
              <w:adjustRightInd w:val="0"/>
              <w:snapToGrid w:val="0"/>
              <w:spacing w:line="288" w:lineRule="auto"/>
              <w:ind w:firstLine="0"/>
              <w:jc w:val="distribute"/>
              <w:textAlignment w:val="auto"/>
              <w:rPr>
                <w:rFonts w:ascii="Times New Roman" w:hAnsi="Times New Roman"/>
                <w:color w:val="auto"/>
              </w:rPr>
            </w:pPr>
            <w:r>
              <w:rPr>
                <w:rFonts w:hint="eastAsia" w:ascii="Times New Roman" w:hAnsi="Times New Roman" w:eastAsia="方正仿宋_GB2312"/>
                <w:color w:val="auto"/>
                <w:sz w:val="36"/>
                <w:szCs w:val="36"/>
              </w:rPr>
              <w:t>项目名称</w:t>
            </w:r>
          </w:p>
        </w:tc>
        <w:tc>
          <w:tcPr>
            <w:tcW w:w="5778" w:type="dxa"/>
            <w:tcBorders>
              <w:bottom w:val="single" w:color="auto" w:sz="4" w:space="0"/>
            </w:tcBorders>
            <w:noWrap w:val="0"/>
            <w:vAlign w:val="center"/>
          </w:tcPr>
          <w:p w14:paraId="63CBBD3C">
            <w:pPr>
              <w:keepNext w:val="0"/>
              <w:keepLines w:val="0"/>
              <w:pageBreakBefore w:val="0"/>
              <w:widowControl w:val="0"/>
              <w:kinsoku/>
              <w:wordWrap/>
              <w:overflowPunct/>
              <w:topLinePunct w:val="0"/>
              <w:autoSpaceDE/>
              <w:autoSpaceDN/>
              <w:bidi w:val="0"/>
              <w:adjustRightInd w:val="0"/>
              <w:snapToGrid w:val="0"/>
              <w:spacing w:line="288" w:lineRule="auto"/>
              <w:ind w:firstLine="0"/>
              <w:jc w:val="center"/>
              <w:textAlignment w:val="auto"/>
              <w:rPr>
                <w:rFonts w:hint="default" w:ascii="Times New Roman" w:hAnsi="Times New Roman" w:eastAsia="宋体"/>
                <w:color w:val="auto"/>
                <w:u w:val="none"/>
                <w:lang w:val="en-US" w:eastAsia="zh-CN"/>
              </w:rPr>
            </w:pPr>
          </w:p>
        </w:tc>
      </w:tr>
      <w:tr w14:paraId="740D9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282" w:type="dxa"/>
            <w:noWrap w:val="0"/>
            <w:vAlign w:val="top"/>
          </w:tcPr>
          <w:p w14:paraId="33C46EFD">
            <w:pPr>
              <w:keepNext w:val="0"/>
              <w:keepLines w:val="0"/>
              <w:pageBreakBefore w:val="0"/>
              <w:widowControl w:val="0"/>
              <w:kinsoku/>
              <w:wordWrap/>
              <w:overflowPunct/>
              <w:topLinePunct w:val="0"/>
              <w:autoSpaceDE/>
              <w:autoSpaceDN/>
              <w:bidi w:val="0"/>
              <w:adjustRightInd w:val="0"/>
              <w:snapToGrid w:val="0"/>
              <w:spacing w:line="288" w:lineRule="auto"/>
              <w:ind w:firstLine="0"/>
              <w:jc w:val="distribute"/>
              <w:textAlignment w:val="auto"/>
              <w:rPr>
                <w:rFonts w:ascii="Times New Roman" w:hAnsi="Times New Roman"/>
                <w:color w:val="auto"/>
              </w:rPr>
            </w:pPr>
            <w:r>
              <w:rPr>
                <w:rFonts w:hint="eastAsia" w:ascii="Times New Roman" w:hAnsi="Times New Roman" w:eastAsia="方正仿宋_GB2312"/>
                <w:color w:val="auto"/>
                <w:sz w:val="36"/>
                <w:szCs w:val="36"/>
              </w:rPr>
              <w:t>建设单位（盖章）</w:t>
            </w:r>
          </w:p>
        </w:tc>
        <w:tc>
          <w:tcPr>
            <w:tcW w:w="5778" w:type="dxa"/>
            <w:tcBorders>
              <w:top w:val="single" w:color="auto" w:sz="4" w:space="0"/>
              <w:bottom w:val="single" w:color="auto" w:sz="4" w:space="0"/>
            </w:tcBorders>
            <w:noWrap w:val="0"/>
            <w:vAlign w:val="center"/>
          </w:tcPr>
          <w:p w14:paraId="1D3D0256">
            <w:pPr>
              <w:keepNext w:val="0"/>
              <w:keepLines w:val="0"/>
              <w:pageBreakBefore w:val="0"/>
              <w:widowControl w:val="0"/>
              <w:kinsoku/>
              <w:wordWrap/>
              <w:overflowPunct/>
              <w:topLinePunct w:val="0"/>
              <w:autoSpaceDE/>
              <w:autoSpaceDN/>
              <w:bidi w:val="0"/>
              <w:adjustRightInd w:val="0"/>
              <w:snapToGrid w:val="0"/>
              <w:spacing w:line="288" w:lineRule="auto"/>
              <w:ind w:firstLine="0"/>
              <w:jc w:val="center"/>
              <w:textAlignment w:val="auto"/>
              <w:rPr>
                <w:rFonts w:hint="default" w:ascii="Times New Roman" w:hAnsi="Times New Roman"/>
                <w:color w:val="auto"/>
                <w:u w:val="none"/>
                <w:lang w:val="en-US"/>
              </w:rPr>
            </w:pPr>
            <w:r>
              <w:rPr>
                <w:rFonts w:hint="eastAsia" w:ascii="Times New Roman" w:hAnsi="Times New Roman" w:eastAsia="方正仿宋_GB2312" w:cs="Times New Roman"/>
                <w:color w:val="auto"/>
                <w:sz w:val="36"/>
                <w:szCs w:val="36"/>
                <w:lang w:val="en-US" w:eastAsia="zh-CN"/>
              </w:rPr>
              <w:t>福州晶至光电科技有限公司</w:t>
            </w:r>
          </w:p>
        </w:tc>
      </w:tr>
      <w:tr w14:paraId="5FAFE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282" w:type="dxa"/>
            <w:noWrap w:val="0"/>
            <w:vAlign w:val="top"/>
          </w:tcPr>
          <w:p w14:paraId="27DD05B1">
            <w:pPr>
              <w:keepNext w:val="0"/>
              <w:keepLines w:val="0"/>
              <w:pageBreakBefore w:val="0"/>
              <w:widowControl w:val="0"/>
              <w:kinsoku/>
              <w:wordWrap/>
              <w:overflowPunct/>
              <w:topLinePunct w:val="0"/>
              <w:autoSpaceDE/>
              <w:autoSpaceDN/>
              <w:bidi w:val="0"/>
              <w:adjustRightInd w:val="0"/>
              <w:snapToGrid w:val="0"/>
              <w:spacing w:line="288" w:lineRule="auto"/>
              <w:ind w:firstLine="0"/>
              <w:jc w:val="distribute"/>
              <w:textAlignment w:val="auto"/>
              <w:rPr>
                <w:rFonts w:ascii="Times New Roman" w:hAnsi="Times New Roman"/>
                <w:color w:val="auto"/>
              </w:rPr>
            </w:pPr>
            <w:r>
              <w:rPr>
                <w:rFonts w:hint="eastAsia" w:ascii="Times New Roman" w:hAnsi="Times New Roman" w:eastAsia="方正仿宋_GB2312"/>
                <w:color w:val="auto"/>
                <w:sz w:val="36"/>
                <w:szCs w:val="36"/>
              </w:rPr>
              <w:t>编制日期</w:t>
            </w:r>
          </w:p>
        </w:tc>
        <w:tc>
          <w:tcPr>
            <w:tcW w:w="5778" w:type="dxa"/>
            <w:tcBorders>
              <w:top w:val="single" w:color="auto" w:sz="4" w:space="0"/>
              <w:bottom w:val="single" w:color="auto" w:sz="4" w:space="0"/>
            </w:tcBorders>
            <w:noWrap w:val="0"/>
            <w:vAlign w:val="center"/>
          </w:tcPr>
          <w:p w14:paraId="36C4B46B">
            <w:pPr>
              <w:keepNext w:val="0"/>
              <w:keepLines w:val="0"/>
              <w:pageBreakBefore w:val="0"/>
              <w:widowControl w:val="0"/>
              <w:kinsoku/>
              <w:wordWrap/>
              <w:overflowPunct/>
              <w:topLinePunct w:val="0"/>
              <w:autoSpaceDE/>
              <w:autoSpaceDN/>
              <w:bidi w:val="0"/>
              <w:adjustRightInd w:val="0"/>
              <w:snapToGrid w:val="0"/>
              <w:spacing w:line="288" w:lineRule="auto"/>
              <w:ind w:firstLine="0"/>
              <w:jc w:val="center"/>
              <w:textAlignment w:val="auto"/>
              <w:rPr>
                <w:rFonts w:hint="default" w:ascii="Times New Roman" w:hAnsi="Times New Roman" w:eastAsia="宋体"/>
                <w:color w:val="auto"/>
                <w:u w:val="none"/>
                <w:lang w:val="en-US" w:eastAsia="zh-CN"/>
              </w:rPr>
            </w:pPr>
            <w:r>
              <w:rPr>
                <w:rFonts w:hint="eastAsia" w:ascii="Times New Roman" w:hAnsi="Times New Roman" w:eastAsia="方正仿宋_GB2312" w:cs="Times New Roman"/>
                <w:color w:val="auto"/>
                <w:sz w:val="36"/>
                <w:szCs w:val="36"/>
                <w:lang w:val="en-US" w:eastAsia="zh-CN"/>
              </w:rPr>
              <w:t>2026年5月</w:t>
            </w:r>
          </w:p>
        </w:tc>
        <w:bookmarkStart w:id="3" w:name="_Hlk57884087"/>
      </w:tr>
    </w:tbl>
    <w:p w14:paraId="64EDC093">
      <w:pPr>
        <w:adjustRightInd w:val="0"/>
        <w:snapToGrid w:val="0"/>
        <w:spacing w:line="288" w:lineRule="auto"/>
        <w:rPr>
          <w:rFonts w:hint="eastAsia" w:ascii="方正仿宋_GB2312" w:eastAsia="方正仿宋_GB2312"/>
          <w:color w:val="auto"/>
          <w:sz w:val="36"/>
          <w:szCs w:val="36"/>
        </w:rPr>
      </w:pPr>
    </w:p>
    <w:p w14:paraId="02766ECE">
      <w:pPr>
        <w:adjustRightInd w:val="0"/>
        <w:snapToGrid w:val="0"/>
        <w:spacing w:line="288" w:lineRule="auto"/>
        <w:ind w:firstLine="1040"/>
        <w:rPr>
          <w:rFonts w:hint="eastAsia" w:ascii="方正仿宋_GB2312" w:eastAsia="方正仿宋_GB2312"/>
          <w:color w:val="auto"/>
          <w:sz w:val="36"/>
          <w:szCs w:val="36"/>
        </w:rPr>
      </w:pPr>
    </w:p>
    <w:bookmarkEnd w:id="3"/>
    <w:p w14:paraId="07318F1A">
      <w:pPr>
        <w:adjustRightInd w:val="0"/>
        <w:snapToGrid w:val="0"/>
        <w:spacing w:line="288" w:lineRule="auto"/>
        <w:jc w:val="center"/>
        <w:rPr>
          <w:rFonts w:hint="eastAsia" w:ascii="方正楷体_GB2312" w:eastAsia="方正楷体_GB2312"/>
          <w:color w:val="auto"/>
          <w:sz w:val="36"/>
          <w:szCs w:val="36"/>
        </w:rPr>
      </w:pPr>
      <w:r>
        <w:rPr>
          <w:rFonts w:hint="eastAsia" w:ascii="方正楷体_GB2312" w:eastAsia="方正楷体_GB2312"/>
          <w:color w:val="auto"/>
          <w:sz w:val="36"/>
          <w:szCs w:val="36"/>
        </w:rPr>
        <w:t>中华人民共和国生态环境部制</w:t>
      </w:r>
    </w:p>
    <w:p w14:paraId="0B2FB90E">
      <w:pPr>
        <w:adjustRightInd w:val="0"/>
        <w:snapToGrid w:val="0"/>
        <w:spacing w:line="288" w:lineRule="auto"/>
        <w:ind w:firstLine="1040"/>
        <w:rPr>
          <w:rFonts w:ascii="方正仿宋_GB2312" w:eastAsia="方正仿宋_GB2312"/>
          <w:color w:val="auto"/>
          <w:sz w:val="36"/>
          <w:szCs w:val="36"/>
        </w:rPr>
        <w:sectPr>
          <w:headerReference r:id="rId3" w:type="default"/>
          <w:footerReference r:id="rId4" w:type="default"/>
          <w:footerReference r:id="rId5" w:type="even"/>
          <w:pgSz w:w="11906" w:h="16838"/>
          <w:pgMar w:top="1701" w:right="1531" w:bottom="1701"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p>
    <w:p w14:paraId="726AB760">
      <w:pPr>
        <w:bidi w:val="0"/>
        <w:spacing w:before="0" w:beforeLines="0" w:after="0" w:afterLines="0" w:line="240" w:lineRule="auto"/>
        <w:ind w:left="0" w:leftChars="0" w:right="0" w:rightChars="0" w:firstLine="0" w:firstLineChars="0"/>
        <w:jc w:val="center"/>
        <w:rPr>
          <w:rFonts w:hint="eastAsia" w:ascii="宋体" w:hAnsi="宋体" w:eastAsia="宋体"/>
          <w:color w:val="auto"/>
          <w:sz w:val="21"/>
          <w:lang w:eastAsia="zh-CN"/>
        </w:rPr>
        <w:sectPr>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r>
        <w:rPr>
          <w:rFonts w:hint="eastAsia" w:ascii="宋体" w:hAnsi="宋体" w:eastAsia="宋体"/>
          <w:color w:val="auto"/>
          <w:sz w:val="21"/>
          <w:lang w:eastAsia="zh-CN"/>
        </w:rPr>
        <w:drawing>
          <wp:inline distT="0" distB="0" distL="114300" distR="114300">
            <wp:extent cx="6109970" cy="8639810"/>
            <wp:effectExtent l="0" t="0" r="5080" b="8890"/>
            <wp:docPr id="178" name="图片 178" descr="doc00913020260807091809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8" descr="doc00913020260807091809_01"/>
                    <pic:cNvPicPr>
                      <a:picLocks noChangeAspect="1"/>
                    </pic:cNvPicPr>
                  </pic:nvPicPr>
                  <pic:blipFill>
                    <a:blip r:embed="rId15"/>
                    <a:stretch>
                      <a:fillRect/>
                    </a:stretch>
                  </pic:blipFill>
                  <pic:spPr>
                    <a:xfrm>
                      <a:off x="0" y="0"/>
                      <a:ext cx="6109970" cy="8639810"/>
                    </a:xfrm>
                    <a:prstGeom prst="rect">
                      <a:avLst/>
                    </a:prstGeom>
                  </pic:spPr>
                </pic:pic>
              </a:graphicData>
            </a:graphic>
          </wp:inline>
        </w:drawing>
      </w:r>
      <w:r>
        <w:rPr>
          <w:rFonts w:hint="eastAsia" w:ascii="宋体" w:hAnsi="宋体" w:eastAsia="宋体"/>
          <w:color w:val="auto"/>
          <w:sz w:val="21"/>
          <w:lang w:eastAsia="zh-CN"/>
        </w:rPr>
        <w:drawing>
          <wp:inline distT="0" distB="0" distL="114300" distR="114300">
            <wp:extent cx="6105525" cy="8639810"/>
            <wp:effectExtent l="0" t="0" r="9525" b="8890"/>
            <wp:docPr id="186" name="图片 186" descr="扫描全能王 2026-08-06 17.34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6" descr="扫描全能王 2026-08-06 17.34_01"/>
                    <pic:cNvPicPr>
                      <a:picLocks noChangeAspect="1"/>
                    </pic:cNvPicPr>
                  </pic:nvPicPr>
                  <pic:blipFill>
                    <a:blip r:embed="rId16"/>
                    <a:stretch>
                      <a:fillRect/>
                    </a:stretch>
                  </pic:blipFill>
                  <pic:spPr>
                    <a:xfrm>
                      <a:off x="0" y="0"/>
                      <a:ext cx="6105525" cy="8639810"/>
                    </a:xfrm>
                    <a:prstGeom prst="rect">
                      <a:avLst/>
                    </a:prstGeom>
                  </pic:spPr>
                </pic:pic>
              </a:graphicData>
            </a:graphic>
          </wp:inline>
        </w:drawing>
      </w:r>
      <w:r>
        <w:rPr>
          <w:rFonts w:hint="eastAsia" w:ascii="宋体" w:hAnsi="宋体" w:eastAsia="宋体"/>
          <w:color w:val="auto"/>
          <w:sz w:val="21"/>
          <w:lang w:eastAsia="zh-CN"/>
        </w:rPr>
        <w:drawing>
          <wp:inline distT="0" distB="0" distL="114300" distR="114300">
            <wp:extent cx="6109970" cy="8639810"/>
            <wp:effectExtent l="0" t="0" r="5080" b="8890"/>
            <wp:docPr id="179" name="图片 179" descr="doc00913020260807091809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9" descr="doc00913020260807091809_02"/>
                    <pic:cNvPicPr>
                      <a:picLocks noChangeAspect="1"/>
                    </pic:cNvPicPr>
                  </pic:nvPicPr>
                  <pic:blipFill>
                    <a:blip r:embed="rId17"/>
                    <a:stretch>
                      <a:fillRect/>
                    </a:stretch>
                  </pic:blipFill>
                  <pic:spPr>
                    <a:xfrm>
                      <a:off x="0" y="0"/>
                      <a:ext cx="6109970" cy="8639810"/>
                    </a:xfrm>
                    <a:prstGeom prst="rect">
                      <a:avLst/>
                    </a:prstGeom>
                  </pic:spPr>
                </pic:pic>
              </a:graphicData>
            </a:graphic>
          </wp:inline>
        </w:drawing>
      </w:r>
      <w:r>
        <w:rPr>
          <w:rFonts w:hint="eastAsia" w:ascii="宋体" w:hAnsi="宋体" w:eastAsia="宋体"/>
          <w:color w:val="auto"/>
          <w:sz w:val="21"/>
          <w:lang w:eastAsia="zh-CN"/>
        </w:rPr>
        <w:drawing>
          <wp:inline distT="0" distB="0" distL="114300" distR="114300">
            <wp:extent cx="6109970" cy="8639810"/>
            <wp:effectExtent l="0" t="0" r="5080" b="8890"/>
            <wp:docPr id="180" name="图片 180" descr="doc00913020260807091809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0" descr="doc00913020260807091809_03"/>
                    <pic:cNvPicPr>
                      <a:picLocks noChangeAspect="1"/>
                    </pic:cNvPicPr>
                  </pic:nvPicPr>
                  <pic:blipFill>
                    <a:blip r:embed="rId18"/>
                    <a:stretch>
                      <a:fillRect/>
                    </a:stretch>
                  </pic:blipFill>
                  <pic:spPr>
                    <a:xfrm>
                      <a:off x="0" y="0"/>
                      <a:ext cx="6109970" cy="8639810"/>
                    </a:xfrm>
                    <a:prstGeom prst="rect">
                      <a:avLst/>
                    </a:prstGeom>
                  </pic:spPr>
                </pic:pic>
              </a:graphicData>
            </a:graphic>
          </wp:inline>
        </w:drawing>
      </w:r>
      <w:r>
        <w:rPr>
          <w:rFonts w:hint="eastAsia" w:ascii="宋体" w:hAnsi="宋体" w:eastAsia="宋体"/>
          <w:color w:val="auto"/>
          <w:sz w:val="21"/>
          <w:lang w:eastAsia="zh-CN"/>
        </w:rPr>
        <w:drawing>
          <wp:inline distT="0" distB="0" distL="114300" distR="114300">
            <wp:extent cx="6108700" cy="8639810"/>
            <wp:effectExtent l="0" t="0" r="6350" b="8890"/>
            <wp:docPr id="181" name="图片 181" descr="doc00913020260807091809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descr="doc00913020260807091809_04"/>
                    <pic:cNvPicPr>
                      <a:picLocks noChangeAspect="1"/>
                    </pic:cNvPicPr>
                  </pic:nvPicPr>
                  <pic:blipFill>
                    <a:blip r:embed="rId19"/>
                    <a:stretch>
                      <a:fillRect/>
                    </a:stretch>
                  </pic:blipFill>
                  <pic:spPr>
                    <a:xfrm>
                      <a:off x="0" y="0"/>
                      <a:ext cx="6108700" cy="8639810"/>
                    </a:xfrm>
                    <a:prstGeom prst="rect">
                      <a:avLst/>
                    </a:prstGeom>
                  </pic:spPr>
                </pic:pic>
              </a:graphicData>
            </a:graphic>
          </wp:inline>
        </w:drawing>
      </w:r>
      <w:r>
        <w:rPr>
          <w:rFonts w:hint="eastAsia" w:ascii="宋体" w:hAnsi="宋体" w:eastAsia="宋体"/>
          <w:color w:val="auto"/>
          <w:sz w:val="21"/>
          <w:lang w:eastAsia="zh-CN"/>
        </w:rPr>
        <w:drawing>
          <wp:inline distT="0" distB="0" distL="114300" distR="114300">
            <wp:extent cx="6108700" cy="8639175"/>
            <wp:effectExtent l="0" t="0" r="6350" b="9525"/>
            <wp:docPr id="182" name="图片 182" descr="doc00913020260807091809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2" descr="doc00913020260807091809_05"/>
                    <pic:cNvPicPr>
                      <a:picLocks noChangeAspect="1"/>
                    </pic:cNvPicPr>
                  </pic:nvPicPr>
                  <pic:blipFill>
                    <a:blip r:embed="rId20"/>
                    <a:stretch>
                      <a:fillRect/>
                    </a:stretch>
                  </pic:blipFill>
                  <pic:spPr>
                    <a:xfrm>
                      <a:off x="0" y="0"/>
                      <a:ext cx="6108700" cy="8639175"/>
                    </a:xfrm>
                    <a:prstGeom prst="rect">
                      <a:avLst/>
                    </a:prstGeom>
                  </pic:spPr>
                </pic:pic>
              </a:graphicData>
            </a:graphic>
          </wp:inline>
        </w:drawing>
      </w:r>
      <w:r>
        <w:rPr>
          <w:rFonts w:hint="eastAsia" w:ascii="宋体" w:hAnsi="宋体" w:eastAsia="宋体"/>
          <w:color w:val="auto"/>
          <w:sz w:val="21"/>
          <w:lang w:eastAsia="zh-CN"/>
        </w:rPr>
        <w:drawing>
          <wp:inline distT="0" distB="0" distL="114300" distR="114300">
            <wp:extent cx="6109970" cy="8639810"/>
            <wp:effectExtent l="0" t="0" r="5080" b="8890"/>
            <wp:docPr id="183" name="图片 183" descr="doc00913020260807091809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descr="doc00913020260807091809_06"/>
                    <pic:cNvPicPr>
                      <a:picLocks noChangeAspect="1"/>
                    </pic:cNvPicPr>
                  </pic:nvPicPr>
                  <pic:blipFill>
                    <a:blip r:embed="rId21"/>
                    <a:stretch>
                      <a:fillRect/>
                    </a:stretch>
                  </pic:blipFill>
                  <pic:spPr>
                    <a:xfrm>
                      <a:off x="0" y="0"/>
                      <a:ext cx="6109970" cy="8639810"/>
                    </a:xfrm>
                    <a:prstGeom prst="rect">
                      <a:avLst/>
                    </a:prstGeom>
                  </pic:spPr>
                </pic:pic>
              </a:graphicData>
            </a:graphic>
          </wp:inline>
        </w:drawing>
      </w:r>
      <w:r>
        <w:rPr>
          <w:color w:val="auto"/>
        </w:rPr>
        <w:drawing>
          <wp:inline distT="0" distB="0" distL="114300" distR="114300">
            <wp:extent cx="5609590" cy="2367280"/>
            <wp:effectExtent l="0" t="0" r="10160" b="13970"/>
            <wp:docPr id="1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
                    <pic:cNvPicPr>
                      <a:picLocks noChangeAspect="1"/>
                    </pic:cNvPicPr>
                  </pic:nvPicPr>
                  <pic:blipFill>
                    <a:blip r:embed="rId22"/>
                    <a:stretch>
                      <a:fillRect/>
                    </a:stretch>
                  </pic:blipFill>
                  <pic:spPr>
                    <a:xfrm>
                      <a:off x="0" y="0"/>
                      <a:ext cx="5609590" cy="2367280"/>
                    </a:xfrm>
                    <a:prstGeom prst="rect">
                      <a:avLst/>
                    </a:prstGeom>
                    <a:noFill/>
                    <a:ln>
                      <a:noFill/>
                    </a:ln>
                  </pic:spPr>
                </pic:pic>
              </a:graphicData>
            </a:graphic>
          </wp:inline>
        </w:drawing>
      </w:r>
      <w:r>
        <w:rPr>
          <w:color w:val="auto"/>
        </w:rPr>
        <w:drawing>
          <wp:inline distT="0" distB="0" distL="114300" distR="114300">
            <wp:extent cx="5610860" cy="2285365"/>
            <wp:effectExtent l="0" t="0" r="8890" b="635"/>
            <wp:docPr id="1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2"/>
                    <pic:cNvPicPr>
                      <a:picLocks noChangeAspect="1"/>
                    </pic:cNvPicPr>
                  </pic:nvPicPr>
                  <pic:blipFill>
                    <a:blip r:embed="rId23"/>
                    <a:stretch>
                      <a:fillRect/>
                    </a:stretch>
                  </pic:blipFill>
                  <pic:spPr>
                    <a:xfrm>
                      <a:off x="0" y="0"/>
                      <a:ext cx="5610860" cy="2285365"/>
                    </a:xfrm>
                    <a:prstGeom prst="rect">
                      <a:avLst/>
                    </a:prstGeom>
                    <a:noFill/>
                    <a:ln>
                      <a:noFill/>
                    </a:ln>
                  </pic:spPr>
                </pic:pic>
              </a:graphicData>
            </a:graphic>
          </wp:inline>
        </w:drawing>
      </w:r>
    </w:p>
    <w:p w14:paraId="13DF4CFF">
      <w:pPr>
        <w:bidi w:val="0"/>
        <w:spacing w:before="0" w:beforeLines="0" w:after="0" w:afterLines="0" w:line="240" w:lineRule="auto"/>
        <w:ind w:left="0" w:leftChars="0" w:right="0" w:rightChars="0" w:firstLine="0" w:firstLineChars="0"/>
        <w:jc w:val="center"/>
        <w:rPr>
          <w:color w:val="auto"/>
          <w:kern w:val="2"/>
          <w:sz w:val="21"/>
          <w:szCs w:val="24"/>
          <w:lang w:val="en-US" w:eastAsia="zh-CN" w:bidi="ar-SA"/>
        </w:rPr>
      </w:pPr>
      <w:r>
        <w:rPr>
          <w:rFonts w:ascii="宋体" w:hAnsi="宋体" w:eastAsia="宋体"/>
          <w:color w:val="auto"/>
          <w:sz w:val="21"/>
        </w:rPr>
        <w:t>目录</w:t>
      </w:r>
      <w:r>
        <w:rPr>
          <w:color w:val="auto"/>
        </w:rPr>
        <w:fldChar w:fldCharType="begin"/>
      </w:r>
      <w:r>
        <w:rPr>
          <w:color w:val="auto"/>
        </w:rPr>
        <w:instrText xml:space="preserve">TOC \o "1-3" \h \u </w:instrText>
      </w:r>
      <w:r>
        <w:rPr>
          <w:color w:val="auto"/>
        </w:rPr>
        <w:fldChar w:fldCharType="separate"/>
      </w:r>
    </w:p>
    <w:p w14:paraId="0B2505A5">
      <w:pPr>
        <w:pStyle w:val="10"/>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eastAsia" w:eastAsia="宋体"/>
          <w:color w:val="auto"/>
          <w:lang w:val="en-US" w:eastAsia="zh-CN"/>
        </w:rPr>
      </w:pPr>
      <w:r>
        <w:rPr>
          <w:rFonts w:hint="eastAsia"/>
          <w:color w:val="auto"/>
          <w:lang w:val="en-US" w:eastAsia="zh-CN"/>
        </w:rPr>
        <w:t>一、</w:t>
      </w:r>
      <w:r>
        <w:rPr>
          <w:rFonts w:hint="eastAsia"/>
          <w:color w:val="auto"/>
        </w:rPr>
        <w:t>建设项目基本情况</w:t>
      </w:r>
      <w:r>
        <w:rPr>
          <w:color w:val="auto"/>
        </w:rPr>
        <w:tab/>
      </w:r>
      <w:r>
        <w:rPr>
          <w:rFonts w:hint="eastAsia"/>
          <w:color w:val="auto"/>
          <w:lang w:val="en-US" w:eastAsia="zh-CN"/>
        </w:rPr>
        <w:t>1</w:t>
      </w:r>
    </w:p>
    <w:p w14:paraId="7ECA0703">
      <w:pPr>
        <w:pStyle w:val="10"/>
        <w:keepNext w:val="0"/>
        <w:keepLines w:val="0"/>
        <w:pageBreakBefore w:val="0"/>
        <w:widowControl w:val="0"/>
        <w:tabs>
          <w:tab w:val="right" w:leader="dot" w:pos="8844"/>
        </w:tabs>
        <w:kinsoku/>
        <w:wordWrap/>
        <w:overflowPunct/>
        <w:topLinePunct w:val="0"/>
        <w:autoSpaceDE/>
        <w:autoSpaceDN/>
        <w:bidi w:val="0"/>
        <w:adjustRightInd/>
        <w:snapToGrid/>
        <w:ind w:left="420" w:leftChars="200" w:firstLine="0" w:firstLineChars="0"/>
        <w:textAlignment w:val="auto"/>
        <w:rPr>
          <w:color w:val="auto"/>
        </w:rPr>
      </w:pPr>
      <w:r>
        <w:rPr>
          <w:color w:val="auto"/>
        </w:rPr>
        <w:fldChar w:fldCharType="begin"/>
      </w:r>
      <w:r>
        <w:rPr>
          <w:color w:val="auto"/>
        </w:rPr>
        <w:instrText xml:space="preserve"> HYPERLINK \l _Toc11314 </w:instrText>
      </w:r>
      <w:r>
        <w:rPr>
          <w:color w:val="auto"/>
        </w:rPr>
        <w:fldChar w:fldCharType="separate"/>
      </w:r>
      <w:r>
        <w:rPr>
          <w:rFonts w:hint="default" w:ascii="Times New Roman" w:hAnsi="Times New Roman" w:eastAsia="宋体" w:cs="Times New Roman"/>
          <w:color w:val="auto"/>
          <w:kern w:val="2"/>
          <w:sz w:val="21"/>
          <w:szCs w:val="24"/>
          <w:lang w:val="en-US" w:eastAsia="zh-CN" w:bidi="ar-SA"/>
        </w:rPr>
        <w:t>1.1与规划符合性分析</w:t>
      </w:r>
      <w:r>
        <w:rPr>
          <w:color w:val="auto"/>
        </w:rPr>
        <w:tab/>
      </w:r>
      <w:r>
        <w:rPr>
          <w:color w:val="auto"/>
        </w:rPr>
        <w:fldChar w:fldCharType="begin"/>
      </w:r>
      <w:r>
        <w:rPr>
          <w:color w:val="auto"/>
        </w:rPr>
        <w:instrText xml:space="preserve"> PAGEREF _Toc11314 \h </w:instrText>
      </w:r>
      <w:r>
        <w:rPr>
          <w:color w:val="auto"/>
        </w:rPr>
        <w:fldChar w:fldCharType="separate"/>
      </w:r>
      <w:r>
        <w:rPr>
          <w:color w:val="auto"/>
        </w:rPr>
        <w:t>3</w:t>
      </w:r>
      <w:r>
        <w:rPr>
          <w:color w:val="auto"/>
        </w:rPr>
        <w:fldChar w:fldCharType="end"/>
      </w:r>
      <w:r>
        <w:rPr>
          <w:color w:val="auto"/>
        </w:rPr>
        <w:fldChar w:fldCharType="end"/>
      </w:r>
    </w:p>
    <w:p w14:paraId="00973CE1">
      <w:pPr>
        <w:pStyle w:val="15"/>
        <w:tabs>
          <w:tab w:val="right" w:leader="dot" w:pos="8844"/>
        </w:tabs>
        <w:rPr>
          <w:color w:val="auto"/>
        </w:rPr>
      </w:pPr>
      <w:r>
        <w:rPr>
          <w:color w:val="auto"/>
        </w:rPr>
        <w:fldChar w:fldCharType="begin"/>
      </w:r>
      <w:r>
        <w:rPr>
          <w:color w:val="auto"/>
        </w:rPr>
        <w:instrText xml:space="preserve"> HYPERLINK \l _Toc18327 </w:instrText>
      </w:r>
      <w:r>
        <w:rPr>
          <w:color w:val="auto"/>
        </w:rPr>
        <w:fldChar w:fldCharType="separate"/>
      </w:r>
      <w:r>
        <w:rPr>
          <w:rFonts w:hint="eastAsia" w:ascii="Times New Roman" w:hAnsi="Times New Roman" w:eastAsia="宋体" w:cs="Times New Roman"/>
          <w:bCs/>
          <w:color w:val="auto"/>
          <w:kern w:val="2"/>
          <w:szCs w:val="30"/>
          <w:highlight w:val="none"/>
          <w:lang w:val="en-US" w:eastAsia="zh-CN" w:bidi="ar-SA"/>
        </w:rPr>
        <w:t>1.2产业政策适宜性分析</w:t>
      </w:r>
      <w:r>
        <w:rPr>
          <w:color w:val="auto"/>
        </w:rPr>
        <w:tab/>
      </w:r>
      <w:r>
        <w:rPr>
          <w:color w:val="auto"/>
        </w:rPr>
        <w:fldChar w:fldCharType="begin"/>
      </w:r>
      <w:r>
        <w:rPr>
          <w:color w:val="auto"/>
        </w:rPr>
        <w:instrText xml:space="preserve"> PAGEREF _Toc18327 \h </w:instrText>
      </w:r>
      <w:r>
        <w:rPr>
          <w:color w:val="auto"/>
        </w:rPr>
        <w:fldChar w:fldCharType="separate"/>
      </w:r>
      <w:r>
        <w:rPr>
          <w:color w:val="auto"/>
        </w:rPr>
        <w:t>5</w:t>
      </w:r>
      <w:r>
        <w:rPr>
          <w:color w:val="auto"/>
        </w:rPr>
        <w:fldChar w:fldCharType="end"/>
      </w:r>
      <w:r>
        <w:rPr>
          <w:color w:val="auto"/>
        </w:rPr>
        <w:fldChar w:fldCharType="end"/>
      </w:r>
    </w:p>
    <w:p w14:paraId="5416A3F5">
      <w:pPr>
        <w:pStyle w:val="15"/>
        <w:tabs>
          <w:tab w:val="right" w:leader="dot" w:pos="8844"/>
        </w:tabs>
        <w:rPr>
          <w:color w:val="auto"/>
        </w:rPr>
      </w:pPr>
      <w:r>
        <w:rPr>
          <w:color w:val="auto"/>
        </w:rPr>
        <w:fldChar w:fldCharType="begin"/>
      </w:r>
      <w:r>
        <w:rPr>
          <w:color w:val="auto"/>
        </w:rPr>
        <w:instrText xml:space="preserve"> HYPERLINK \l _Toc13238 </w:instrText>
      </w:r>
      <w:r>
        <w:rPr>
          <w:color w:val="auto"/>
        </w:rPr>
        <w:fldChar w:fldCharType="separate"/>
      </w:r>
      <w:r>
        <w:rPr>
          <w:rFonts w:hint="eastAsia" w:ascii="Times New Roman" w:hAnsi="Times New Roman" w:eastAsia="宋体" w:cs="Times New Roman"/>
          <w:bCs/>
          <w:color w:val="auto"/>
          <w:kern w:val="2"/>
          <w:szCs w:val="30"/>
          <w:highlight w:val="none"/>
          <w:lang w:val="en-US" w:eastAsia="zh-CN" w:bidi="ar-SA"/>
        </w:rPr>
        <w:t>1.3项目用地规划合理性分析</w:t>
      </w:r>
      <w:r>
        <w:rPr>
          <w:color w:val="auto"/>
        </w:rPr>
        <w:tab/>
      </w:r>
      <w:r>
        <w:rPr>
          <w:color w:val="auto"/>
        </w:rPr>
        <w:fldChar w:fldCharType="begin"/>
      </w:r>
      <w:r>
        <w:rPr>
          <w:color w:val="auto"/>
        </w:rPr>
        <w:instrText xml:space="preserve"> PAGEREF _Toc13238 \h </w:instrText>
      </w:r>
      <w:r>
        <w:rPr>
          <w:color w:val="auto"/>
        </w:rPr>
        <w:fldChar w:fldCharType="separate"/>
      </w:r>
      <w:r>
        <w:rPr>
          <w:color w:val="auto"/>
        </w:rPr>
        <w:t>6</w:t>
      </w:r>
      <w:r>
        <w:rPr>
          <w:color w:val="auto"/>
        </w:rPr>
        <w:fldChar w:fldCharType="end"/>
      </w:r>
      <w:r>
        <w:rPr>
          <w:color w:val="auto"/>
        </w:rPr>
        <w:fldChar w:fldCharType="end"/>
      </w:r>
    </w:p>
    <w:p w14:paraId="2377D01A">
      <w:pPr>
        <w:pStyle w:val="15"/>
        <w:tabs>
          <w:tab w:val="right" w:leader="dot" w:pos="8844"/>
        </w:tabs>
        <w:rPr>
          <w:color w:val="auto"/>
        </w:rPr>
      </w:pPr>
      <w:r>
        <w:rPr>
          <w:color w:val="auto"/>
        </w:rPr>
        <w:fldChar w:fldCharType="begin"/>
      </w:r>
      <w:r>
        <w:rPr>
          <w:color w:val="auto"/>
        </w:rPr>
        <w:instrText xml:space="preserve"> HYPERLINK \l _Toc4802 </w:instrText>
      </w:r>
      <w:r>
        <w:rPr>
          <w:color w:val="auto"/>
        </w:rPr>
        <w:fldChar w:fldCharType="separate"/>
      </w:r>
      <w:r>
        <w:rPr>
          <w:rFonts w:hint="eastAsia" w:ascii="Times New Roman" w:hAnsi="Times New Roman" w:eastAsia="宋体" w:cs="Times New Roman"/>
          <w:bCs/>
          <w:color w:val="auto"/>
          <w:kern w:val="2"/>
          <w:szCs w:val="30"/>
          <w:highlight w:val="none"/>
          <w:lang w:val="en-US" w:eastAsia="zh-CN" w:bidi="ar-SA"/>
        </w:rPr>
        <w:t>1.4项目周边相容性符合性分析</w:t>
      </w:r>
      <w:r>
        <w:rPr>
          <w:color w:val="auto"/>
        </w:rPr>
        <w:tab/>
      </w:r>
      <w:r>
        <w:rPr>
          <w:color w:val="auto"/>
        </w:rPr>
        <w:fldChar w:fldCharType="begin"/>
      </w:r>
      <w:r>
        <w:rPr>
          <w:color w:val="auto"/>
        </w:rPr>
        <w:instrText xml:space="preserve"> PAGEREF _Toc4802 \h </w:instrText>
      </w:r>
      <w:r>
        <w:rPr>
          <w:color w:val="auto"/>
        </w:rPr>
        <w:fldChar w:fldCharType="separate"/>
      </w:r>
      <w:r>
        <w:rPr>
          <w:color w:val="auto"/>
        </w:rPr>
        <w:t>6</w:t>
      </w:r>
      <w:r>
        <w:rPr>
          <w:color w:val="auto"/>
        </w:rPr>
        <w:fldChar w:fldCharType="end"/>
      </w:r>
      <w:r>
        <w:rPr>
          <w:color w:val="auto"/>
        </w:rPr>
        <w:fldChar w:fldCharType="end"/>
      </w:r>
    </w:p>
    <w:p w14:paraId="6A239E91">
      <w:pPr>
        <w:pStyle w:val="15"/>
        <w:tabs>
          <w:tab w:val="right" w:leader="dot" w:pos="8844"/>
        </w:tabs>
        <w:rPr>
          <w:color w:val="auto"/>
        </w:rPr>
      </w:pPr>
      <w:r>
        <w:rPr>
          <w:color w:val="auto"/>
        </w:rPr>
        <w:fldChar w:fldCharType="begin"/>
      </w:r>
      <w:r>
        <w:rPr>
          <w:color w:val="auto"/>
        </w:rPr>
        <w:instrText xml:space="preserve"> HYPERLINK \l _Toc31830 </w:instrText>
      </w:r>
      <w:r>
        <w:rPr>
          <w:color w:val="auto"/>
        </w:rPr>
        <w:fldChar w:fldCharType="separate"/>
      </w:r>
      <w:r>
        <w:rPr>
          <w:rFonts w:hint="eastAsia" w:ascii="Times New Roman" w:hAnsi="Times New Roman" w:eastAsia="宋体" w:cs="Times New Roman"/>
          <w:bCs/>
          <w:color w:val="auto"/>
          <w:kern w:val="2"/>
          <w:szCs w:val="30"/>
          <w:highlight w:val="none"/>
          <w:lang w:val="en-US" w:eastAsia="zh-CN" w:bidi="ar-SA"/>
        </w:rPr>
        <w:t>1.5与福州市生态环境分区管控的要求符合性分析</w:t>
      </w:r>
      <w:r>
        <w:rPr>
          <w:color w:val="auto"/>
        </w:rPr>
        <w:tab/>
      </w:r>
      <w:r>
        <w:rPr>
          <w:color w:val="auto"/>
        </w:rPr>
        <w:fldChar w:fldCharType="begin"/>
      </w:r>
      <w:r>
        <w:rPr>
          <w:color w:val="auto"/>
        </w:rPr>
        <w:instrText xml:space="preserve"> PAGEREF _Toc31830 \h </w:instrText>
      </w:r>
      <w:r>
        <w:rPr>
          <w:color w:val="auto"/>
        </w:rPr>
        <w:fldChar w:fldCharType="separate"/>
      </w:r>
      <w:r>
        <w:rPr>
          <w:color w:val="auto"/>
        </w:rPr>
        <w:t>6</w:t>
      </w:r>
      <w:r>
        <w:rPr>
          <w:color w:val="auto"/>
        </w:rPr>
        <w:fldChar w:fldCharType="end"/>
      </w:r>
      <w:r>
        <w:rPr>
          <w:color w:val="auto"/>
        </w:rPr>
        <w:fldChar w:fldCharType="end"/>
      </w:r>
    </w:p>
    <w:p w14:paraId="1F578AC3">
      <w:pPr>
        <w:pStyle w:val="15"/>
        <w:tabs>
          <w:tab w:val="right" w:leader="dot" w:pos="8844"/>
        </w:tabs>
        <w:rPr>
          <w:color w:val="auto"/>
        </w:rPr>
      </w:pPr>
      <w:r>
        <w:rPr>
          <w:color w:val="auto"/>
        </w:rPr>
        <w:fldChar w:fldCharType="begin"/>
      </w:r>
      <w:r>
        <w:rPr>
          <w:color w:val="auto"/>
        </w:rPr>
        <w:instrText xml:space="preserve"> HYPERLINK \l _Toc6301 </w:instrText>
      </w:r>
      <w:r>
        <w:rPr>
          <w:color w:val="auto"/>
        </w:rPr>
        <w:fldChar w:fldCharType="separate"/>
      </w:r>
      <w:r>
        <w:rPr>
          <w:rFonts w:hint="eastAsia" w:ascii="Times New Roman" w:hAnsi="Times New Roman" w:eastAsia="宋体" w:cs="Times New Roman"/>
          <w:bCs/>
          <w:color w:val="auto"/>
          <w:kern w:val="2"/>
          <w:szCs w:val="30"/>
          <w:highlight w:val="none"/>
          <w:lang w:val="en-US" w:eastAsia="zh-CN" w:bidi="ar-SA"/>
        </w:rPr>
        <w:t>1.6与挥发性有机物污染防治相关政策符合性分析</w:t>
      </w:r>
      <w:r>
        <w:rPr>
          <w:color w:val="auto"/>
        </w:rPr>
        <w:tab/>
      </w:r>
      <w:r>
        <w:rPr>
          <w:color w:val="auto"/>
        </w:rPr>
        <w:fldChar w:fldCharType="begin"/>
      </w:r>
      <w:r>
        <w:rPr>
          <w:color w:val="auto"/>
        </w:rPr>
        <w:instrText xml:space="preserve"> PAGEREF _Toc6301 \h </w:instrText>
      </w:r>
      <w:r>
        <w:rPr>
          <w:color w:val="auto"/>
        </w:rPr>
        <w:fldChar w:fldCharType="separate"/>
      </w:r>
      <w:r>
        <w:rPr>
          <w:color w:val="auto"/>
        </w:rPr>
        <w:t>11</w:t>
      </w:r>
      <w:r>
        <w:rPr>
          <w:color w:val="auto"/>
        </w:rPr>
        <w:fldChar w:fldCharType="end"/>
      </w:r>
      <w:r>
        <w:rPr>
          <w:color w:val="auto"/>
        </w:rPr>
        <w:fldChar w:fldCharType="end"/>
      </w:r>
    </w:p>
    <w:p w14:paraId="3DCEC8B9">
      <w:pPr>
        <w:pStyle w:val="15"/>
        <w:tabs>
          <w:tab w:val="right" w:leader="dot" w:pos="8844"/>
        </w:tabs>
        <w:ind w:left="0" w:leftChars="0" w:firstLine="0" w:firstLineChars="0"/>
        <w:rPr>
          <w:rFonts w:hint="eastAsia" w:eastAsia="宋体"/>
          <w:color w:val="auto"/>
          <w:lang w:val="en-US" w:eastAsia="zh-CN"/>
        </w:rPr>
      </w:pPr>
      <w:r>
        <w:rPr>
          <w:rFonts w:hint="eastAsia"/>
          <w:color w:val="auto"/>
          <w:lang w:val="en-US" w:eastAsia="zh-CN"/>
        </w:rPr>
        <w:t>二、</w:t>
      </w:r>
      <w:r>
        <w:rPr>
          <w:rFonts w:hint="eastAsia"/>
          <w:color w:val="auto"/>
        </w:rPr>
        <w:t>建设项目工程分析</w:t>
      </w:r>
      <w:r>
        <w:rPr>
          <w:color w:val="auto"/>
        </w:rPr>
        <w:tab/>
      </w:r>
      <w:r>
        <w:rPr>
          <w:color w:val="auto"/>
        </w:rPr>
        <w:fldChar w:fldCharType="begin"/>
      </w:r>
      <w:r>
        <w:rPr>
          <w:color w:val="auto"/>
        </w:rPr>
        <w:instrText xml:space="preserve"> PAGEREF _Toc25723 \h </w:instrText>
      </w:r>
      <w:r>
        <w:rPr>
          <w:color w:val="auto"/>
        </w:rPr>
        <w:fldChar w:fldCharType="separate"/>
      </w:r>
      <w:r>
        <w:rPr>
          <w:color w:val="auto"/>
        </w:rPr>
        <w:t>16</w:t>
      </w:r>
      <w:r>
        <w:rPr>
          <w:color w:val="auto"/>
        </w:rPr>
        <w:fldChar w:fldCharType="end"/>
      </w:r>
    </w:p>
    <w:p w14:paraId="50E7BC31">
      <w:pPr>
        <w:pStyle w:val="15"/>
        <w:tabs>
          <w:tab w:val="right" w:leader="dot" w:pos="8844"/>
        </w:tabs>
        <w:rPr>
          <w:color w:val="auto"/>
        </w:rPr>
      </w:pPr>
      <w:r>
        <w:rPr>
          <w:color w:val="auto"/>
        </w:rPr>
        <w:fldChar w:fldCharType="begin"/>
      </w:r>
      <w:r>
        <w:rPr>
          <w:color w:val="auto"/>
        </w:rPr>
        <w:instrText xml:space="preserve"> HYPERLINK \l _Toc25723 </w:instrText>
      </w:r>
      <w:r>
        <w:rPr>
          <w:color w:val="auto"/>
        </w:rPr>
        <w:fldChar w:fldCharType="separate"/>
      </w:r>
      <w:r>
        <w:rPr>
          <w:rFonts w:hint="eastAsia" w:ascii="Times New Roman" w:hAnsi="Times New Roman" w:eastAsia="宋体" w:cs="Times New Roman"/>
          <w:color w:val="auto"/>
          <w:lang w:val="en-US" w:eastAsia="zh-CN"/>
        </w:rPr>
        <w:t>2.1项目基本情况</w:t>
      </w:r>
      <w:r>
        <w:rPr>
          <w:color w:val="auto"/>
        </w:rPr>
        <w:tab/>
      </w:r>
      <w:r>
        <w:rPr>
          <w:color w:val="auto"/>
        </w:rPr>
        <w:fldChar w:fldCharType="begin"/>
      </w:r>
      <w:r>
        <w:rPr>
          <w:color w:val="auto"/>
        </w:rPr>
        <w:instrText xml:space="preserve"> PAGEREF _Toc25723 \h </w:instrText>
      </w:r>
      <w:r>
        <w:rPr>
          <w:color w:val="auto"/>
        </w:rPr>
        <w:fldChar w:fldCharType="separate"/>
      </w:r>
      <w:r>
        <w:rPr>
          <w:color w:val="auto"/>
        </w:rPr>
        <w:t>16</w:t>
      </w:r>
      <w:r>
        <w:rPr>
          <w:color w:val="auto"/>
        </w:rPr>
        <w:fldChar w:fldCharType="end"/>
      </w:r>
      <w:r>
        <w:rPr>
          <w:color w:val="auto"/>
        </w:rPr>
        <w:fldChar w:fldCharType="end"/>
      </w:r>
    </w:p>
    <w:p w14:paraId="315871D8">
      <w:pPr>
        <w:pStyle w:val="10"/>
        <w:tabs>
          <w:tab w:val="right" w:leader="dot" w:pos="8844"/>
        </w:tabs>
        <w:rPr>
          <w:color w:val="auto"/>
        </w:rPr>
      </w:pPr>
      <w:r>
        <w:rPr>
          <w:color w:val="auto"/>
        </w:rPr>
        <w:fldChar w:fldCharType="begin"/>
      </w:r>
      <w:r>
        <w:rPr>
          <w:color w:val="auto"/>
        </w:rPr>
        <w:instrText xml:space="preserve"> HYPERLINK \l _Toc22655 </w:instrText>
      </w:r>
      <w:r>
        <w:rPr>
          <w:color w:val="auto"/>
        </w:rPr>
        <w:fldChar w:fldCharType="separate"/>
      </w:r>
      <w:r>
        <w:rPr>
          <w:rFonts w:hint="eastAsia"/>
          <w:color w:val="auto"/>
          <w:lang w:val="en-US" w:eastAsia="zh-CN"/>
        </w:rPr>
        <w:t>2.1.1项目由来</w:t>
      </w:r>
      <w:r>
        <w:rPr>
          <w:color w:val="auto"/>
        </w:rPr>
        <w:tab/>
      </w:r>
      <w:r>
        <w:rPr>
          <w:color w:val="auto"/>
        </w:rPr>
        <w:fldChar w:fldCharType="begin"/>
      </w:r>
      <w:r>
        <w:rPr>
          <w:color w:val="auto"/>
        </w:rPr>
        <w:instrText xml:space="preserve"> PAGEREF _Toc22655 \h </w:instrText>
      </w:r>
      <w:r>
        <w:rPr>
          <w:color w:val="auto"/>
        </w:rPr>
        <w:fldChar w:fldCharType="separate"/>
      </w:r>
      <w:r>
        <w:rPr>
          <w:color w:val="auto"/>
        </w:rPr>
        <w:t>16</w:t>
      </w:r>
      <w:r>
        <w:rPr>
          <w:color w:val="auto"/>
        </w:rPr>
        <w:fldChar w:fldCharType="end"/>
      </w:r>
      <w:r>
        <w:rPr>
          <w:color w:val="auto"/>
        </w:rPr>
        <w:fldChar w:fldCharType="end"/>
      </w:r>
    </w:p>
    <w:p w14:paraId="48C4BBBD">
      <w:pPr>
        <w:pStyle w:val="10"/>
        <w:tabs>
          <w:tab w:val="right" w:leader="dot" w:pos="8844"/>
        </w:tabs>
        <w:rPr>
          <w:color w:val="auto"/>
        </w:rPr>
      </w:pPr>
      <w:r>
        <w:rPr>
          <w:color w:val="auto"/>
        </w:rPr>
        <w:fldChar w:fldCharType="begin"/>
      </w:r>
      <w:r>
        <w:rPr>
          <w:color w:val="auto"/>
        </w:rPr>
        <w:instrText xml:space="preserve"> HYPERLINK \l _Toc12568 </w:instrText>
      </w:r>
      <w:r>
        <w:rPr>
          <w:color w:val="auto"/>
        </w:rPr>
        <w:fldChar w:fldCharType="separate"/>
      </w:r>
      <w:r>
        <w:rPr>
          <w:rFonts w:hint="eastAsia" w:ascii="Times New Roman" w:hAnsi="Times New Roman" w:eastAsia="宋体" w:cs="Times New Roman"/>
          <w:color w:val="auto"/>
          <w:kern w:val="2"/>
          <w:szCs w:val="24"/>
          <w:lang w:val="en-US" w:eastAsia="zh-CN" w:bidi="ar-SA"/>
        </w:rPr>
        <w:t>2.1.2本次项目基本情况</w:t>
      </w:r>
      <w:r>
        <w:rPr>
          <w:color w:val="auto"/>
        </w:rPr>
        <w:tab/>
      </w:r>
      <w:r>
        <w:rPr>
          <w:color w:val="auto"/>
        </w:rPr>
        <w:fldChar w:fldCharType="begin"/>
      </w:r>
      <w:r>
        <w:rPr>
          <w:color w:val="auto"/>
        </w:rPr>
        <w:instrText xml:space="preserve"> PAGEREF _Toc12568 \h </w:instrText>
      </w:r>
      <w:r>
        <w:rPr>
          <w:color w:val="auto"/>
        </w:rPr>
        <w:fldChar w:fldCharType="separate"/>
      </w:r>
      <w:r>
        <w:rPr>
          <w:color w:val="auto"/>
        </w:rPr>
        <w:t>17</w:t>
      </w:r>
      <w:r>
        <w:rPr>
          <w:color w:val="auto"/>
        </w:rPr>
        <w:fldChar w:fldCharType="end"/>
      </w:r>
      <w:r>
        <w:rPr>
          <w:color w:val="auto"/>
        </w:rPr>
        <w:fldChar w:fldCharType="end"/>
      </w:r>
    </w:p>
    <w:p w14:paraId="30E7E641">
      <w:pPr>
        <w:pStyle w:val="10"/>
        <w:tabs>
          <w:tab w:val="right" w:leader="dot" w:pos="8844"/>
        </w:tabs>
        <w:rPr>
          <w:color w:val="auto"/>
        </w:rPr>
      </w:pPr>
      <w:r>
        <w:rPr>
          <w:color w:val="auto"/>
        </w:rPr>
        <w:fldChar w:fldCharType="begin"/>
      </w:r>
      <w:r>
        <w:rPr>
          <w:color w:val="auto"/>
        </w:rPr>
        <w:instrText xml:space="preserve"> HYPERLINK \l _Toc15885 </w:instrText>
      </w:r>
      <w:r>
        <w:rPr>
          <w:color w:val="auto"/>
        </w:rPr>
        <w:fldChar w:fldCharType="separate"/>
      </w:r>
      <w:r>
        <w:rPr>
          <w:rFonts w:hint="eastAsia" w:ascii="Times New Roman" w:hAnsi="Times New Roman" w:eastAsia="宋体" w:cs="Times New Roman"/>
          <w:color w:val="auto"/>
          <w:kern w:val="2"/>
          <w:szCs w:val="24"/>
          <w:lang w:val="en-US" w:eastAsia="zh-CN" w:bidi="ar-SA"/>
        </w:rPr>
        <w:t>2.1.3本次项目产品方案</w:t>
      </w:r>
      <w:r>
        <w:rPr>
          <w:color w:val="auto"/>
        </w:rPr>
        <w:tab/>
      </w:r>
      <w:r>
        <w:rPr>
          <w:color w:val="auto"/>
        </w:rPr>
        <w:fldChar w:fldCharType="begin"/>
      </w:r>
      <w:r>
        <w:rPr>
          <w:color w:val="auto"/>
        </w:rPr>
        <w:instrText xml:space="preserve"> PAGEREF _Toc15885 \h </w:instrText>
      </w:r>
      <w:r>
        <w:rPr>
          <w:color w:val="auto"/>
        </w:rPr>
        <w:fldChar w:fldCharType="separate"/>
      </w:r>
      <w:r>
        <w:rPr>
          <w:color w:val="auto"/>
        </w:rPr>
        <w:t>17</w:t>
      </w:r>
      <w:r>
        <w:rPr>
          <w:color w:val="auto"/>
        </w:rPr>
        <w:fldChar w:fldCharType="end"/>
      </w:r>
      <w:r>
        <w:rPr>
          <w:color w:val="auto"/>
        </w:rPr>
        <w:fldChar w:fldCharType="end"/>
      </w:r>
    </w:p>
    <w:p w14:paraId="66D0E0EB">
      <w:pPr>
        <w:pStyle w:val="10"/>
        <w:tabs>
          <w:tab w:val="right" w:leader="dot" w:pos="8844"/>
        </w:tabs>
        <w:rPr>
          <w:color w:val="auto"/>
        </w:rPr>
      </w:pPr>
      <w:r>
        <w:rPr>
          <w:color w:val="auto"/>
        </w:rPr>
        <w:fldChar w:fldCharType="begin"/>
      </w:r>
      <w:r>
        <w:rPr>
          <w:color w:val="auto"/>
        </w:rPr>
        <w:instrText xml:space="preserve"> HYPERLINK \l _Toc29918 </w:instrText>
      </w:r>
      <w:r>
        <w:rPr>
          <w:color w:val="auto"/>
        </w:rPr>
        <w:fldChar w:fldCharType="separate"/>
      </w:r>
      <w:r>
        <w:rPr>
          <w:rFonts w:hint="eastAsia"/>
          <w:color w:val="auto"/>
          <w:lang w:val="en-US" w:eastAsia="zh-CN"/>
        </w:rPr>
        <w:t>2.1.4本次项目组成及建设内容</w:t>
      </w:r>
      <w:r>
        <w:rPr>
          <w:color w:val="auto"/>
        </w:rPr>
        <w:tab/>
      </w:r>
      <w:r>
        <w:rPr>
          <w:color w:val="auto"/>
        </w:rPr>
        <w:fldChar w:fldCharType="begin"/>
      </w:r>
      <w:r>
        <w:rPr>
          <w:color w:val="auto"/>
        </w:rPr>
        <w:instrText xml:space="preserve"> PAGEREF _Toc29918 \h </w:instrText>
      </w:r>
      <w:r>
        <w:rPr>
          <w:color w:val="auto"/>
        </w:rPr>
        <w:fldChar w:fldCharType="separate"/>
      </w:r>
      <w:r>
        <w:rPr>
          <w:color w:val="auto"/>
        </w:rPr>
        <w:t>17</w:t>
      </w:r>
      <w:r>
        <w:rPr>
          <w:color w:val="auto"/>
        </w:rPr>
        <w:fldChar w:fldCharType="end"/>
      </w:r>
      <w:r>
        <w:rPr>
          <w:color w:val="auto"/>
        </w:rPr>
        <w:fldChar w:fldCharType="end"/>
      </w:r>
    </w:p>
    <w:p w14:paraId="0199617D">
      <w:pPr>
        <w:pStyle w:val="10"/>
        <w:tabs>
          <w:tab w:val="right" w:leader="dot" w:pos="8844"/>
        </w:tabs>
        <w:rPr>
          <w:color w:val="auto"/>
        </w:rPr>
      </w:pPr>
      <w:r>
        <w:rPr>
          <w:color w:val="auto"/>
        </w:rPr>
        <w:fldChar w:fldCharType="begin"/>
      </w:r>
      <w:r>
        <w:rPr>
          <w:color w:val="auto"/>
        </w:rPr>
        <w:instrText xml:space="preserve"> HYPERLINK \l _Toc4489 </w:instrText>
      </w:r>
      <w:r>
        <w:rPr>
          <w:color w:val="auto"/>
        </w:rPr>
        <w:fldChar w:fldCharType="separate"/>
      </w:r>
      <w:r>
        <w:rPr>
          <w:rFonts w:hint="eastAsia"/>
          <w:color w:val="auto"/>
          <w:lang w:val="en-US" w:eastAsia="zh-CN"/>
        </w:rPr>
        <w:t>2.1.5项目主要生产设备</w:t>
      </w:r>
      <w:r>
        <w:rPr>
          <w:color w:val="auto"/>
        </w:rPr>
        <w:tab/>
      </w:r>
      <w:r>
        <w:rPr>
          <w:color w:val="auto"/>
        </w:rPr>
        <w:fldChar w:fldCharType="begin"/>
      </w:r>
      <w:r>
        <w:rPr>
          <w:color w:val="auto"/>
        </w:rPr>
        <w:instrText xml:space="preserve"> PAGEREF _Toc4489 \h </w:instrText>
      </w:r>
      <w:r>
        <w:rPr>
          <w:color w:val="auto"/>
        </w:rPr>
        <w:fldChar w:fldCharType="separate"/>
      </w:r>
      <w:r>
        <w:rPr>
          <w:color w:val="auto"/>
        </w:rPr>
        <w:t>18</w:t>
      </w:r>
      <w:r>
        <w:rPr>
          <w:color w:val="auto"/>
        </w:rPr>
        <w:fldChar w:fldCharType="end"/>
      </w:r>
      <w:r>
        <w:rPr>
          <w:color w:val="auto"/>
        </w:rPr>
        <w:fldChar w:fldCharType="end"/>
      </w:r>
    </w:p>
    <w:p w14:paraId="2550DA8E">
      <w:pPr>
        <w:pStyle w:val="10"/>
        <w:tabs>
          <w:tab w:val="right" w:leader="dot" w:pos="8844"/>
        </w:tabs>
        <w:rPr>
          <w:color w:val="auto"/>
        </w:rPr>
      </w:pPr>
      <w:r>
        <w:rPr>
          <w:color w:val="auto"/>
        </w:rPr>
        <w:fldChar w:fldCharType="begin"/>
      </w:r>
      <w:r>
        <w:rPr>
          <w:color w:val="auto"/>
        </w:rPr>
        <w:instrText xml:space="preserve"> HYPERLINK \l _Toc10657 </w:instrText>
      </w:r>
      <w:r>
        <w:rPr>
          <w:color w:val="auto"/>
        </w:rPr>
        <w:fldChar w:fldCharType="separate"/>
      </w:r>
      <w:r>
        <w:rPr>
          <w:rFonts w:hint="eastAsia"/>
          <w:color w:val="auto"/>
          <w:lang w:val="en-US" w:eastAsia="zh-CN"/>
        </w:rPr>
        <w:t>2.1.6主要原辅材料</w:t>
      </w:r>
      <w:r>
        <w:rPr>
          <w:color w:val="auto"/>
        </w:rPr>
        <w:tab/>
      </w:r>
      <w:r>
        <w:rPr>
          <w:color w:val="auto"/>
        </w:rPr>
        <w:fldChar w:fldCharType="begin"/>
      </w:r>
      <w:r>
        <w:rPr>
          <w:color w:val="auto"/>
        </w:rPr>
        <w:instrText xml:space="preserve"> PAGEREF _Toc10657 \h </w:instrText>
      </w:r>
      <w:r>
        <w:rPr>
          <w:color w:val="auto"/>
        </w:rPr>
        <w:fldChar w:fldCharType="separate"/>
      </w:r>
      <w:r>
        <w:rPr>
          <w:color w:val="auto"/>
        </w:rPr>
        <w:t>19</w:t>
      </w:r>
      <w:r>
        <w:rPr>
          <w:color w:val="auto"/>
        </w:rPr>
        <w:fldChar w:fldCharType="end"/>
      </w:r>
      <w:r>
        <w:rPr>
          <w:color w:val="auto"/>
        </w:rPr>
        <w:fldChar w:fldCharType="end"/>
      </w:r>
    </w:p>
    <w:p w14:paraId="042877BA">
      <w:pPr>
        <w:pStyle w:val="10"/>
        <w:tabs>
          <w:tab w:val="right" w:leader="dot" w:pos="8844"/>
        </w:tabs>
        <w:rPr>
          <w:color w:val="auto"/>
        </w:rPr>
      </w:pPr>
      <w:r>
        <w:rPr>
          <w:color w:val="auto"/>
        </w:rPr>
        <w:fldChar w:fldCharType="begin"/>
      </w:r>
      <w:r>
        <w:rPr>
          <w:color w:val="auto"/>
        </w:rPr>
        <w:instrText xml:space="preserve"> HYPERLINK \l _Toc17091 </w:instrText>
      </w:r>
      <w:r>
        <w:rPr>
          <w:color w:val="auto"/>
        </w:rPr>
        <w:fldChar w:fldCharType="separate"/>
      </w:r>
      <w:r>
        <w:rPr>
          <w:rFonts w:hint="eastAsia" w:ascii="Times New Roman" w:hAnsi="Times New Roman" w:eastAsia="宋体" w:cs="Times New Roman"/>
          <w:color w:val="auto"/>
          <w:kern w:val="2"/>
          <w:szCs w:val="24"/>
          <w:lang w:val="en-US" w:eastAsia="zh-CN" w:bidi="ar-SA"/>
        </w:rPr>
        <w:t>2.1.7项目主要能源消耗</w:t>
      </w:r>
      <w:r>
        <w:rPr>
          <w:color w:val="auto"/>
        </w:rPr>
        <w:tab/>
      </w:r>
      <w:r>
        <w:rPr>
          <w:color w:val="auto"/>
        </w:rPr>
        <w:fldChar w:fldCharType="begin"/>
      </w:r>
      <w:r>
        <w:rPr>
          <w:color w:val="auto"/>
        </w:rPr>
        <w:instrText xml:space="preserve"> PAGEREF _Toc17091 \h </w:instrText>
      </w:r>
      <w:r>
        <w:rPr>
          <w:color w:val="auto"/>
        </w:rPr>
        <w:fldChar w:fldCharType="separate"/>
      </w:r>
      <w:r>
        <w:rPr>
          <w:color w:val="auto"/>
        </w:rPr>
        <w:t>22</w:t>
      </w:r>
      <w:r>
        <w:rPr>
          <w:color w:val="auto"/>
        </w:rPr>
        <w:fldChar w:fldCharType="end"/>
      </w:r>
      <w:r>
        <w:rPr>
          <w:color w:val="auto"/>
        </w:rPr>
        <w:fldChar w:fldCharType="end"/>
      </w:r>
    </w:p>
    <w:p w14:paraId="327915BA">
      <w:pPr>
        <w:pStyle w:val="10"/>
        <w:tabs>
          <w:tab w:val="right" w:leader="dot" w:pos="8844"/>
        </w:tabs>
        <w:rPr>
          <w:color w:val="auto"/>
        </w:rPr>
      </w:pPr>
      <w:r>
        <w:rPr>
          <w:color w:val="auto"/>
        </w:rPr>
        <w:fldChar w:fldCharType="begin"/>
      </w:r>
      <w:r>
        <w:rPr>
          <w:color w:val="auto"/>
        </w:rPr>
        <w:instrText xml:space="preserve"> HYPERLINK \l _Toc4108 </w:instrText>
      </w:r>
      <w:r>
        <w:rPr>
          <w:color w:val="auto"/>
        </w:rPr>
        <w:fldChar w:fldCharType="separate"/>
      </w:r>
      <w:r>
        <w:rPr>
          <w:rFonts w:hint="eastAsia"/>
          <w:color w:val="auto"/>
          <w:lang w:val="en-US" w:eastAsia="zh-CN"/>
        </w:rPr>
        <w:t>2.1.8项目水平衡</w:t>
      </w:r>
      <w:r>
        <w:rPr>
          <w:color w:val="auto"/>
        </w:rPr>
        <w:tab/>
      </w:r>
      <w:r>
        <w:rPr>
          <w:color w:val="auto"/>
        </w:rPr>
        <w:fldChar w:fldCharType="begin"/>
      </w:r>
      <w:r>
        <w:rPr>
          <w:color w:val="auto"/>
        </w:rPr>
        <w:instrText xml:space="preserve"> PAGEREF _Toc4108 \h </w:instrText>
      </w:r>
      <w:r>
        <w:rPr>
          <w:color w:val="auto"/>
        </w:rPr>
        <w:fldChar w:fldCharType="separate"/>
      </w:r>
      <w:r>
        <w:rPr>
          <w:color w:val="auto"/>
        </w:rPr>
        <w:t>22</w:t>
      </w:r>
      <w:r>
        <w:rPr>
          <w:color w:val="auto"/>
        </w:rPr>
        <w:fldChar w:fldCharType="end"/>
      </w:r>
      <w:r>
        <w:rPr>
          <w:color w:val="auto"/>
        </w:rPr>
        <w:fldChar w:fldCharType="end"/>
      </w:r>
    </w:p>
    <w:p w14:paraId="20E3C276">
      <w:pPr>
        <w:pStyle w:val="10"/>
        <w:tabs>
          <w:tab w:val="right" w:leader="dot" w:pos="8844"/>
        </w:tabs>
        <w:rPr>
          <w:color w:val="auto"/>
        </w:rPr>
      </w:pPr>
      <w:r>
        <w:rPr>
          <w:color w:val="auto"/>
        </w:rPr>
        <w:fldChar w:fldCharType="begin"/>
      </w:r>
      <w:r>
        <w:rPr>
          <w:color w:val="auto"/>
        </w:rPr>
        <w:instrText xml:space="preserve"> HYPERLINK \l _Toc26447 </w:instrText>
      </w:r>
      <w:r>
        <w:rPr>
          <w:color w:val="auto"/>
        </w:rPr>
        <w:fldChar w:fldCharType="separate"/>
      </w:r>
      <w:r>
        <w:rPr>
          <w:rFonts w:hint="default"/>
          <w:color w:val="auto"/>
          <w:lang w:val="en-US" w:eastAsia="zh-CN"/>
        </w:rPr>
        <w:t>2.1.9平面布置合理性分析</w:t>
      </w:r>
      <w:r>
        <w:rPr>
          <w:color w:val="auto"/>
        </w:rPr>
        <w:tab/>
      </w:r>
      <w:r>
        <w:rPr>
          <w:color w:val="auto"/>
        </w:rPr>
        <w:fldChar w:fldCharType="begin"/>
      </w:r>
      <w:r>
        <w:rPr>
          <w:color w:val="auto"/>
        </w:rPr>
        <w:instrText xml:space="preserve"> PAGEREF _Toc26447 \h </w:instrText>
      </w:r>
      <w:r>
        <w:rPr>
          <w:color w:val="auto"/>
        </w:rPr>
        <w:fldChar w:fldCharType="separate"/>
      </w:r>
      <w:r>
        <w:rPr>
          <w:color w:val="auto"/>
        </w:rPr>
        <w:t>24</w:t>
      </w:r>
      <w:r>
        <w:rPr>
          <w:color w:val="auto"/>
        </w:rPr>
        <w:fldChar w:fldCharType="end"/>
      </w:r>
      <w:r>
        <w:rPr>
          <w:color w:val="auto"/>
        </w:rPr>
        <w:fldChar w:fldCharType="end"/>
      </w:r>
    </w:p>
    <w:p w14:paraId="3B1FBA15">
      <w:pPr>
        <w:pStyle w:val="15"/>
        <w:tabs>
          <w:tab w:val="right" w:leader="dot" w:pos="8844"/>
        </w:tabs>
        <w:rPr>
          <w:color w:val="auto"/>
        </w:rPr>
      </w:pPr>
      <w:r>
        <w:rPr>
          <w:color w:val="auto"/>
        </w:rPr>
        <w:fldChar w:fldCharType="begin"/>
      </w:r>
      <w:r>
        <w:rPr>
          <w:color w:val="auto"/>
        </w:rPr>
        <w:instrText xml:space="preserve"> HYPERLINK \l _Toc18587 </w:instrText>
      </w:r>
      <w:r>
        <w:rPr>
          <w:color w:val="auto"/>
        </w:rPr>
        <w:fldChar w:fldCharType="separate"/>
      </w:r>
      <w:r>
        <w:rPr>
          <w:rFonts w:hint="eastAsia" w:ascii="Times New Roman" w:hAnsi="Times New Roman" w:eastAsia="宋体" w:cs="Times New Roman"/>
          <w:color w:val="auto"/>
          <w:kern w:val="2"/>
          <w:szCs w:val="24"/>
          <w:lang w:val="en-US" w:eastAsia="zh-CN" w:bidi="ar-SA"/>
        </w:rPr>
        <w:t>2.2生产工艺流程及产污环节</w:t>
      </w:r>
      <w:r>
        <w:rPr>
          <w:color w:val="auto"/>
        </w:rPr>
        <w:tab/>
      </w:r>
      <w:r>
        <w:rPr>
          <w:color w:val="auto"/>
        </w:rPr>
        <w:fldChar w:fldCharType="begin"/>
      </w:r>
      <w:r>
        <w:rPr>
          <w:color w:val="auto"/>
        </w:rPr>
        <w:instrText xml:space="preserve"> PAGEREF _Toc18587 \h </w:instrText>
      </w:r>
      <w:r>
        <w:rPr>
          <w:color w:val="auto"/>
        </w:rPr>
        <w:fldChar w:fldCharType="separate"/>
      </w:r>
      <w:r>
        <w:rPr>
          <w:color w:val="auto"/>
        </w:rPr>
        <w:t>25</w:t>
      </w:r>
      <w:r>
        <w:rPr>
          <w:color w:val="auto"/>
        </w:rPr>
        <w:fldChar w:fldCharType="end"/>
      </w:r>
      <w:r>
        <w:rPr>
          <w:color w:val="auto"/>
        </w:rPr>
        <w:fldChar w:fldCharType="end"/>
      </w:r>
    </w:p>
    <w:p w14:paraId="79B5B08F">
      <w:pPr>
        <w:pStyle w:val="10"/>
        <w:tabs>
          <w:tab w:val="right" w:leader="dot" w:pos="8844"/>
        </w:tabs>
        <w:rPr>
          <w:color w:val="auto"/>
        </w:rPr>
      </w:pPr>
      <w:r>
        <w:rPr>
          <w:color w:val="auto"/>
        </w:rPr>
        <w:fldChar w:fldCharType="begin"/>
      </w:r>
      <w:r>
        <w:rPr>
          <w:color w:val="auto"/>
        </w:rPr>
        <w:instrText xml:space="preserve"> HYPERLINK \l _Toc16937 </w:instrText>
      </w:r>
      <w:r>
        <w:rPr>
          <w:color w:val="auto"/>
        </w:rPr>
        <w:fldChar w:fldCharType="separate"/>
      </w:r>
      <w:r>
        <w:rPr>
          <w:rFonts w:hint="eastAsia"/>
          <w:color w:val="auto"/>
          <w:lang w:val="en-US" w:eastAsia="zh-CN"/>
        </w:rPr>
        <w:t>2.2.1工艺流程及工艺介绍</w:t>
      </w:r>
      <w:r>
        <w:rPr>
          <w:color w:val="auto"/>
        </w:rPr>
        <w:tab/>
      </w:r>
      <w:r>
        <w:rPr>
          <w:color w:val="auto"/>
        </w:rPr>
        <w:fldChar w:fldCharType="begin"/>
      </w:r>
      <w:r>
        <w:rPr>
          <w:color w:val="auto"/>
        </w:rPr>
        <w:instrText xml:space="preserve"> PAGEREF _Toc16937 \h </w:instrText>
      </w:r>
      <w:r>
        <w:rPr>
          <w:color w:val="auto"/>
        </w:rPr>
        <w:fldChar w:fldCharType="separate"/>
      </w:r>
      <w:r>
        <w:rPr>
          <w:color w:val="auto"/>
        </w:rPr>
        <w:t>25</w:t>
      </w:r>
      <w:r>
        <w:rPr>
          <w:color w:val="auto"/>
        </w:rPr>
        <w:fldChar w:fldCharType="end"/>
      </w:r>
      <w:r>
        <w:rPr>
          <w:color w:val="auto"/>
        </w:rPr>
        <w:fldChar w:fldCharType="end"/>
      </w:r>
    </w:p>
    <w:p w14:paraId="1FAA5D92">
      <w:pPr>
        <w:pStyle w:val="10"/>
        <w:tabs>
          <w:tab w:val="right" w:leader="dot" w:pos="8844"/>
        </w:tabs>
        <w:rPr>
          <w:color w:val="auto"/>
        </w:rPr>
      </w:pPr>
      <w:r>
        <w:rPr>
          <w:color w:val="auto"/>
        </w:rPr>
        <w:fldChar w:fldCharType="begin"/>
      </w:r>
      <w:r>
        <w:rPr>
          <w:color w:val="auto"/>
        </w:rPr>
        <w:instrText xml:space="preserve"> HYPERLINK \l _Toc17692 </w:instrText>
      </w:r>
      <w:r>
        <w:rPr>
          <w:color w:val="auto"/>
        </w:rPr>
        <w:fldChar w:fldCharType="separate"/>
      </w:r>
      <w:r>
        <w:rPr>
          <w:rFonts w:hint="eastAsia"/>
          <w:color w:val="auto"/>
          <w:lang w:val="en-US" w:eastAsia="zh-CN"/>
        </w:rPr>
        <w:t>2.2.2产污环节介绍</w:t>
      </w:r>
      <w:r>
        <w:rPr>
          <w:color w:val="auto"/>
        </w:rPr>
        <w:tab/>
      </w:r>
      <w:r>
        <w:rPr>
          <w:color w:val="auto"/>
        </w:rPr>
        <w:fldChar w:fldCharType="begin"/>
      </w:r>
      <w:r>
        <w:rPr>
          <w:color w:val="auto"/>
        </w:rPr>
        <w:instrText xml:space="preserve"> PAGEREF _Toc17692 \h </w:instrText>
      </w:r>
      <w:r>
        <w:rPr>
          <w:color w:val="auto"/>
        </w:rPr>
        <w:fldChar w:fldCharType="separate"/>
      </w:r>
      <w:r>
        <w:rPr>
          <w:color w:val="auto"/>
        </w:rPr>
        <w:t>29</w:t>
      </w:r>
      <w:r>
        <w:rPr>
          <w:color w:val="auto"/>
        </w:rPr>
        <w:fldChar w:fldCharType="end"/>
      </w:r>
      <w:r>
        <w:rPr>
          <w:color w:val="auto"/>
        </w:rPr>
        <w:fldChar w:fldCharType="end"/>
      </w:r>
    </w:p>
    <w:p w14:paraId="76CAA004">
      <w:pPr>
        <w:pStyle w:val="15"/>
        <w:tabs>
          <w:tab w:val="right" w:leader="dot" w:pos="8844"/>
        </w:tabs>
        <w:ind w:left="0" w:leftChars="0" w:firstLine="0" w:firstLineChars="0"/>
        <w:rPr>
          <w:rFonts w:hint="default" w:eastAsia="宋体"/>
          <w:color w:val="auto"/>
          <w:lang w:val="en-US" w:eastAsia="zh-CN"/>
        </w:rPr>
      </w:pPr>
      <w:r>
        <w:rPr>
          <w:rFonts w:hint="eastAsia"/>
          <w:color w:val="auto"/>
          <w:lang w:val="en-US" w:eastAsia="zh-CN"/>
        </w:rPr>
        <w:t>三、区域环境质量现状、环境保护目标及评价标准</w:t>
      </w:r>
      <w:r>
        <w:rPr>
          <w:color w:val="auto"/>
        </w:rPr>
        <w:tab/>
      </w:r>
      <w:r>
        <w:rPr>
          <w:color w:val="auto"/>
        </w:rPr>
        <w:fldChar w:fldCharType="begin"/>
      </w:r>
      <w:r>
        <w:rPr>
          <w:color w:val="auto"/>
        </w:rPr>
        <w:instrText xml:space="preserve"> PAGEREF _Toc21918 \h </w:instrText>
      </w:r>
      <w:r>
        <w:rPr>
          <w:color w:val="auto"/>
        </w:rPr>
        <w:fldChar w:fldCharType="separate"/>
      </w:r>
      <w:r>
        <w:rPr>
          <w:color w:val="auto"/>
        </w:rPr>
        <w:t>31</w:t>
      </w:r>
      <w:r>
        <w:rPr>
          <w:color w:val="auto"/>
        </w:rPr>
        <w:fldChar w:fldCharType="end"/>
      </w:r>
    </w:p>
    <w:p w14:paraId="77F70CA1">
      <w:pPr>
        <w:pStyle w:val="15"/>
        <w:tabs>
          <w:tab w:val="right" w:leader="dot" w:pos="8844"/>
        </w:tabs>
        <w:rPr>
          <w:color w:val="auto"/>
        </w:rPr>
      </w:pPr>
      <w:r>
        <w:rPr>
          <w:color w:val="auto"/>
        </w:rPr>
        <w:fldChar w:fldCharType="begin"/>
      </w:r>
      <w:r>
        <w:rPr>
          <w:color w:val="auto"/>
        </w:rPr>
        <w:instrText xml:space="preserve"> HYPERLINK \l _Toc21918 </w:instrText>
      </w:r>
      <w:r>
        <w:rPr>
          <w:color w:val="auto"/>
        </w:rPr>
        <w:fldChar w:fldCharType="separate"/>
      </w:r>
      <w:r>
        <w:rPr>
          <w:rFonts w:hint="eastAsia" w:ascii="Times New Roman" w:hAnsi="Times New Roman" w:eastAsia="宋体" w:cs="Times New Roman"/>
          <w:color w:val="auto"/>
          <w:kern w:val="2"/>
          <w:szCs w:val="24"/>
          <w:lang w:val="en-US" w:eastAsia="zh-CN" w:bidi="ar-SA"/>
        </w:rPr>
        <w:t>3.1大气环境质量现状</w:t>
      </w:r>
      <w:r>
        <w:rPr>
          <w:color w:val="auto"/>
        </w:rPr>
        <w:tab/>
      </w:r>
      <w:r>
        <w:rPr>
          <w:color w:val="auto"/>
        </w:rPr>
        <w:fldChar w:fldCharType="begin"/>
      </w:r>
      <w:r>
        <w:rPr>
          <w:color w:val="auto"/>
        </w:rPr>
        <w:instrText xml:space="preserve"> PAGEREF _Toc21918 \h </w:instrText>
      </w:r>
      <w:r>
        <w:rPr>
          <w:color w:val="auto"/>
        </w:rPr>
        <w:fldChar w:fldCharType="separate"/>
      </w:r>
      <w:r>
        <w:rPr>
          <w:color w:val="auto"/>
        </w:rPr>
        <w:t>31</w:t>
      </w:r>
      <w:r>
        <w:rPr>
          <w:color w:val="auto"/>
        </w:rPr>
        <w:fldChar w:fldCharType="end"/>
      </w:r>
      <w:r>
        <w:rPr>
          <w:color w:val="auto"/>
        </w:rPr>
        <w:fldChar w:fldCharType="end"/>
      </w:r>
    </w:p>
    <w:p w14:paraId="4A90CCDD">
      <w:pPr>
        <w:pStyle w:val="10"/>
        <w:tabs>
          <w:tab w:val="right" w:leader="dot" w:pos="8844"/>
        </w:tabs>
        <w:rPr>
          <w:color w:val="auto"/>
        </w:rPr>
      </w:pPr>
      <w:r>
        <w:rPr>
          <w:color w:val="auto"/>
        </w:rPr>
        <w:fldChar w:fldCharType="begin"/>
      </w:r>
      <w:r>
        <w:rPr>
          <w:color w:val="auto"/>
        </w:rPr>
        <w:instrText xml:space="preserve"> HYPERLINK \l _Toc24439 </w:instrText>
      </w:r>
      <w:r>
        <w:rPr>
          <w:color w:val="auto"/>
        </w:rPr>
        <w:fldChar w:fldCharType="separate"/>
      </w:r>
      <w:r>
        <w:rPr>
          <w:rFonts w:hint="eastAsia" w:ascii="Times New Roman" w:hAnsi="Times New Roman" w:eastAsia="宋体" w:cs="Times New Roman"/>
          <w:color w:val="auto"/>
          <w:kern w:val="2"/>
          <w:szCs w:val="24"/>
          <w:lang w:val="en-US" w:eastAsia="zh-CN" w:bidi="ar-SA"/>
        </w:rPr>
        <w:t>3.1.1环境空气质量功能区划</w:t>
      </w:r>
      <w:r>
        <w:rPr>
          <w:color w:val="auto"/>
        </w:rPr>
        <w:tab/>
      </w:r>
      <w:r>
        <w:rPr>
          <w:color w:val="auto"/>
        </w:rPr>
        <w:fldChar w:fldCharType="begin"/>
      </w:r>
      <w:r>
        <w:rPr>
          <w:color w:val="auto"/>
        </w:rPr>
        <w:instrText xml:space="preserve"> PAGEREF _Toc24439 \h </w:instrText>
      </w:r>
      <w:r>
        <w:rPr>
          <w:color w:val="auto"/>
        </w:rPr>
        <w:fldChar w:fldCharType="separate"/>
      </w:r>
      <w:r>
        <w:rPr>
          <w:color w:val="auto"/>
        </w:rPr>
        <w:t>31</w:t>
      </w:r>
      <w:r>
        <w:rPr>
          <w:color w:val="auto"/>
        </w:rPr>
        <w:fldChar w:fldCharType="end"/>
      </w:r>
      <w:r>
        <w:rPr>
          <w:color w:val="auto"/>
        </w:rPr>
        <w:fldChar w:fldCharType="end"/>
      </w:r>
    </w:p>
    <w:p w14:paraId="44BD320F">
      <w:pPr>
        <w:pStyle w:val="10"/>
        <w:tabs>
          <w:tab w:val="right" w:leader="dot" w:pos="8844"/>
        </w:tabs>
        <w:rPr>
          <w:color w:val="auto"/>
        </w:rPr>
      </w:pPr>
      <w:r>
        <w:rPr>
          <w:color w:val="auto"/>
        </w:rPr>
        <w:fldChar w:fldCharType="begin"/>
      </w:r>
      <w:r>
        <w:rPr>
          <w:color w:val="auto"/>
        </w:rPr>
        <w:instrText xml:space="preserve"> HYPERLINK \l _Toc14721 </w:instrText>
      </w:r>
      <w:r>
        <w:rPr>
          <w:color w:val="auto"/>
        </w:rPr>
        <w:fldChar w:fldCharType="separate"/>
      </w:r>
      <w:r>
        <w:rPr>
          <w:rFonts w:hint="eastAsia" w:ascii="Times New Roman" w:hAnsi="Times New Roman" w:eastAsia="宋体" w:cs="Times New Roman"/>
          <w:color w:val="auto"/>
          <w:kern w:val="2"/>
          <w:szCs w:val="24"/>
          <w:lang w:val="en-US" w:eastAsia="zh-CN" w:bidi="ar-SA"/>
        </w:rPr>
        <w:t>3.1.2区域大气</w:t>
      </w:r>
      <w:r>
        <w:rPr>
          <w:rFonts w:hint="eastAsia" w:cs="Times New Roman"/>
          <w:color w:val="auto"/>
          <w:kern w:val="2"/>
          <w:szCs w:val="24"/>
          <w:lang w:val="en-US" w:eastAsia="zh-CN" w:bidi="ar-SA"/>
        </w:rPr>
        <w:t>环境</w:t>
      </w:r>
      <w:r>
        <w:rPr>
          <w:rFonts w:hint="eastAsia" w:ascii="Times New Roman" w:hAnsi="Times New Roman" w:eastAsia="宋体" w:cs="Times New Roman"/>
          <w:color w:val="auto"/>
          <w:kern w:val="2"/>
          <w:szCs w:val="24"/>
          <w:lang w:val="en-US" w:eastAsia="zh-CN" w:bidi="ar-SA"/>
        </w:rPr>
        <w:t>质量现状</w:t>
      </w:r>
      <w:r>
        <w:rPr>
          <w:color w:val="auto"/>
        </w:rPr>
        <w:tab/>
      </w:r>
      <w:r>
        <w:rPr>
          <w:color w:val="auto"/>
        </w:rPr>
        <w:fldChar w:fldCharType="begin"/>
      </w:r>
      <w:r>
        <w:rPr>
          <w:color w:val="auto"/>
        </w:rPr>
        <w:instrText xml:space="preserve"> PAGEREF _Toc14721 \h </w:instrText>
      </w:r>
      <w:r>
        <w:rPr>
          <w:color w:val="auto"/>
        </w:rPr>
        <w:fldChar w:fldCharType="separate"/>
      </w:r>
      <w:r>
        <w:rPr>
          <w:color w:val="auto"/>
        </w:rPr>
        <w:t>32</w:t>
      </w:r>
      <w:r>
        <w:rPr>
          <w:color w:val="auto"/>
        </w:rPr>
        <w:fldChar w:fldCharType="end"/>
      </w:r>
      <w:r>
        <w:rPr>
          <w:color w:val="auto"/>
        </w:rPr>
        <w:fldChar w:fldCharType="end"/>
      </w:r>
    </w:p>
    <w:p w14:paraId="6F3191BC">
      <w:pPr>
        <w:pStyle w:val="15"/>
        <w:tabs>
          <w:tab w:val="right" w:leader="dot" w:pos="8844"/>
        </w:tabs>
        <w:rPr>
          <w:color w:val="auto"/>
        </w:rPr>
      </w:pPr>
      <w:r>
        <w:rPr>
          <w:color w:val="auto"/>
        </w:rPr>
        <w:fldChar w:fldCharType="begin"/>
      </w:r>
      <w:r>
        <w:rPr>
          <w:color w:val="auto"/>
        </w:rPr>
        <w:instrText xml:space="preserve"> HYPERLINK \l _Toc32748 </w:instrText>
      </w:r>
      <w:r>
        <w:rPr>
          <w:color w:val="auto"/>
        </w:rPr>
        <w:fldChar w:fldCharType="separate"/>
      </w:r>
      <w:r>
        <w:rPr>
          <w:rFonts w:hint="eastAsia" w:ascii="Times New Roman" w:hAnsi="Times New Roman" w:eastAsia="宋体" w:cs="Times New Roman"/>
          <w:color w:val="auto"/>
          <w:kern w:val="2"/>
          <w:szCs w:val="24"/>
          <w:lang w:val="en-US" w:eastAsia="zh-CN" w:bidi="ar-SA"/>
        </w:rPr>
        <w:t>3.2地表水环境质量现状</w:t>
      </w:r>
      <w:r>
        <w:rPr>
          <w:color w:val="auto"/>
        </w:rPr>
        <w:tab/>
      </w:r>
      <w:r>
        <w:rPr>
          <w:color w:val="auto"/>
        </w:rPr>
        <w:fldChar w:fldCharType="begin"/>
      </w:r>
      <w:r>
        <w:rPr>
          <w:color w:val="auto"/>
        </w:rPr>
        <w:instrText xml:space="preserve"> PAGEREF _Toc32748 \h </w:instrText>
      </w:r>
      <w:r>
        <w:rPr>
          <w:color w:val="auto"/>
        </w:rPr>
        <w:fldChar w:fldCharType="separate"/>
      </w:r>
      <w:r>
        <w:rPr>
          <w:color w:val="auto"/>
        </w:rPr>
        <w:t>37</w:t>
      </w:r>
      <w:r>
        <w:rPr>
          <w:color w:val="auto"/>
        </w:rPr>
        <w:fldChar w:fldCharType="end"/>
      </w:r>
      <w:r>
        <w:rPr>
          <w:color w:val="auto"/>
        </w:rPr>
        <w:fldChar w:fldCharType="end"/>
      </w:r>
    </w:p>
    <w:p w14:paraId="6AAE8AE3">
      <w:pPr>
        <w:pStyle w:val="15"/>
        <w:tabs>
          <w:tab w:val="right" w:leader="dot" w:pos="8844"/>
        </w:tabs>
        <w:rPr>
          <w:color w:val="auto"/>
        </w:rPr>
      </w:pPr>
      <w:r>
        <w:rPr>
          <w:color w:val="auto"/>
        </w:rPr>
        <w:fldChar w:fldCharType="begin"/>
      </w:r>
      <w:r>
        <w:rPr>
          <w:color w:val="auto"/>
        </w:rPr>
        <w:instrText xml:space="preserve"> HYPERLINK \l _Toc18845 </w:instrText>
      </w:r>
      <w:r>
        <w:rPr>
          <w:color w:val="auto"/>
        </w:rPr>
        <w:fldChar w:fldCharType="separate"/>
      </w:r>
      <w:r>
        <w:rPr>
          <w:rFonts w:hint="eastAsia" w:ascii="Times New Roman" w:hAnsi="Times New Roman" w:eastAsia="宋体" w:cs="Times New Roman"/>
          <w:color w:val="auto"/>
          <w:kern w:val="2"/>
          <w:szCs w:val="24"/>
          <w:lang w:val="en-US" w:eastAsia="zh-CN" w:bidi="ar-SA"/>
        </w:rPr>
        <w:t>3.3声环境质量现状</w:t>
      </w:r>
      <w:r>
        <w:rPr>
          <w:color w:val="auto"/>
        </w:rPr>
        <w:tab/>
      </w:r>
      <w:r>
        <w:rPr>
          <w:color w:val="auto"/>
        </w:rPr>
        <w:fldChar w:fldCharType="begin"/>
      </w:r>
      <w:r>
        <w:rPr>
          <w:color w:val="auto"/>
        </w:rPr>
        <w:instrText xml:space="preserve"> PAGEREF _Toc18845 \h </w:instrText>
      </w:r>
      <w:r>
        <w:rPr>
          <w:color w:val="auto"/>
        </w:rPr>
        <w:fldChar w:fldCharType="separate"/>
      </w:r>
      <w:r>
        <w:rPr>
          <w:color w:val="auto"/>
        </w:rPr>
        <w:t>38</w:t>
      </w:r>
      <w:r>
        <w:rPr>
          <w:color w:val="auto"/>
        </w:rPr>
        <w:fldChar w:fldCharType="end"/>
      </w:r>
      <w:r>
        <w:rPr>
          <w:color w:val="auto"/>
        </w:rPr>
        <w:fldChar w:fldCharType="end"/>
      </w:r>
    </w:p>
    <w:p w14:paraId="56080C3A">
      <w:pPr>
        <w:pStyle w:val="10"/>
        <w:tabs>
          <w:tab w:val="right" w:leader="dot" w:pos="8844"/>
        </w:tabs>
        <w:rPr>
          <w:color w:val="auto"/>
        </w:rPr>
      </w:pPr>
      <w:r>
        <w:rPr>
          <w:color w:val="auto"/>
        </w:rPr>
        <w:fldChar w:fldCharType="begin"/>
      </w:r>
      <w:r>
        <w:rPr>
          <w:color w:val="auto"/>
        </w:rPr>
        <w:instrText xml:space="preserve"> HYPERLINK \l _Toc1308 </w:instrText>
      </w:r>
      <w:r>
        <w:rPr>
          <w:color w:val="auto"/>
        </w:rPr>
        <w:fldChar w:fldCharType="separate"/>
      </w:r>
      <w:r>
        <w:rPr>
          <w:rFonts w:hint="eastAsia" w:ascii="Times New Roman" w:hAnsi="Times New Roman" w:eastAsia="宋体" w:cs="Times New Roman"/>
          <w:color w:val="auto"/>
          <w:kern w:val="2"/>
          <w:szCs w:val="24"/>
          <w:lang w:val="en-US" w:eastAsia="zh-CN" w:bidi="ar-SA"/>
        </w:rPr>
        <w:t>3.3.1声环境功能区划</w:t>
      </w:r>
      <w:r>
        <w:rPr>
          <w:color w:val="auto"/>
        </w:rPr>
        <w:tab/>
      </w:r>
      <w:r>
        <w:rPr>
          <w:color w:val="auto"/>
        </w:rPr>
        <w:fldChar w:fldCharType="begin"/>
      </w:r>
      <w:r>
        <w:rPr>
          <w:color w:val="auto"/>
        </w:rPr>
        <w:instrText xml:space="preserve"> PAGEREF _Toc1308 \h </w:instrText>
      </w:r>
      <w:r>
        <w:rPr>
          <w:color w:val="auto"/>
        </w:rPr>
        <w:fldChar w:fldCharType="separate"/>
      </w:r>
      <w:r>
        <w:rPr>
          <w:color w:val="auto"/>
        </w:rPr>
        <w:t>38</w:t>
      </w:r>
      <w:r>
        <w:rPr>
          <w:color w:val="auto"/>
        </w:rPr>
        <w:fldChar w:fldCharType="end"/>
      </w:r>
      <w:r>
        <w:rPr>
          <w:color w:val="auto"/>
        </w:rPr>
        <w:fldChar w:fldCharType="end"/>
      </w:r>
    </w:p>
    <w:p w14:paraId="69580628">
      <w:pPr>
        <w:pStyle w:val="10"/>
        <w:tabs>
          <w:tab w:val="right" w:leader="dot" w:pos="8844"/>
        </w:tabs>
        <w:rPr>
          <w:color w:val="auto"/>
        </w:rPr>
      </w:pPr>
      <w:r>
        <w:rPr>
          <w:color w:val="auto"/>
        </w:rPr>
        <w:fldChar w:fldCharType="begin"/>
      </w:r>
      <w:r>
        <w:rPr>
          <w:color w:val="auto"/>
        </w:rPr>
        <w:instrText xml:space="preserve"> HYPERLINK \l _Toc14039 </w:instrText>
      </w:r>
      <w:r>
        <w:rPr>
          <w:color w:val="auto"/>
        </w:rPr>
        <w:fldChar w:fldCharType="separate"/>
      </w:r>
      <w:r>
        <w:rPr>
          <w:rFonts w:hint="eastAsia" w:ascii="Times New Roman" w:hAnsi="Times New Roman" w:eastAsia="宋体" w:cs="Times New Roman"/>
          <w:color w:val="auto"/>
          <w:kern w:val="2"/>
          <w:szCs w:val="24"/>
          <w:lang w:val="en-US" w:eastAsia="zh-CN" w:bidi="ar-SA"/>
        </w:rPr>
        <w:t>3.3.2声环境质量现状</w:t>
      </w:r>
      <w:r>
        <w:rPr>
          <w:color w:val="auto"/>
        </w:rPr>
        <w:tab/>
      </w:r>
      <w:r>
        <w:rPr>
          <w:color w:val="auto"/>
        </w:rPr>
        <w:fldChar w:fldCharType="begin"/>
      </w:r>
      <w:r>
        <w:rPr>
          <w:color w:val="auto"/>
        </w:rPr>
        <w:instrText xml:space="preserve"> PAGEREF _Toc14039 \h </w:instrText>
      </w:r>
      <w:r>
        <w:rPr>
          <w:color w:val="auto"/>
        </w:rPr>
        <w:fldChar w:fldCharType="separate"/>
      </w:r>
      <w:r>
        <w:rPr>
          <w:color w:val="auto"/>
        </w:rPr>
        <w:t>39</w:t>
      </w:r>
      <w:r>
        <w:rPr>
          <w:color w:val="auto"/>
        </w:rPr>
        <w:fldChar w:fldCharType="end"/>
      </w:r>
      <w:r>
        <w:rPr>
          <w:color w:val="auto"/>
        </w:rPr>
        <w:fldChar w:fldCharType="end"/>
      </w:r>
    </w:p>
    <w:p w14:paraId="13A16977">
      <w:pPr>
        <w:pStyle w:val="15"/>
        <w:tabs>
          <w:tab w:val="right" w:leader="dot" w:pos="8844"/>
        </w:tabs>
        <w:rPr>
          <w:color w:val="auto"/>
        </w:rPr>
      </w:pPr>
      <w:r>
        <w:rPr>
          <w:color w:val="auto"/>
        </w:rPr>
        <w:fldChar w:fldCharType="begin"/>
      </w:r>
      <w:r>
        <w:rPr>
          <w:color w:val="auto"/>
        </w:rPr>
        <w:instrText xml:space="preserve"> HYPERLINK \l _Toc11057 </w:instrText>
      </w:r>
      <w:r>
        <w:rPr>
          <w:color w:val="auto"/>
        </w:rPr>
        <w:fldChar w:fldCharType="separate"/>
      </w:r>
      <w:r>
        <w:rPr>
          <w:rFonts w:ascii="Times New Roman" w:hAnsi="Times New Roman" w:eastAsia="宋体" w:cs="Times New Roman"/>
          <w:color w:val="auto"/>
          <w:kern w:val="2"/>
          <w:szCs w:val="24"/>
          <w:lang w:val="en-US" w:eastAsia="zh-CN" w:bidi="ar-SA"/>
        </w:rPr>
        <w:t>3.4生态环境现状调查</w:t>
      </w:r>
      <w:r>
        <w:rPr>
          <w:color w:val="auto"/>
        </w:rPr>
        <w:tab/>
      </w:r>
      <w:r>
        <w:rPr>
          <w:color w:val="auto"/>
        </w:rPr>
        <w:fldChar w:fldCharType="begin"/>
      </w:r>
      <w:r>
        <w:rPr>
          <w:color w:val="auto"/>
        </w:rPr>
        <w:instrText xml:space="preserve"> PAGEREF _Toc11057 \h </w:instrText>
      </w:r>
      <w:r>
        <w:rPr>
          <w:color w:val="auto"/>
        </w:rPr>
        <w:fldChar w:fldCharType="separate"/>
      </w:r>
      <w:r>
        <w:rPr>
          <w:color w:val="auto"/>
        </w:rPr>
        <w:t>39</w:t>
      </w:r>
      <w:r>
        <w:rPr>
          <w:color w:val="auto"/>
        </w:rPr>
        <w:fldChar w:fldCharType="end"/>
      </w:r>
      <w:r>
        <w:rPr>
          <w:color w:val="auto"/>
        </w:rPr>
        <w:fldChar w:fldCharType="end"/>
      </w:r>
    </w:p>
    <w:p w14:paraId="117C2BAD">
      <w:pPr>
        <w:pStyle w:val="15"/>
        <w:tabs>
          <w:tab w:val="right" w:leader="dot" w:pos="8844"/>
        </w:tabs>
        <w:rPr>
          <w:color w:val="auto"/>
        </w:rPr>
      </w:pPr>
      <w:r>
        <w:rPr>
          <w:color w:val="auto"/>
        </w:rPr>
        <w:fldChar w:fldCharType="begin"/>
      </w:r>
      <w:r>
        <w:rPr>
          <w:color w:val="auto"/>
        </w:rPr>
        <w:instrText xml:space="preserve"> HYPERLINK \l _Toc20217 </w:instrText>
      </w:r>
      <w:r>
        <w:rPr>
          <w:color w:val="auto"/>
        </w:rPr>
        <w:fldChar w:fldCharType="separate"/>
      </w:r>
      <w:r>
        <w:rPr>
          <w:rFonts w:ascii="Times New Roman" w:hAnsi="Times New Roman" w:eastAsia="宋体" w:cs="Times New Roman"/>
          <w:color w:val="auto"/>
          <w:kern w:val="2"/>
          <w:szCs w:val="24"/>
          <w:lang w:val="en-US" w:eastAsia="zh-CN" w:bidi="ar-SA"/>
        </w:rPr>
        <w:t>3.5地下水、土壤环境质量现状</w:t>
      </w:r>
      <w:r>
        <w:rPr>
          <w:color w:val="auto"/>
        </w:rPr>
        <w:tab/>
      </w:r>
      <w:r>
        <w:rPr>
          <w:color w:val="auto"/>
        </w:rPr>
        <w:fldChar w:fldCharType="begin"/>
      </w:r>
      <w:r>
        <w:rPr>
          <w:color w:val="auto"/>
        </w:rPr>
        <w:instrText xml:space="preserve"> PAGEREF _Toc20217 \h </w:instrText>
      </w:r>
      <w:r>
        <w:rPr>
          <w:color w:val="auto"/>
        </w:rPr>
        <w:fldChar w:fldCharType="separate"/>
      </w:r>
      <w:r>
        <w:rPr>
          <w:color w:val="auto"/>
        </w:rPr>
        <w:t>39</w:t>
      </w:r>
      <w:r>
        <w:rPr>
          <w:color w:val="auto"/>
        </w:rPr>
        <w:fldChar w:fldCharType="end"/>
      </w:r>
      <w:r>
        <w:rPr>
          <w:color w:val="auto"/>
        </w:rPr>
        <w:fldChar w:fldCharType="end"/>
      </w:r>
    </w:p>
    <w:p w14:paraId="01E271FE">
      <w:pPr>
        <w:pStyle w:val="15"/>
        <w:tabs>
          <w:tab w:val="right" w:leader="dot" w:pos="8844"/>
        </w:tabs>
        <w:rPr>
          <w:color w:val="auto"/>
        </w:rPr>
      </w:pPr>
      <w:r>
        <w:rPr>
          <w:color w:val="auto"/>
        </w:rPr>
        <w:fldChar w:fldCharType="begin"/>
      </w:r>
      <w:r>
        <w:rPr>
          <w:color w:val="auto"/>
        </w:rPr>
        <w:instrText xml:space="preserve"> HYPERLINK \l _Toc18638 </w:instrText>
      </w:r>
      <w:r>
        <w:rPr>
          <w:color w:val="auto"/>
        </w:rPr>
        <w:fldChar w:fldCharType="separate"/>
      </w:r>
      <w:r>
        <w:rPr>
          <w:rFonts w:hint="eastAsia" w:ascii="Times New Roman" w:hAnsi="Times New Roman" w:eastAsia="宋体" w:cs="Times New Roman"/>
          <w:color w:val="auto"/>
          <w:kern w:val="2"/>
          <w:szCs w:val="24"/>
          <w:lang w:val="en-US" w:eastAsia="zh-CN" w:bidi="ar-SA"/>
        </w:rPr>
        <w:t>3.6环境保护目标</w:t>
      </w:r>
      <w:r>
        <w:rPr>
          <w:color w:val="auto"/>
        </w:rPr>
        <w:tab/>
      </w:r>
      <w:r>
        <w:rPr>
          <w:color w:val="auto"/>
        </w:rPr>
        <w:fldChar w:fldCharType="begin"/>
      </w:r>
      <w:r>
        <w:rPr>
          <w:color w:val="auto"/>
        </w:rPr>
        <w:instrText xml:space="preserve"> PAGEREF _Toc18638 \h </w:instrText>
      </w:r>
      <w:r>
        <w:rPr>
          <w:color w:val="auto"/>
        </w:rPr>
        <w:fldChar w:fldCharType="separate"/>
      </w:r>
      <w:r>
        <w:rPr>
          <w:color w:val="auto"/>
        </w:rPr>
        <w:t>39</w:t>
      </w:r>
      <w:r>
        <w:rPr>
          <w:color w:val="auto"/>
        </w:rPr>
        <w:fldChar w:fldCharType="end"/>
      </w:r>
      <w:r>
        <w:rPr>
          <w:color w:val="auto"/>
        </w:rPr>
        <w:fldChar w:fldCharType="end"/>
      </w:r>
    </w:p>
    <w:p w14:paraId="6CBE6380">
      <w:pPr>
        <w:pStyle w:val="10"/>
        <w:tabs>
          <w:tab w:val="right" w:leader="dot" w:pos="8844"/>
        </w:tabs>
        <w:rPr>
          <w:color w:val="auto"/>
        </w:rPr>
      </w:pPr>
      <w:r>
        <w:rPr>
          <w:color w:val="auto"/>
        </w:rPr>
        <w:fldChar w:fldCharType="begin"/>
      </w:r>
      <w:r>
        <w:rPr>
          <w:color w:val="auto"/>
        </w:rPr>
        <w:instrText xml:space="preserve"> HYPERLINK \l _Toc13494 </w:instrText>
      </w:r>
      <w:r>
        <w:rPr>
          <w:color w:val="auto"/>
        </w:rPr>
        <w:fldChar w:fldCharType="separate"/>
      </w:r>
      <w:r>
        <w:rPr>
          <w:rFonts w:hint="eastAsia" w:ascii="Times New Roman" w:hAnsi="Times New Roman" w:eastAsia="宋体" w:cs="Times New Roman"/>
          <w:color w:val="auto"/>
          <w:kern w:val="2"/>
          <w:szCs w:val="24"/>
          <w:lang w:val="en-US" w:eastAsia="zh-CN" w:bidi="ar-SA"/>
        </w:rPr>
        <w:t>3.6.1大气环境、水环境、声环境</w:t>
      </w:r>
      <w:r>
        <w:rPr>
          <w:color w:val="auto"/>
        </w:rPr>
        <w:tab/>
      </w:r>
      <w:r>
        <w:rPr>
          <w:color w:val="auto"/>
        </w:rPr>
        <w:fldChar w:fldCharType="begin"/>
      </w:r>
      <w:r>
        <w:rPr>
          <w:color w:val="auto"/>
        </w:rPr>
        <w:instrText xml:space="preserve"> PAGEREF _Toc13494 \h </w:instrText>
      </w:r>
      <w:r>
        <w:rPr>
          <w:color w:val="auto"/>
        </w:rPr>
        <w:fldChar w:fldCharType="separate"/>
      </w:r>
      <w:r>
        <w:rPr>
          <w:color w:val="auto"/>
        </w:rPr>
        <w:t>39</w:t>
      </w:r>
      <w:r>
        <w:rPr>
          <w:color w:val="auto"/>
        </w:rPr>
        <w:fldChar w:fldCharType="end"/>
      </w:r>
      <w:r>
        <w:rPr>
          <w:color w:val="auto"/>
        </w:rPr>
        <w:fldChar w:fldCharType="end"/>
      </w:r>
    </w:p>
    <w:p w14:paraId="6C83D560">
      <w:pPr>
        <w:pStyle w:val="10"/>
        <w:tabs>
          <w:tab w:val="right" w:leader="dot" w:pos="8844"/>
        </w:tabs>
        <w:rPr>
          <w:color w:val="auto"/>
        </w:rPr>
      </w:pPr>
      <w:r>
        <w:rPr>
          <w:color w:val="auto"/>
        </w:rPr>
        <w:fldChar w:fldCharType="begin"/>
      </w:r>
      <w:r>
        <w:rPr>
          <w:color w:val="auto"/>
        </w:rPr>
        <w:instrText xml:space="preserve"> HYPERLINK \l _Toc2552 </w:instrText>
      </w:r>
      <w:r>
        <w:rPr>
          <w:color w:val="auto"/>
        </w:rPr>
        <w:fldChar w:fldCharType="separate"/>
      </w:r>
      <w:r>
        <w:rPr>
          <w:rFonts w:hint="eastAsia" w:ascii="Times New Roman" w:hAnsi="Times New Roman" w:eastAsia="宋体" w:cs="Times New Roman"/>
          <w:color w:val="auto"/>
          <w:kern w:val="2"/>
          <w:szCs w:val="24"/>
          <w:lang w:val="en-US" w:eastAsia="zh-CN" w:bidi="ar-SA"/>
        </w:rPr>
        <w:t>3.6.2生态环境保护目标</w:t>
      </w:r>
      <w:r>
        <w:rPr>
          <w:color w:val="auto"/>
        </w:rPr>
        <w:tab/>
      </w:r>
      <w:r>
        <w:rPr>
          <w:color w:val="auto"/>
        </w:rPr>
        <w:fldChar w:fldCharType="begin"/>
      </w:r>
      <w:r>
        <w:rPr>
          <w:color w:val="auto"/>
        </w:rPr>
        <w:instrText xml:space="preserve"> PAGEREF _Toc2552 \h </w:instrText>
      </w:r>
      <w:r>
        <w:rPr>
          <w:color w:val="auto"/>
        </w:rPr>
        <w:fldChar w:fldCharType="separate"/>
      </w:r>
      <w:r>
        <w:rPr>
          <w:color w:val="auto"/>
        </w:rPr>
        <w:t>40</w:t>
      </w:r>
      <w:r>
        <w:rPr>
          <w:color w:val="auto"/>
        </w:rPr>
        <w:fldChar w:fldCharType="end"/>
      </w:r>
      <w:r>
        <w:rPr>
          <w:color w:val="auto"/>
        </w:rPr>
        <w:fldChar w:fldCharType="end"/>
      </w:r>
    </w:p>
    <w:p w14:paraId="3C6F02C1">
      <w:pPr>
        <w:pStyle w:val="15"/>
        <w:tabs>
          <w:tab w:val="right" w:leader="dot" w:pos="8844"/>
        </w:tabs>
        <w:rPr>
          <w:color w:val="auto"/>
        </w:rPr>
      </w:pPr>
      <w:r>
        <w:rPr>
          <w:color w:val="auto"/>
        </w:rPr>
        <w:fldChar w:fldCharType="begin"/>
      </w:r>
      <w:r>
        <w:rPr>
          <w:color w:val="auto"/>
        </w:rPr>
        <w:instrText xml:space="preserve"> HYPERLINK \l _Toc4022 </w:instrText>
      </w:r>
      <w:r>
        <w:rPr>
          <w:color w:val="auto"/>
        </w:rPr>
        <w:fldChar w:fldCharType="separate"/>
      </w:r>
      <w:r>
        <w:rPr>
          <w:rFonts w:hint="eastAsia" w:ascii="Times New Roman" w:hAnsi="Times New Roman" w:eastAsia="宋体" w:cs="Times New Roman"/>
          <w:color w:val="auto"/>
          <w:kern w:val="2"/>
          <w:szCs w:val="24"/>
          <w:lang w:val="en-US" w:eastAsia="zh-CN" w:bidi="ar-SA"/>
        </w:rPr>
        <w:t>3.7污染物排放标准</w:t>
      </w:r>
      <w:r>
        <w:rPr>
          <w:color w:val="auto"/>
        </w:rPr>
        <w:tab/>
      </w:r>
      <w:r>
        <w:rPr>
          <w:color w:val="auto"/>
        </w:rPr>
        <w:fldChar w:fldCharType="begin"/>
      </w:r>
      <w:r>
        <w:rPr>
          <w:color w:val="auto"/>
        </w:rPr>
        <w:instrText xml:space="preserve"> PAGEREF _Toc4022 \h </w:instrText>
      </w:r>
      <w:r>
        <w:rPr>
          <w:color w:val="auto"/>
        </w:rPr>
        <w:fldChar w:fldCharType="separate"/>
      </w:r>
      <w:r>
        <w:rPr>
          <w:color w:val="auto"/>
        </w:rPr>
        <w:t>40</w:t>
      </w:r>
      <w:r>
        <w:rPr>
          <w:color w:val="auto"/>
        </w:rPr>
        <w:fldChar w:fldCharType="end"/>
      </w:r>
      <w:r>
        <w:rPr>
          <w:color w:val="auto"/>
        </w:rPr>
        <w:fldChar w:fldCharType="end"/>
      </w:r>
    </w:p>
    <w:p w14:paraId="6FF5386D">
      <w:pPr>
        <w:pStyle w:val="10"/>
        <w:tabs>
          <w:tab w:val="right" w:leader="dot" w:pos="8844"/>
        </w:tabs>
        <w:rPr>
          <w:color w:val="auto"/>
        </w:rPr>
      </w:pPr>
      <w:r>
        <w:rPr>
          <w:color w:val="auto"/>
        </w:rPr>
        <w:fldChar w:fldCharType="begin"/>
      </w:r>
      <w:r>
        <w:rPr>
          <w:color w:val="auto"/>
        </w:rPr>
        <w:instrText xml:space="preserve"> HYPERLINK \l _Toc15519 </w:instrText>
      </w:r>
      <w:r>
        <w:rPr>
          <w:color w:val="auto"/>
        </w:rPr>
        <w:fldChar w:fldCharType="separate"/>
      </w:r>
      <w:r>
        <w:rPr>
          <w:rFonts w:hint="eastAsia" w:ascii="Times New Roman" w:hAnsi="Times New Roman" w:eastAsia="宋体" w:cs="Times New Roman"/>
          <w:color w:val="auto"/>
          <w:kern w:val="2"/>
          <w:szCs w:val="24"/>
          <w:lang w:val="en-US" w:eastAsia="zh-CN" w:bidi="ar-SA"/>
        </w:rPr>
        <w:t>3.7.1水污染物排放标准</w:t>
      </w:r>
      <w:r>
        <w:rPr>
          <w:color w:val="auto"/>
        </w:rPr>
        <w:tab/>
      </w:r>
      <w:r>
        <w:rPr>
          <w:color w:val="auto"/>
        </w:rPr>
        <w:fldChar w:fldCharType="begin"/>
      </w:r>
      <w:r>
        <w:rPr>
          <w:color w:val="auto"/>
        </w:rPr>
        <w:instrText xml:space="preserve"> PAGEREF _Toc15519 \h </w:instrText>
      </w:r>
      <w:r>
        <w:rPr>
          <w:color w:val="auto"/>
        </w:rPr>
        <w:fldChar w:fldCharType="separate"/>
      </w:r>
      <w:r>
        <w:rPr>
          <w:color w:val="auto"/>
        </w:rPr>
        <w:t>40</w:t>
      </w:r>
      <w:r>
        <w:rPr>
          <w:color w:val="auto"/>
        </w:rPr>
        <w:fldChar w:fldCharType="end"/>
      </w:r>
      <w:r>
        <w:rPr>
          <w:color w:val="auto"/>
        </w:rPr>
        <w:fldChar w:fldCharType="end"/>
      </w:r>
    </w:p>
    <w:p w14:paraId="7B7084D2">
      <w:pPr>
        <w:pStyle w:val="10"/>
        <w:tabs>
          <w:tab w:val="right" w:leader="dot" w:pos="8844"/>
        </w:tabs>
        <w:rPr>
          <w:color w:val="auto"/>
        </w:rPr>
      </w:pPr>
      <w:r>
        <w:rPr>
          <w:color w:val="auto"/>
        </w:rPr>
        <w:fldChar w:fldCharType="begin"/>
      </w:r>
      <w:r>
        <w:rPr>
          <w:color w:val="auto"/>
        </w:rPr>
        <w:instrText xml:space="preserve"> HYPERLINK \l _Toc20327 </w:instrText>
      </w:r>
      <w:r>
        <w:rPr>
          <w:color w:val="auto"/>
        </w:rPr>
        <w:fldChar w:fldCharType="separate"/>
      </w:r>
      <w:r>
        <w:rPr>
          <w:rFonts w:hint="eastAsia" w:ascii="Times New Roman" w:hAnsi="Times New Roman" w:eastAsia="宋体" w:cs="Times New Roman"/>
          <w:color w:val="auto"/>
          <w:kern w:val="2"/>
          <w:szCs w:val="24"/>
          <w:lang w:val="en-US" w:eastAsia="zh-CN" w:bidi="ar-SA"/>
        </w:rPr>
        <w:t>3.7.2大气污染物排放标准</w:t>
      </w:r>
      <w:r>
        <w:rPr>
          <w:color w:val="auto"/>
        </w:rPr>
        <w:tab/>
      </w:r>
      <w:r>
        <w:rPr>
          <w:color w:val="auto"/>
        </w:rPr>
        <w:fldChar w:fldCharType="begin"/>
      </w:r>
      <w:r>
        <w:rPr>
          <w:color w:val="auto"/>
        </w:rPr>
        <w:instrText xml:space="preserve"> PAGEREF _Toc20327 \h </w:instrText>
      </w:r>
      <w:r>
        <w:rPr>
          <w:color w:val="auto"/>
        </w:rPr>
        <w:fldChar w:fldCharType="separate"/>
      </w:r>
      <w:r>
        <w:rPr>
          <w:color w:val="auto"/>
        </w:rPr>
        <w:t>41</w:t>
      </w:r>
      <w:r>
        <w:rPr>
          <w:color w:val="auto"/>
        </w:rPr>
        <w:fldChar w:fldCharType="end"/>
      </w:r>
      <w:r>
        <w:rPr>
          <w:color w:val="auto"/>
        </w:rPr>
        <w:fldChar w:fldCharType="end"/>
      </w:r>
    </w:p>
    <w:p w14:paraId="4CDA3DB1">
      <w:pPr>
        <w:pStyle w:val="10"/>
        <w:tabs>
          <w:tab w:val="right" w:leader="dot" w:pos="8844"/>
        </w:tabs>
        <w:rPr>
          <w:color w:val="auto"/>
        </w:rPr>
      </w:pPr>
      <w:r>
        <w:rPr>
          <w:color w:val="auto"/>
        </w:rPr>
        <w:fldChar w:fldCharType="begin"/>
      </w:r>
      <w:r>
        <w:rPr>
          <w:color w:val="auto"/>
        </w:rPr>
        <w:instrText xml:space="preserve"> HYPERLINK \l _Toc3765 </w:instrText>
      </w:r>
      <w:r>
        <w:rPr>
          <w:color w:val="auto"/>
        </w:rPr>
        <w:fldChar w:fldCharType="separate"/>
      </w:r>
      <w:r>
        <w:rPr>
          <w:rFonts w:hint="eastAsia" w:ascii="Times New Roman" w:hAnsi="Times New Roman" w:eastAsia="宋体" w:cs="Times New Roman"/>
          <w:color w:val="auto"/>
          <w:kern w:val="2"/>
          <w:szCs w:val="24"/>
          <w:lang w:val="en-US" w:eastAsia="zh-CN" w:bidi="ar-SA"/>
        </w:rPr>
        <w:t>3.7.3噪声排放标准</w:t>
      </w:r>
      <w:r>
        <w:rPr>
          <w:color w:val="auto"/>
        </w:rPr>
        <w:tab/>
      </w:r>
      <w:r>
        <w:rPr>
          <w:color w:val="auto"/>
        </w:rPr>
        <w:fldChar w:fldCharType="begin"/>
      </w:r>
      <w:r>
        <w:rPr>
          <w:color w:val="auto"/>
        </w:rPr>
        <w:instrText xml:space="preserve"> PAGEREF _Toc3765 \h </w:instrText>
      </w:r>
      <w:r>
        <w:rPr>
          <w:color w:val="auto"/>
        </w:rPr>
        <w:fldChar w:fldCharType="separate"/>
      </w:r>
      <w:r>
        <w:rPr>
          <w:color w:val="auto"/>
        </w:rPr>
        <w:t>43</w:t>
      </w:r>
      <w:r>
        <w:rPr>
          <w:color w:val="auto"/>
        </w:rPr>
        <w:fldChar w:fldCharType="end"/>
      </w:r>
      <w:r>
        <w:rPr>
          <w:color w:val="auto"/>
        </w:rPr>
        <w:fldChar w:fldCharType="end"/>
      </w:r>
    </w:p>
    <w:p w14:paraId="00E00038">
      <w:pPr>
        <w:pStyle w:val="10"/>
        <w:tabs>
          <w:tab w:val="right" w:leader="dot" w:pos="8844"/>
        </w:tabs>
        <w:rPr>
          <w:color w:val="auto"/>
        </w:rPr>
      </w:pPr>
      <w:r>
        <w:rPr>
          <w:color w:val="auto"/>
        </w:rPr>
        <w:fldChar w:fldCharType="begin"/>
      </w:r>
      <w:r>
        <w:rPr>
          <w:color w:val="auto"/>
        </w:rPr>
        <w:instrText xml:space="preserve"> HYPERLINK \l _Toc23881 </w:instrText>
      </w:r>
      <w:r>
        <w:rPr>
          <w:color w:val="auto"/>
        </w:rPr>
        <w:fldChar w:fldCharType="separate"/>
      </w:r>
      <w:r>
        <w:rPr>
          <w:rFonts w:hint="eastAsia" w:ascii="Times New Roman" w:hAnsi="Times New Roman" w:eastAsia="宋体" w:cs="Times New Roman"/>
          <w:color w:val="auto"/>
          <w:kern w:val="2"/>
          <w:szCs w:val="24"/>
          <w:lang w:val="en-US" w:eastAsia="zh-CN" w:bidi="ar-SA"/>
        </w:rPr>
        <w:t>3.7.4固体废物</w:t>
      </w:r>
      <w:r>
        <w:rPr>
          <w:color w:val="auto"/>
        </w:rPr>
        <w:tab/>
      </w:r>
      <w:r>
        <w:rPr>
          <w:color w:val="auto"/>
        </w:rPr>
        <w:fldChar w:fldCharType="begin"/>
      </w:r>
      <w:r>
        <w:rPr>
          <w:color w:val="auto"/>
        </w:rPr>
        <w:instrText xml:space="preserve"> PAGEREF _Toc23881 \h </w:instrText>
      </w:r>
      <w:r>
        <w:rPr>
          <w:color w:val="auto"/>
        </w:rPr>
        <w:fldChar w:fldCharType="separate"/>
      </w:r>
      <w:r>
        <w:rPr>
          <w:color w:val="auto"/>
        </w:rPr>
        <w:t>43</w:t>
      </w:r>
      <w:r>
        <w:rPr>
          <w:color w:val="auto"/>
        </w:rPr>
        <w:fldChar w:fldCharType="end"/>
      </w:r>
      <w:r>
        <w:rPr>
          <w:color w:val="auto"/>
        </w:rPr>
        <w:fldChar w:fldCharType="end"/>
      </w:r>
    </w:p>
    <w:p w14:paraId="7634FC22">
      <w:pPr>
        <w:pStyle w:val="15"/>
        <w:tabs>
          <w:tab w:val="right" w:leader="dot" w:pos="8844"/>
        </w:tabs>
        <w:rPr>
          <w:color w:val="auto"/>
        </w:rPr>
      </w:pPr>
      <w:r>
        <w:rPr>
          <w:color w:val="auto"/>
        </w:rPr>
        <w:fldChar w:fldCharType="begin"/>
      </w:r>
      <w:r>
        <w:rPr>
          <w:color w:val="auto"/>
        </w:rPr>
        <w:instrText xml:space="preserve"> HYPERLINK \l _Toc12739 </w:instrText>
      </w:r>
      <w:r>
        <w:rPr>
          <w:color w:val="auto"/>
        </w:rPr>
        <w:fldChar w:fldCharType="separate"/>
      </w:r>
      <w:r>
        <w:rPr>
          <w:rFonts w:hint="eastAsia"/>
          <w:color w:val="auto"/>
        </w:rPr>
        <w:t>3.8总量控制</w:t>
      </w:r>
      <w:r>
        <w:rPr>
          <w:color w:val="auto"/>
        </w:rPr>
        <w:tab/>
      </w:r>
      <w:r>
        <w:rPr>
          <w:color w:val="auto"/>
        </w:rPr>
        <w:fldChar w:fldCharType="begin"/>
      </w:r>
      <w:r>
        <w:rPr>
          <w:color w:val="auto"/>
        </w:rPr>
        <w:instrText xml:space="preserve"> PAGEREF _Toc12739 \h </w:instrText>
      </w:r>
      <w:r>
        <w:rPr>
          <w:color w:val="auto"/>
        </w:rPr>
        <w:fldChar w:fldCharType="separate"/>
      </w:r>
      <w:r>
        <w:rPr>
          <w:color w:val="auto"/>
        </w:rPr>
        <w:t>43</w:t>
      </w:r>
      <w:r>
        <w:rPr>
          <w:color w:val="auto"/>
        </w:rPr>
        <w:fldChar w:fldCharType="end"/>
      </w:r>
      <w:r>
        <w:rPr>
          <w:color w:val="auto"/>
        </w:rPr>
        <w:fldChar w:fldCharType="end"/>
      </w:r>
    </w:p>
    <w:p w14:paraId="221A6D6C">
      <w:pPr>
        <w:pStyle w:val="10"/>
        <w:tabs>
          <w:tab w:val="right" w:leader="dot" w:pos="8844"/>
        </w:tabs>
        <w:rPr>
          <w:color w:val="auto"/>
        </w:rPr>
      </w:pPr>
      <w:r>
        <w:rPr>
          <w:color w:val="auto"/>
        </w:rPr>
        <w:fldChar w:fldCharType="begin"/>
      </w:r>
      <w:r>
        <w:rPr>
          <w:color w:val="auto"/>
        </w:rPr>
        <w:instrText xml:space="preserve"> HYPERLINK \l _Toc672 </w:instrText>
      </w:r>
      <w:r>
        <w:rPr>
          <w:color w:val="auto"/>
        </w:rPr>
        <w:fldChar w:fldCharType="separate"/>
      </w:r>
      <w:r>
        <w:rPr>
          <w:rFonts w:hint="eastAsia"/>
          <w:color w:val="auto"/>
        </w:rPr>
        <w:t>3.8.1废水总量</w:t>
      </w:r>
      <w:r>
        <w:rPr>
          <w:color w:val="auto"/>
        </w:rPr>
        <w:tab/>
      </w:r>
      <w:r>
        <w:rPr>
          <w:color w:val="auto"/>
        </w:rPr>
        <w:fldChar w:fldCharType="begin"/>
      </w:r>
      <w:r>
        <w:rPr>
          <w:color w:val="auto"/>
        </w:rPr>
        <w:instrText xml:space="preserve"> PAGEREF _Toc672 \h </w:instrText>
      </w:r>
      <w:r>
        <w:rPr>
          <w:color w:val="auto"/>
        </w:rPr>
        <w:fldChar w:fldCharType="separate"/>
      </w:r>
      <w:r>
        <w:rPr>
          <w:color w:val="auto"/>
        </w:rPr>
        <w:t>43</w:t>
      </w:r>
      <w:r>
        <w:rPr>
          <w:color w:val="auto"/>
        </w:rPr>
        <w:fldChar w:fldCharType="end"/>
      </w:r>
      <w:r>
        <w:rPr>
          <w:color w:val="auto"/>
        </w:rPr>
        <w:fldChar w:fldCharType="end"/>
      </w:r>
    </w:p>
    <w:p w14:paraId="5B804D6D">
      <w:pPr>
        <w:pStyle w:val="10"/>
        <w:tabs>
          <w:tab w:val="right" w:leader="dot" w:pos="8844"/>
        </w:tabs>
        <w:rPr>
          <w:color w:val="auto"/>
        </w:rPr>
      </w:pPr>
      <w:r>
        <w:rPr>
          <w:color w:val="auto"/>
        </w:rPr>
        <w:fldChar w:fldCharType="begin"/>
      </w:r>
      <w:r>
        <w:rPr>
          <w:color w:val="auto"/>
        </w:rPr>
        <w:instrText xml:space="preserve"> HYPERLINK \l _Toc14425 </w:instrText>
      </w:r>
      <w:r>
        <w:rPr>
          <w:color w:val="auto"/>
        </w:rPr>
        <w:fldChar w:fldCharType="separate"/>
      </w:r>
      <w:r>
        <w:rPr>
          <w:rFonts w:hint="eastAsia"/>
          <w:color w:val="auto"/>
        </w:rPr>
        <w:t>3.8.2废气总量</w:t>
      </w:r>
      <w:r>
        <w:rPr>
          <w:color w:val="auto"/>
        </w:rPr>
        <w:tab/>
      </w:r>
      <w:r>
        <w:rPr>
          <w:color w:val="auto"/>
        </w:rPr>
        <w:fldChar w:fldCharType="begin"/>
      </w:r>
      <w:r>
        <w:rPr>
          <w:color w:val="auto"/>
        </w:rPr>
        <w:instrText xml:space="preserve"> PAGEREF _Toc14425 \h </w:instrText>
      </w:r>
      <w:r>
        <w:rPr>
          <w:color w:val="auto"/>
        </w:rPr>
        <w:fldChar w:fldCharType="separate"/>
      </w:r>
      <w:r>
        <w:rPr>
          <w:color w:val="auto"/>
        </w:rPr>
        <w:t>44</w:t>
      </w:r>
      <w:r>
        <w:rPr>
          <w:color w:val="auto"/>
        </w:rPr>
        <w:fldChar w:fldCharType="end"/>
      </w:r>
      <w:r>
        <w:rPr>
          <w:color w:val="auto"/>
        </w:rPr>
        <w:fldChar w:fldCharType="end"/>
      </w:r>
    </w:p>
    <w:p w14:paraId="62981F70">
      <w:pPr>
        <w:pStyle w:val="15"/>
        <w:tabs>
          <w:tab w:val="right" w:leader="dot" w:pos="8844"/>
        </w:tabs>
        <w:ind w:left="0" w:leftChars="0" w:firstLine="0" w:firstLineChars="0"/>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四、主要环境影响和保护措施</w:t>
      </w:r>
      <w:r>
        <w:rPr>
          <w:rFonts w:hint="eastAsia" w:cs="Times New Roman"/>
          <w:color w:val="auto"/>
          <w:kern w:val="2"/>
          <w:sz w:val="21"/>
          <w:szCs w:val="24"/>
          <w:lang w:val="en-US" w:eastAsia="zh-CN" w:bidi="ar-SA"/>
        </w:rPr>
        <w:t>.................................................................................................................42</w:t>
      </w:r>
    </w:p>
    <w:p w14:paraId="40250CB1">
      <w:pPr>
        <w:pStyle w:val="15"/>
        <w:tabs>
          <w:tab w:val="right" w:leader="dot" w:pos="8844"/>
        </w:tabs>
        <w:rPr>
          <w:color w:val="auto"/>
        </w:rPr>
      </w:pPr>
      <w:r>
        <w:rPr>
          <w:color w:val="auto"/>
        </w:rPr>
        <w:fldChar w:fldCharType="begin"/>
      </w:r>
      <w:r>
        <w:rPr>
          <w:color w:val="auto"/>
        </w:rPr>
        <w:instrText xml:space="preserve"> HYPERLINK \l _Toc9394 </w:instrText>
      </w:r>
      <w:r>
        <w:rPr>
          <w:color w:val="auto"/>
        </w:rPr>
        <w:fldChar w:fldCharType="separate"/>
      </w:r>
      <w:r>
        <w:rPr>
          <w:rFonts w:hint="eastAsia" w:ascii="Times New Roman" w:hAnsi="Times New Roman" w:eastAsia="宋体" w:cs="Times New Roman"/>
          <w:color w:val="auto"/>
          <w:kern w:val="2"/>
          <w:szCs w:val="24"/>
          <w:lang w:val="en-US" w:eastAsia="zh-CN" w:bidi="ar-SA"/>
        </w:rPr>
        <w:t>4.1运营期水环境影响分析和污染防治措施</w:t>
      </w:r>
      <w:r>
        <w:rPr>
          <w:color w:val="auto"/>
        </w:rPr>
        <w:tab/>
      </w:r>
      <w:r>
        <w:rPr>
          <w:color w:val="auto"/>
        </w:rPr>
        <w:fldChar w:fldCharType="begin"/>
      </w:r>
      <w:r>
        <w:rPr>
          <w:color w:val="auto"/>
        </w:rPr>
        <w:instrText xml:space="preserve"> PAGEREF _Toc9394 \h </w:instrText>
      </w:r>
      <w:r>
        <w:rPr>
          <w:color w:val="auto"/>
        </w:rPr>
        <w:fldChar w:fldCharType="separate"/>
      </w:r>
      <w:r>
        <w:rPr>
          <w:color w:val="auto"/>
        </w:rPr>
        <w:t>46</w:t>
      </w:r>
      <w:r>
        <w:rPr>
          <w:color w:val="auto"/>
        </w:rPr>
        <w:fldChar w:fldCharType="end"/>
      </w:r>
      <w:r>
        <w:rPr>
          <w:color w:val="auto"/>
        </w:rPr>
        <w:fldChar w:fldCharType="end"/>
      </w:r>
    </w:p>
    <w:p w14:paraId="10C03459">
      <w:pPr>
        <w:pStyle w:val="10"/>
        <w:tabs>
          <w:tab w:val="right" w:leader="dot" w:pos="8844"/>
        </w:tabs>
        <w:rPr>
          <w:color w:val="auto"/>
        </w:rPr>
      </w:pPr>
      <w:r>
        <w:rPr>
          <w:color w:val="auto"/>
        </w:rPr>
        <w:fldChar w:fldCharType="begin"/>
      </w:r>
      <w:r>
        <w:rPr>
          <w:color w:val="auto"/>
        </w:rPr>
        <w:instrText xml:space="preserve"> HYPERLINK \l _Toc25549 </w:instrText>
      </w:r>
      <w:r>
        <w:rPr>
          <w:color w:val="auto"/>
        </w:rPr>
        <w:fldChar w:fldCharType="separate"/>
      </w:r>
      <w:r>
        <w:rPr>
          <w:rFonts w:hint="eastAsia" w:ascii="Times New Roman" w:hAnsi="Times New Roman" w:eastAsia="宋体" w:cs="Times New Roman"/>
          <w:color w:val="auto"/>
          <w:kern w:val="2"/>
          <w:szCs w:val="24"/>
          <w:lang w:val="en-US" w:eastAsia="zh-CN" w:bidi="ar-SA"/>
        </w:rPr>
        <w:t>4.1.1运营期废水源强核算</w:t>
      </w:r>
      <w:r>
        <w:rPr>
          <w:color w:val="auto"/>
        </w:rPr>
        <w:tab/>
      </w:r>
      <w:r>
        <w:rPr>
          <w:color w:val="auto"/>
        </w:rPr>
        <w:fldChar w:fldCharType="begin"/>
      </w:r>
      <w:r>
        <w:rPr>
          <w:color w:val="auto"/>
        </w:rPr>
        <w:instrText xml:space="preserve"> PAGEREF _Toc25549 \h </w:instrText>
      </w:r>
      <w:r>
        <w:rPr>
          <w:color w:val="auto"/>
        </w:rPr>
        <w:fldChar w:fldCharType="separate"/>
      </w:r>
      <w:r>
        <w:rPr>
          <w:color w:val="auto"/>
        </w:rPr>
        <w:t>46</w:t>
      </w:r>
      <w:r>
        <w:rPr>
          <w:color w:val="auto"/>
        </w:rPr>
        <w:fldChar w:fldCharType="end"/>
      </w:r>
      <w:r>
        <w:rPr>
          <w:color w:val="auto"/>
        </w:rPr>
        <w:fldChar w:fldCharType="end"/>
      </w:r>
    </w:p>
    <w:p w14:paraId="7B88D069">
      <w:pPr>
        <w:pStyle w:val="10"/>
        <w:tabs>
          <w:tab w:val="right" w:leader="dot" w:pos="8844"/>
        </w:tabs>
        <w:rPr>
          <w:color w:val="auto"/>
        </w:rPr>
      </w:pPr>
      <w:r>
        <w:rPr>
          <w:color w:val="auto"/>
        </w:rPr>
        <w:fldChar w:fldCharType="begin"/>
      </w:r>
      <w:r>
        <w:rPr>
          <w:color w:val="auto"/>
        </w:rPr>
        <w:instrText xml:space="preserve"> HYPERLINK \l _Toc21499 </w:instrText>
      </w:r>
      <w:r>
        <w:rPr>
          <w:color w:val="auto"/>
        </w:rPr>
        <w:fldChar w:fldCharType="separate"/>
      </w:r>
      <w:r>
        <w:rPr>
          <w:rFonts w:hint="eastAsia" w:ascii="Times New Roman" w:hAnsi="Times New Roman" w:eastAsia="宋体" w:cs="Times New Roman"/>
          <w:color w:val="auto"/>
          <w:kern w:val="2"/>
          <w:szCs w:val="24"/>
          <w:lang w:val="en-US" w:eastAsia="zh-CN" w:bidi="ar-SA"/>
        </w:rPr>
        <w:t>4.1.2运营期水环境影响及污染防治措施可行性分析</w:t>
      </w:r>
      <w:r>
        <w:rPr>
          <w:color w:val="auto"/>
        </w:rPr>
        <w:tab/>
      </w:r>
      <w:r>
        <w:rPr>
          <w:color w:val="auto"/>
        </w:rPr>
        <w:fldChar w:fldCharType="begin"/>
      </w:r>
      <w:r>
        <w:rPr>
          <w:color w:val="auto"/>
        </w:rPr>
        <w:instrText xml:space="preserve"> PAGEREF _Toc21499 \h </w:instrText>
      </w:r>
      <w:r>
        <w:rPr>
          <w:color w:val="auto"/>
        </w:rPr>
        <w:fldChar w:fldCharType="separate"/>
      </w:r>
      <w:r>
        <w:rPr>
          <w:color w:val="auto"/>
        </w:rPr>
        <w:t>50</w:t>
      </w:r>
      <w:r>
        <w:rPr>
          <w:color w:val="auto"/>
        </w:rPr>
        <w:fldChar w:fldCharType="end"/>
      </w:r>
      <w:r>
        <w:rPr>
          <w:color w:val="auto"/>
        </w:rPr>
        <w:fldChar w:fldCharType="end"/>
      </w:r>
    </w:p>
    <w:p w14:paraId="1E7B4A89">
      <w:pPr>
        <w:pStyle w:val="10"/>
        <w:tabs>
          <w:tab w:val="right" w:leader="dot" w:pos="8844"/>
        </w:tabs>
        <w:rPr>
          <w:color w:val="auto"/>
        </w:rPr>
      </w:pPr>
      <w:r>
        <w:rPr>
          <w:color w:val="auto"/>
        </w:rPr>
        <w:fldChar w:fldCharType="begin"/>
      </w:r>
      <w:r>
        <w:rPr>
          <w:color w:val="auto"/>
        </w:rPr>
        <w:instrText xml:space="preserve"> HYPERLINK \l _Toc3364 </w:instrText>
      </w:r>
      <w:r>
        <w:rPr>
          <w:color w:val="auto"/>
        </w:rPr>
        <w:fldChar w:fldCharType="separate"/>
      </w:r>
      <w:r>
        <w:rPr>
          <w:rFonts w:hint="eastAsia" w:ascii="Times New Roman" w:hAnsi="Times New Roman" w:eastAsia="宋体" w:cs="Times New Roman"/>
          <w:color w:val="auto"/>
          <w:kern w:val="2"/>
          <w:szCs w:val="24"/>
          <w:lang w:val="en-US" w:eastAsia="zh-CN" w:bidi="ar-SA"/>
        </w:rPr>
        <w:t>4.1.3废水自行监测计划</w:t>
      </w:r>
      <w:r>
        <w:rPr>
          <w:color w:val="auto"/>
        </w:rPr>
        <w:tab/>
      </w:r>
      <w:r>
        <w:rPr>
          <w:color w:val="auto"/>
        </w:rPr>
        <w:fldChar w:fldCharType="begin"/>
      </w:r>
      <w:r>
        <w:rPr>
          <w:color w:val="auto"/>
        </w:rPr>
        <w:instrText xml:space="preserve"> PAGEREF _Toc3364 \h </w:instrText>
      </w:r>
      <w:r>
        <w:rPr>
          <w:color w:val="auto"/>
        </w:rPr>
        <w:fldChar w:fldCharType="separate"/>
      </w:r>
      <w:r>
        <w:rPr>
          <w:color w:val="auto"/>
        </w:rPr>
        <w:t>56</w:t>
      </w:r>
      <w:r>
        <w:rPr>
          <w:color w:val="auto"/>
        </w:rPr>
        <w:fldChar w:fldCharType="end"/>
      </w:r>
      <w:r>
        <w:rPr>
          <w:color w:val="auto"/>
        </w:rPr>
        <w:fldChar w:fldCharType="end"/>
      </w:r>
    </w:p>
    <w:p w14:paraId="345960BB">
      <w:pPr>
        <w:pStyle w:val="15"/>
        <w:tabs>
          <w:tab w:val="right" w:leader="dot" w:pos="8844"/>
        </w:tabs>
        <w:rPr>
          <w:color w:val="auto"/>
        </w:rPr>
      </w:pPr>
      <w:r>
        <w:rPr>
          <w:color w:val="auto"/>
        </w:rPr>
        <w:fldChar w:fldCharType="begin"/>
      </w:r>
      <w:r>
        <w:rPr>
          <w:color w:val="auto"/>
        </w:rPr>
        <w:instrText xml:space="preserve"> HYPERLINK \l _Toc19966 </w:instrText>
      </w:r>
      <w:r>
        <w:rPr>
          <w:color w:val="auto"/>
        </w:rPr>
        <w:fldChar w:fldCharType="separate"/>
      </w:r>
      <w:r>
        <w:rPr>
          <w:rFonts w:hint="eastAsia" w:ascii="Times New Roman" w:hAnsi="Times New Roman" w:eastAsia="宋体" w:cs="Times New Roman"/>
          <w:color w:val="auto"/>
          <w:kern w:val="2"/>
          <w:szCs w:val="24"/>
          <w:lang w:val="en-US" w:eastAsia="zh-CN" w:bidi="ar-SA"/>
        </w:rPr>
        <w:t>4.2运营期大气环境影响分析和污染防控措施</w:t>
      </w:r>
      <w:r>
        <w:rPr>
          <w:color w:val="auto"/>
        </w:rPr>
        <w:tab/>
      </w:r>
      <w:r>
        <w:rPr>
          <w:color w:val="auto"/>
        </w:rPr>
        <w:fldChar w:fldCharType="begin"/>
      </w:r>
      <w:r>
        <w:rPr>
          <w:color w:val="auto"/>
        </w:rPr>
        <w:instrText xml:space="preserve"> PAGEREF _Toc19966 \h </w:instrText>
      </w:r>
      <w:r>
        <w:rPr>
          <w:color w:val="auto"/>
        </w:rPr>
        <w:fldChar w:fldCharType="separate"/>
      </w:r>
      <w:r>
        <w:rPr>
          <w:color w:val="auto"/>
        </w:rPr>
        <w:t>56</w:t>
      </w:r>
      <w:r>
        <w:rPr>
          <w:color w:val="auto"/>
        </w:rPr>
        <w:fldChar w:fldCharType="end"/>
      </w:r>
      <w:r>
        <w:rPr>
          <w:color w:val="auto"/>
        </w:rPr>
        <w:fldChar w:fldCharType="end"/>
      </w:r>
    </w:p>
    <w:p w14:paraId="3F882191">
      <w:pPr>
        <w:pStyle w:val="10"/>
        <w:tabs>
          <w:tab w:val="right" w:leader="dot" w:pos="8844"/>
        </w:tabs>
        <w:rPr>
          <w:color w:val="auto"/>
        </w:rPr>
      </w:pPr>
      <w:r>
        <w:rPr>
          <w:color w:val="auto"/>
        </w:rPr>
        <w:fldChar w:fldCharType="begin"/>
      </w:r>
      <w:r>
        <w:rPr>
          <w:color w:val="auto"/>
        </w:rPr>
        <w:instrText xml:space="preserve"> HYPERLINK \l _Toc27167 </w:instrText>
      </w:r>
      <w:r>
        <w:rPr>
          <w:color w:val="auto"/>
        </w:rPr>
        <w:fldChar w:fldCharType="separate"/>
      </w:r>
      <w:r>
        <w:rPr>
          <w:rFonts w:hint="eastAsia" w:ascii="Times New Roman" w:hAnsi="Times New Roman" w:eastAsia="宋体" w:cs="Times New Roman"/>
          <w:color w:val="auto"/>
          <w:kern w:val="2"/>
          <w:szCs w:val="24"/>
          <w:lang w:val="en-US" w:eastAsia="zh-CN" w:bidi="ar-SA"/>
        </w:rPr>
        <w:t>4.2.1运营期废气源强核算</w:t>
      </w:r>
      <w:r>
        <w:rPr>
          <w:color w:val="auto"/>
        </w:rPr>
        <w:tab/>
      </w:r>
      <w:r>
        <w:rPr>
          <w:color w:val="auto"/>
        </w:rPr>
        <w:fldChar w:fldCharType="begin"/>
      </w:r>
      <w:r>
        <w:rPr>
          <w:color w:val="auto"/>
        </w:rPr>
        <w:instrText xml:space="preserve"> PAGEREF _Toc27167 \h </w:instrText>
      </w:r>
      <w:r>
        <w:rPr>
          <w:color w:val="auto"/>
        </w:rPr>
        <w:fldChar w:fldCharType="separate"/>
      </w:r>
      <w:r>
        <w:rPr>
          <w:color w:val="auto"/>
        </w:rPr>
        <w:t>56</w:t>
      </w:r>
      <w:r>
        <w:rPr>
          <w:color w:val="auto"/>
        </w:rPr>
        <w:fldChar w:fldCharType="end"/>
      </w:r>
      <w:r>
        <w:rPr>
          <w:color w:val="auto"/>
        </w:rPr>
        <w:fldChar w:fldCharType="end"/>
      </w:r>
    </w:p>
    <w:p w14:paraId="22BC3BAF">
      <w:pPr>
        <w:pStyle w:val="10"/>
        <w:tabs>
          <w:tab w:val="right" w:leader="dot" w:pos="8844"/>
        </w:tabs>
        <w:rPr>
          <w:color w:val="auto"/>
        </w:rPr>
      </w:pPr>
      <w:r>
        <w:rPr>
          <w:color w:val="auto"/>
        </w:rPr>
        <w:fldChar w:fldCharType="begin"/>
      </w:r>
      <w:r>
        <w:rPr>
          <w:color w:val="auto"/>
        </w:rPr>
        <w:instrText xml:space="preserve"> HYPERLINK \l _Toc20124 </w:instrText>
      </w:r>
      <w:r>
        <w:rPr>
          <w:color w:val="auto"/>
        </w:rPr>
        <w:fldChar w:fldCharType="separate"/>
      </w:r>
      <w:r>
        <w:rPr>
          <w:rFonts w:hint="eastAsia" w:ascii="Times New Roman" w:hAnsi="Times New Roman" w:eastAsia="宋体" w:cs="Times New Roman"/>
          <w:color w:val="auto"/>
          <w:kern w:val="2"/>
          <w:szCs w:val="24"/>
          <w:lang w:val="en-US" w:eastAsia="zh-CN" w:bidi="ar-SA"/>
        </w:rPr>
        <w:t>4.2.2运营期废气治理措施及达标分析</w:t>
      </w:r>
      <w:r>
        <w:rPr>
          <w:color w:val="auto"/>
        </w:rPr>
        <w:tab/>
      </w:r>
      <w:r>
        <w:rPr>
          <w:color w:val="auto"/>
        </w:rPr>
        <w:fldChar w:fldCharType="begin"/>
      </w:r>
      <w:r>
        <w:rPr>
          <w:color w:val="auto"/>
        </w:rPr>
        <w:instrText xml:space="preserve"> PAGEREF _Toc20124 \h </w:instrText>
      </w:r>
      <w:r>
        <w:rPr>
          <w:color w:val="auto"/>
        </w:rPr>
        <w:fldChar w:fldCharType="separate"/>
      </w:r>
      <w:r>
        <w:rPr>
          <w:color w:val="auto"/>
        </w:rPr>
        <w:t>62</w:t>
      </w:r>
      <w:r>
        <w:rPr>
          <w:color w:val="auto"/>
        </w:rPr>
        <w:fldChar w:fldCharType="end"/>
      </w:r>
      <w:r>
        <w:rPr>
          <w:color w:val="auto"/>
        </w:rPr>
        <w:fldChar w:fldCharType="end"/>
      </w:r>
    </w:p>
    <w:p w14:paraId="6BE74A5B">
      <w:pPr>
        <w:pStyle w:val="10"/>
        <w:tabs>
          <w:tab w:val="right" w:leader="dot" w:pos="8844"/>
        </w:tabs>
        <w:rPr>
          <w:color w:val="auto"/>
        </w:rPr>
      </w:pPr>
      <w:r>
        <w:rPr>
          <w:color w:val="auto"/>
        </w:rPr>
        <w:fldChar w:fldCharType="begin"/>
      </w:r>
      <w:r>
        <w:rPr>
          <w:color w:val="auto"/>
        </w:rPr>
        <w:instrText xml:space="preserve"> HYPERLINK \l _Toc14266 </w:instrText>
      </w:r>
      <w:r>
        <w:rPr>
          <w:color w:val="auto"/>
        </w:rPr>
        <w:fldChar w:fldCharType="separate"/>
      </w:r>
      <w:r>
        <w:rPr>
          <w:rFonts w:hint="default" w:ascii="Times New Roman" w:hAnsi="Times New Roman" w:eastAsia="宋体" w:cs="Times New Roman"/>
          <w:color w:val="auto"/>
          <w:kern w:val="2"/>
          <w:szCs w:val="24"/>
          <w:lang w:val="en-US" w:eastAsia="zh-CN" w:bidi="ar-SA"/>
        </w:rPr>
        <w:t>4.2.3非正常工况排放量核算</w:t>
      </w:r>
      <w:r>
        <w:rPr>
          <w:color w:val="auto"/>
        </w:rPr>
        <w:tab/>
      </w:r>
      <w:r>
        <w:rPr>
          <w:color w:val="auto"/>
        </w:rPr>
        <w:fldChar w:fldCharType="begin"/>
      </w:r>
      <w:r>
        <w:rPr>
          <w:color w:val="auto"/>
        </w:rPr>
        <w:instrText xml:space="preserve"> PAGEREF _Toc14266 \h </w:instrText>
      </w:r>
      <w:r>
        <w:rPr>
          <w:color w:val="auto"/>
        </w:rPr>
        <w:fldChar w:fldCharType="separate"/>
      </w:r>
      <w:r>
        <w:rPr>
          <w:color w:val="auto"/>
        </w:rPr>
        <w:t>63</w:t>
      </w:r>
      <w:r>
        <w:rPr>
          <w:color w:val="auto"/>
        </w:rPr>
        <w:fldChar w:fldCharType="end"/>
      </w:r>
      <w:r>
        <w:rPr>
          <w:color w:val="auto"/>
        </w:rPr>
        <w:fldChar w:fldCharType="end"/>
      </w:r>
    </w:p>
    <w:p w14:paraId="2730016B">
      <w:pPr>
        <w:pStyle w:val="10"/>
        <w:tabs>
          <w:tab w:val="right" w:leader="dot" w:pos="8844"/>
        </w:tabs>
        <w:rPr>
          <w:color w:val="auto"/>
        </w:rPr>
      </w:pPr>
      <w:r>
        <w:rPr>
          <w:color w:val="auto"/>
        </w:rPr>
        <w:fldChar w:fldCharType="begin"/>
      </w:r>
      <w:r>
        <w:rPr>
          <w:color w:val="auto"/>
        </w:rPr>
        <w:instrText xml:space="preserve"> HYPERLINK \l _Toc13585 </w:instrText>
      </w:r>
      <w:r>
        <w:rPr>
          <w:color w:val="auto"/>
        </w:rPr>
        <w:fldChar w:fldCharType="separate"/>
      </w:r>
      <w:r>
        <w:rPr>
          <w:rFonts w:hint="eastAsia" w:ascii="Times New Roman" w:hAnsi="Times New Roman" w:eastAsia="宋体" w:cs="Times New Roman"/>
          <w:color w:val="auto"/>
          <w:kern w:val="2"/>
          <w:szCs w:val="24"/>
          <w:lang w:val="en-US" w:eastAsia="zh-CN" w:bidi="ar-SA"/>
        </w:rPr>
        <w:t>4.2.4运营期废气自行监测计划</w:t>
      </w:r>
      <w:r>
        <w:rPr>
          <w:color w:val="auto"/>
        </w:rPr>
        <w:tab/>
      </w:r>
      <w:r>
        <w:rPr>
          <w:color w:val="auto"/>
        </w:rPr>
        <w:fldChar w:fldCharType="begin"/>
      </w:r>
      <w:r>
        <w:rPr>
          <w:color w:val="auto"/>
        </w:rPr>
        <w:instrText xml:space="preserve"> PAGEREF _Toc13585 \h </w:instrText>
      </w:r>
      <w:r>
        <w:rPr>
          <w:color w:val="auto"/>
        </w:rPr>
        <w:fldChar w:fldCharType="separate"/>
      </w:r>
      <w:r>
        <w:rPr>
          <w:color w:val="auto"/>
        </w:rPr>
        <w:t>64</w:t>
      </w:r>
      <w:r>
        <w:rPr>
          <w:color w:val="auto"/>
        </w:rPr>
        <w:fldChar w:fldCharType="end"/>
      </w:r>
      <w:r>
        <w:rPr>
          <w:color w:val="auto"/>
        </w:rPr>
        <w:fldChar w:fldCharType="end"/>
      </w:r>
    </w:p>
    <w:p w14:paraId="7D508E40">
      <w:pPr>
        <w:pStyle w:val="15"/>
        <w:tabs>
          <w:tab w:val="right" w:leader="dot" w:pos="8844"/>
        </w:tabs>
        <w:rPr>
          <w:color w:val="auto"/>
        </w:rPr>
      </w:pPr>
      <w:r>
        <w:rPr>
          <w:color w:val="auto"/>
        </w:rPr>
        <w:fldChar w:fldCharType="begin"/>
      </w:r>
      <w:r>
        <w:rPr>
          <w:color w:val="auto"/>
        </w:rPr>
        <w:instrText xml:space="preserve"> HYPERLINK \l _Toc23973 </w:instrText>
      </w:r>
      <w:r>
        <w:rPr>
          <w:color w:val="auto"/>
        </w:rPr>
        <w:fldChar w:fldCharType="separate"/>
      </w:r>
      <w:r>
        <w:rPr>
          <w:rFonts w:hint="eastAsia" w:ascii="Times New Roman" w:hAnsi="Times New Roman" w:eastAsia="宋体" w:cs="Times New Roman"/>
          <w:color w:val="auto"/>
          <w:kern w:val="2"/>
          <w:szCs w:val="24"/>
          <w:lang w:val="en-US" w:eastAsia="zh-CN" w:bidi="ar-SA"/>
        </w:rPr>
        <w:t>4.3运营期声环境影响分析和污染防控措施</w:t>
      </w:r>
      <w:r>
        <w:rPr>
          <w:color w:val="auto"/>
        </w:rPr>
        <w:tab/>
      </w:r>
      <w:r>
        <w:rPr>
          <w:color w:val="auto"/>
        </w:rPr>
        <w:fldChar w:fldCharType="begin"/>
      </w:r>
      <w:r>
        <w:rPr>
          <w:color w:val="auto"/>
        </w:rPr>
        <w:instrText xml:space="preserve"> PAGEREF _Toc23973 \h </w:instrText>
      </w:r>
      <w:r>
        <w:rPr>
          <w:color w:val="auto"/>
        </w:rPr>
        <w:fldChar w:fldCharType="separate"/>
      </w:r>
      <w:r>
        <w:rPr>
          <w:color w:val="auto"/>
        </w:rPr>
        <w:t>65</w:t>
      </w:r>
      <w:r>
        <w:rPr>
          <w:color w:val="auto"/>
        </w:rPr>
        <w:fldChar w:fldCharType="end"/>
      </w:r>
      <w:r>
        <w:rPr>
          <w:color w:val="auto"/>
        </w:rPr>
        <w:fldChar w:fldCharType="end"/>
      </w:r>
    </w:p>
    <w:p w14:paraId="3966B060">
      <w:pPr>
        <w:pStyle w:val="10"/>
        <w:tabs>
          <w:tab w:val="right" w:leader="dot" w:pos="8844"/>
        </w:tabs>
        <w:rPr>
          <w:color w:val="auto"/>
        </w:rPr>
      </w:pPr>
      <w:r>
        <w:rPr>
          <w:color w:val="auto"/>
        </w:rPr>
        <w:fldChar w:fldCharType="begin"/>
      </w:r>
      <w:r>
        <w:rPr>
          <w:color w:val="auto"/>
        </w:rPr>
        <w:instrText xml:space="preserve"> HYPERLINK \l _Toc25107 </w:instrText>
      </w:r>
      <w:r>
        <w:rPr>
          <w:color w:val="auto"/>
        </w:rPr>
        <w:fldChar w:fldCharType="separate"/>
      </w:r>
      <w:r>
        <w:rPr>
          <w:rFonts w:hint="eastAsia" w:ascii="Times New Roman" w:hAnsi="Times New Roman" w:eastAsia="宋体" w:cs="Times New Roman"/>
          <w:color w:val="auto"/>
          <w:kern w:val="2"/>
          <w:szCs w:val="24"/>
          <w:lang w:val="en-US" w:eastAsia="zh-CN" w:bidi="ar-SA"/>
        </w:rPr>
        <w:t>4.3.1声环境污染源分析</w:t>
      </w:r>
      <w:r>
        <w:rPr>
          <w:color w:val="auto"/>
        </w:rPr>
        <w:tab/>
      </w:r>
      <w:r>
        <w:rPr>
          <w:color w:val="auto"/>
        </w:rPr>
        <w:fldChar w:fldCharType="begin"/>
      </w:r>
      <w:r>
        <w:rPr>
          <w:color w:val="auto"/>
        </w:rPr>
        <w:instrText xml:space="preserve"> PAGEREF _Toc25107 \h </w:instrText>
      </w:r>
      <w:r>
        <w:rPr>
          <w:color w:val="auto"/>
        </w:rPr>
        <w:fldChar w:fldCharType="separate"/>
      </w:r>
      <w:r>
        <w:rPr>
          <w:color w:val="auto"/>
        </w:rPr>
        <w:t>65</w:t>
      </w:r>
      <w:r>
        <w:rPr>
          <w:color w:val="auto"/>
        </w:rPr>
        <w:fldChar w:fldCharType="end"/>
      </w:r>
      <w:r>
        <w:rPr>
          <w:color w:val="auto"/>
        </w:rPr>
        <w:fldChar w:fldCharType="end"/>
      </w:r>
    </w:p>
    <w:p w14:paraId="445B6B7C">
      <w:pPr>
        <w:pStyle w:val="10"/>
        <w:tabs>
          <w:tab w:val="right" w:leader="dot" w:pos="8844"/>
        </w:tabs>
        <w:rPr>
          <w:color w:val="auto"/>
        </w:rPr>
      </w:pPr>
      <w:r>
        <w:rPr>
          <w:color w:val="auto"/>
        </w:rPr>
        <w:fldChar w:fldCharType="begin"/>
      </w:r>
      <w:r>
        <w:rPr>
          <w:color w:val="auto"/>
        </w:rPr>
        <w:instrText xml:space="preserve"> HYPERLINK \l _Toc31354 </w:instrText>
      </w:r>
      <w:r>
        <w:rPr>
          <w:color w:val="auto"/>
        </w:rPr>
        <w:fldChar w:fldCharType="separate"/>
      </w:r>
      <w:r>
        <w:rPr>
          <w:rFonts w:hint="eastAsia" w:ascii="Times New Roman" w:hAnsi="Times New Roman" w:eastAsia="宋体" w:cs="Times New Roman"/>
          <w:color w:val="auto"/>
          <w:kern w:val="2"/>
          <w:szCs w:val="24"/>
          <w:lang w:val="en-US" w:eastAsia="zh-CN" w:bidi="ar-SA"/>
        </w:rPr>
        <w:t>4.3.2声环境影响分析</w:t>
      </w:r>
      <w:r>
        <w:rPr>
          <w:color w:val="auto"/>
        </w:rPr>
        <w:tab/>
      </w:r>
      <w:r>
        <w:rPr>
          <w:color w:val="auto"/>
        </w:rPr>
        <w:fldChar w:fldCharType="begin"/>
      </w:r>
      <w:r>
        <w:rPr>
          <w:color w:val="auto"/>
        </w:rPr>
        <w:instrText xml:space="preserve"> PAGEREF _Toc31354 \h </w:instrText>
      </w:r>
      <w:r>
        <w:rPr>
          <w:color w:val="auto"/>
        </w:rPr>
        <w:fldChar w:fldCharType="separate"/>
      </w:r>
      <w:r>
        <w:rPr>
          <w:color w:val="auto"/>
        </w:rPr>
        <w:t>65</w:t>
      </w:r>
      <w:r>
        <w:rPr>
          <w:color w:val="auto"/>
        </w:rPr>
        <w:fldChar w:fldCharType="end"/>
      </w:r>
      <w:r>
        <w:rPr>
          <w:color w:val="auto"/>
        </w:rPr>
        <w:fldChar w:fldCharType="end"/>
      </w:r>
    </w:p>
    <w:p w14:paraId="2612E046">
      <w:pPr>
        <w:pStyle w:val="10"/>
        <w:tabs>
          <w:tab w:val="right" w:leader="dot" w:pos="8844"/>
        </w:tabs>
        <w:rPr>
          <w:color w:val="auto"/>
        </w:rPr>
      </w:pPr>
      <w:r>
        <w:rPr>
          <w:color w:val="auto"/>
        </w:rPr>
        <w:fldChar w:fldCharType="begin"/>
      </w:r>
      <w:r>
        <w:rPr>
          <w:color w:val="auto"/>
        </w:rPr>
        <w:instrText xml:space="preserve"> HYPERLINK \l _Toc8098 </w:instrText>
      </w:r>
      <w:r>
        <w:rPr>
          <w:color w:val="auto"/>
        </w:rPr>
        <w:fldChar w:fldCharType="separate"/>
      </w:r>
      <w:r>
        <w:rPr>
          <w:rFonts w:hint="eastAsia"/>
          <w:color w:val="auto"/>
          <w:lang w:val="en-US" w:eastAsia="zh-CN"/>
        </w:rPr>
        <w:t>4.3.3声环境预测结果分析</w:t>
      </w:r>
      <w:r>
        <w:rPr>
          <w:color w:val="auto"/>
        </w:rPr>
        <w:tab/>
      </w:r>
      <w:r>
        <w:rPr>
          <w:color w:val="auto"/>
        </w:rPr>
        <w:fldChar w:fldCharType="begin"/>
      </w:r>
      <w:r>
        <w:rPr>
          <w:color w:val="auto"/>
        </w:rPr>
        <w:instrText xml:space="preserve"> PAGEREF _Toc8098 \h </w:instrText>
      </w:r>
      <w:r>
        <w:rPr>
          <w:color w:val="auto"/>
        </w:rPr>
        <w:fldChar w:fldCharType="separate"/>
      </w:r>
      <w:r>
        <w:rPr>
          <w:color w:val="auto"/>
        </w:rPr>
        <w:t>69</w:t>
      </w:r>
      <w:r>
        <w:rPr>
          <w:color w:val="auto"/>
        </w:rPr>
        <w:fldChar w:fldCharType="end"/>
      </w:r>
      <w:r>
        <w:rPr>
          <w:color w:val="auto"/>
        </w:rPr>
        <w:fldChar w:fldCharType="end"/>
      </w:r>
    </w:p>
    <w:p w14:paraId="39083CE7">
      <w:pPr>
        <w:pStyle w:val="10"/>
        <w:tabs>
          <w:tab w:val="right" w:leader="dot" w:pos="8844"/>
        </w:tabs>
        <w:rPr>
          <w:color w:val="auto"/>
        </w:rPr>
      </w:pPr>
      <w:r>
        <w:rPr>
          <w:color w:val="auto"/>
        </w:rPr>
        <w:fldChar w:fldCharType="begin"/>
      </w:r>
      <w:r>
        <w:rPr>
          <w:color w:val="auto"/>
        </w:rPr>
        <w:instrText xml:space="preserve"> HYPERLINK \l _Toc1731 </w:instrText>
      </w:r>
      <w:r>
        <w:rPr>
          <w:color w:val="auto"/>
        </w:rPr>
        <w:fldChar w:fldCharType="separate"/>
      </w:r>
      <w:r>
        <w:rPr>
          <w:rFonts w:hint="eastAsia"/>
          <w:color w:val="auto"/>
          <w:lang w:val="en-US" w:eastAsia="zh-CN"/>
        </w:rPr>
        <w:t>4.3.4声环境防治措施</w:t>
      </w:r>
      <w:r>
        <w:rPr>
          <w:color w:val="auto"/>
        </w:rPr>
        <w:tab/>
      </w:r>
      <w:r>
        <w:rPr>
          <w:color w:val="auto"/>
        </w:rPr>
        <w:fldChar w:fldCharType="begin"/>
      </w:r>
      <w:r>
        <w:rPr>
          <w:color w:val="auto"/>
        </w:rPr>
        <w:instrText xml:space="preserve"> PAGEREF _Toc1731 \h </w:instrText>
      </w:r>
      <w:r>
        <w:rPr>
          <w:color w:val="auto"/>
        </w:rPr>
        <w:fldChar w:fldCharType="separate"/>
      </w:r>
      <w:r>
        <w:rPr>
          <w:color w:val="auto"/>
        </w:rPr>
        <w:t>70</w:t>
      </w:r>
      <w:r>
        <w:rPr>
          <w:color w:val="auto"/>
        </w:rPr>
        <w:fldChar w:fldCharType="end"/>
      </w:r>
      <w:r>
        <w:rPr>
          <w:color w:val="auto"/>
        </w:rPr>
        <w:fldChar w:fldCharType="end"/>
      </w:r>
    </w:p>
    <w:p w14:paraId="22049067">
      <w:pPr>
        <w:pStyle w:val="10"/>
        <w:tabs>
          <w:tab w:val="right" w:leader="dot" w:pos="8844"/>
        </w:tabs>
        <w:rPr>
          <w:color w:val="auto"/>
        </w:rPr>
      </w:pPr>
      <w:r>
        <w:rPr>
          <w:color w:val="auto"/>
        </w:rPr>
        <w:fldChar w:fldCharType="begin"/>
      </w:r>
      <w:r>
        <w:rPr>
          <w:color w:val="auto"/>
        </w:rPr>
        <w:instrText xml:space="preserve"> HYPERLINK \l _Toc10371 </w:instrText>
      </w:r>
      <w:r>
        <w:rPr>
          <w:color w:val="auto"/>
        </w:rPr>
        <w:fldChar w:fldCharType="separate"/>
      </w:r>
      <w:r>
        <w:rPr>
          <w:rFonts w:hint="eastAsia" w:ascii="Times New Roman" w:hAnsi="Times New Roman" w:eastAsia="宋体" w:cs="Times New Roman"/>
          <w:color w:val="auto"/>
          <w:kern w:val="2"/>
          <w:szCs w:val="24"/>
          <w:lang w:val="en-US" w:eastAsia="zh-CN" w:bidi="ar-SA"/>
        </w:rPr>
        <w:t>4.3.5噪声自行监测计划</w:t>
      </w:r>
      <w:r>
        <w:rPr>
          <w:color w:val="auto"/>
        </w:rPr>
        <w:tab/>
      </w:r>
      <w:r>
        <w:rPr>
          <w:color w:val="auto"/>
        </w:rPr>
        <w:fldChar w:fldCharType="begin"/>
      </w:r>
      <w:r>
        <w:rPr>
          <w:color w:val="auto"/>
        </w:rPr>
        <w:instrText xml:space="preserve"> PAGEREF _Toc10371 \h </w:instrText>
      </w:r>
      <w:r>
        <w:rPr>
          <w:color w:val="auto"/>
        </w:rPr>
        <w:fldChar w:fldCharType="separate"/>
      </w:r>
      <w:r>
        <w:rPr>
          <w:color w:val="auto"/>
        </w:rPr>
        <w:t>70</w:t>
      </w:r>
      <w:r>
        <w:rPr>
          <w:color w:val="auto"/>
        </w:rPr>
        <w:fldChar w:fldCharType="end"/>
      </w:r>
      <w:r>
        <w:rPr>
          <w:color w:val="auto"/>
        </w:rPr>
        <w:fldChar w:fldCharType="end"/>
      </w:r>
    </w:p>
    <w:p w14:paraId="571FC0B4">
      <w:pPr>
        <w:pStyle w:val="15"/>
        <w:tabs>
          <w:tab w:val="right" w:leader="dot" w:pos="8844"/>
        </w:tabs>
        <w:rPr>
          <w:color w:val="auto"/>
        </w:rPr>
      </w:pPr>
      <w:r>
        <w:rPr>
          <w:color w:val="auto"/>
        </w:rPr>
        <w:fldChar w:fldCharType="begin"/>
      </w:r>
      <w:r>
        <w:rPr>
          <w:color w:val="auto"/>
        </w:rPr>
        <w:instrText xml:space="preserve"> HYPERLINK \l _Toc27915 </w:instrText>
      </w:r>
      <w:r>
        <w:rPr>
          <w:color w:val="auto"/>
        </w:rPr>
        <w:fldChar w:fldCharType="separate"/>
      </w:r>
      <w:r>
        <w:rPr>
          <w:rFonts w:hint="eastAsia" w:ascii="Times New Roman" w:hAnsi="Times New Roman" w:eastAsia="宋体" w:cs="Times New Roman"/>
          <w:color w:val="auto"/>
          <w:kern w:val="2"/>
          <w:szCs w:val="24"/>
          <w:lang w:val="en-US" w:eastAsia="zh-CN" w:bidi="ar-SA"/>
        </w:rPr>
        <w:t>4.4运营期固体废物影响分析和污染防治措施</w:t>
      </w:r>
      <w:r>
        <w:rPr>
          <w:color w:val="auto"/>
        </w:rPr>
        <w:tab/>
      </w:r>
      <w:r>
        <w:rPr>
          <w:color w:val="auto"/>
        </w:rPr>
        <w:fldChar w:fldCharType="begin"/>
      </w:r>
      <w:r>
        <w:rPr>
          <w:color w:val="auto"/>
        </w:rPr>
        <w:instrText xml:space="preserve"> PAGEREF _Toc27915 \h </w:instrText>
      </w:r>
      <w:r>
        <w:rPr>
          <w:color w:val="auto"/>
        </w:rPr>
        <w:fldChar w:fldCharType="separate"/>
      </w:r>
      <w:r>
        <w:rPr>
          <w:color w:val="auto"/>
        </w:rPr>
        <w:t>71</w:t>
      </w:r>
      <w:r>
        <w:rPr>
          <w:color w:val="auto"/>
        </w:rPr>
        <w:fldChar w:fldCharType="end"/>
      </w:r>
      <w:r>
        <w:rPr>
          <w:color w:val="auto"/>
        </w:rPr>
        <w:fldChar w:fldCharType="end"/>
      </w:r>
    </w:p>
    <w:p w14:paraId="3777D8AF">
      <w:pPr>
        <w:pStyle w:val="10"/>
        <w:tabs>
          <w:tab w:val="right" w:leader="dot" w:pos="8844"/>
        </w:tabs>
        <w:rPr>
          <w:color w:val="auto"/>
        </w:rPr>
      </w:pPr>
      <w:r>
        <w:rPr>
          <w:color w:val="auto"/>
        </w:rPr>
        <w:fldChar w:fldCharType="begin"/>
      </w:r>
      <w:r>
        <w:rPr>
          <w:color w:val="auto"/>
        </w:rPr>
        <w:instrText xml:space="preserve"> HYPERLINK \l _Toc21639 </w:instrText>
      </w:r>
      <w:r>
        <w:rPr>
          <w:color w:val="auto"/>
        </w:rPr>
        <w:fldChar w:fldCharType="separate"/>
      </w:r>
      <w:r>
        <w:rPr>
          <w:rFonts w:hint="eastAsia" w:ascii="Times New Roman" w:hAnsi="Times New Roman" w:eastAsia="宋体" w:cs="Times New Roman"/>
          <w:color w:val="auto"/>
          <w:kern w:val="2"/>
          <w:szCs w:val="24"/>
          <w:lang w:val="en-US" w:eastAsia="zh-CN" w:bidi="ar-SA"/>
        </w:rPr>
        <w:t>4.4.1固体废物产生情况</w:t>
      </w:r>
      <w:r>
        <w:rPr>
          <w:color w:val="auto"/>
        </w:rPr>
        <w:tab/>
      </w:r>
      <w:r>
        <w:rPr>
          <w:color w:val="auto"/>
        </w:rPr>
        <w:fldChar w:fldCharType="begin"/>
      </w:r>
      <w:r>
        <w:rPr>
          <w:color w:val="auto"/>
        </w:rPr>
        <w:instrText xml:space="preserve"> PAGEREF _Toc21639 \h </w:instrText>
      </w:r>
      <w:r>
        <w:rPr>
          <w:color w:val="auto"/>
        </w:rPr>
        <w:fldChar w:fldCharType="separate"/>
      </w:r>
      <w:r>
        <w:rPr>
          <w:color w:val="auto"/>
        </w:rPr>
        <w:t>71</w:t>
      </w:r>
      <w:r>
        <w:rPr>
          <w:color w:val="auto"/>
        </w:rPr>
        <w:fldChar w:fldCharType="end"/>
      </w:r>
      <w:r>
        <w:rPr>
          <w:color w:val="auto"/>
        </w:rPr>
        <w:fldChar w:fldCharType="end"/>
      </w:r>
    </w:p>
    <w:p w14:paraId="3668EAB6">
      <w:pPr>
        <w:pStyle w:val="10"/>
        <w:tabs>
          <w:tab w:val="right" w:leader="dot" w:pos="8844"/>
        </w:tabs>
        <w:rPr>
          <w:color w:val="auto"/>
        </w:rPr>
      </w:pPr>
      <w:r>
        <w:rPr>
          <w:color w:val="auto"/>
        </w:rPr>
        <w:fldChar w:fldCharType="begin"/>
      </w:r>
      <w:r>
        <w:rPr>
          <w:color w:val="auto"/>
        </w:rPr>
        <w:instrText xml:space="preserve"> HYPERLINK \l _Toc10123 </w:instrText>
      </w:r>
      <w:r>
        <w:rPr>
          <w:color w:val="auto"/>
        </w:rPr>
        <w:fldChar w:fldCharType="separate"/>
      </w:r>
      <w:r>
        <w:rPr>
          <w:rFonts w:hint="eastAsia" w:ascii="Times New Roman" w:hAnsi="Times New Roman" w:eastAsia="宋体" w:cs="Times New Roman"/>
          <w:color w:val="auto"/>
          <w:kern w:val="2"/>
          <w:szCs w:val="24"/>
          <w:lang w:val="en-US" w:eastAsia="zh-CN" w:bidi="ar-SA"/>
        </w:rPr>
        <w:t>4.4.2固体废物源强核算</w:t>
      </w:r>
      <w:r>
        <w:rPr>
          <w:color w:val="auto"/>
        </w:rPr>
        <w:tab/>
      </w:r>
      <w:r>
        <w:rPr>
          <w:color w:val="auto"/>
        </w:rPr>
        <w:fldChar w:fldCharType="begin"/>
      </w:r>
      <w:r>
        <w:rPr>
          <w:color w:val="auto"/>
        </w:rPr>
        <w:instrText xml:space="preserve"> PAGEREF _Toc10123 \h </w:instrText>
      </w:r>
      <w:r>
        <w:rPr>
          <w:color w:val="auto"/>
        </w:rPr>
        <w:fldChar w:fldCharType="separate"/>
      </w:r>
      <w:r>
        <w:rPr>
          <w:color w:val="auto"/>
        </w:rPr>
        <w:t>71</w:t>
      </w:r>
      <w:r>
        <w:rPr>
          <w:color w:val="auto"/>
        </w:rPr>
        <w:fldChar w:fldCharType="end"/>
      </w:r>
      <w:r>
        <w:rPr>
          <w:color w:val="auto"/>
        </w:rPr>
        <w:fldChar w:fldCharType="end"/>
      </w:r>
    </w:p>
    <w:p w14:paraId="23CFB80C">
      <w:pPr>
        <w:pStyle w:val="10"/>
        <w:tabs>
          <w:tab w:val="right" w:leader="dot" w:pos="8844"/>
        </w:tabs>
        <w:rPr>
          <w:color w:val="auto"/>
        </w:rPr>
      </w:pPr>
      <w:r>
        <w:rPr>
          <w:color w:val="auto"/>
        </w:rPr>
        <w:fldChar w:fldCharType="begin"/>
      </w:r>
      <w:r>
        <w:rPr>
          <w:color w:val="auto"/>
        </w:rPr>
        <w:instrText xml:space="preserve"> HYPERLINK \l _Toc22532 </w:instrText>
      </w:r>
      <w:r>
        <w:rPr>
          <w:color w:val="auto"/>
        </w:rPr>
        <w:fldChar w:fldCharType="separate"/>
      </w:r>
      <w:r>
        <w:rPr>
          <w:rFonts w:hint="eastAsia" w:ascii="Times New Roman" w:hAnsi="Times New Roman" w:eastAsia="宋体" w:cs="Times New Roman"/>
          <w:color w:val="auto"/>
          <w:kern w:val="2"/>
          <w:szCs w:val="24"/>
          <w:lang w:val="en-US" w:eastAsia="zh-CN" w:bidi="ar-SA"/>
        </w:rPr>
        <w:t>4.4.3固体废物管理措施及环境影响分析</w:t>
      </w:r>
      <w:r>
        <w:rPr>
          <w:color w:val="auto"/>
        </w:rPr>
        <w:tab/>
      </w:r>
      <w:r>
        <w:rPr>
          <w:color w:val="auto"/>
        </w:rPr>
        <w:fldChar w:fldCharType="begin"/>
      </w:r>
      <w:r>
        <w:rPr>
          <w:color w:val="auto"/>
        </w:rPr>
        <w:instrText xml:space="preserve"> PAGEREF _Toc22532 \h </w:instrText>
      </w:r>
      <w:r>
        <w:rPr>
          <w:color w:val="auto"/>
        </w:rPr>
        <w:fldChar w:fldCharType="separate"/>
      </w:r>
      <w:r>
        <w:rPr>
          <w:color w:val="auto"/>
        </w:rPr>
        <w:t>75</w:t>
      </w:r>
      <w:r>
        <w:rPr>
          <w:color w:val="auto"/>
        </w:rPr>
        <w:fldChar w:fldCharType="end"/>
      </w:r>
      <w:r>
        <w:rPr>
          <w:color w:val="auto"/>
        </w:rPr>
        <w:fldChar w:fldCharType="end"/>
      </w:r>
    </w:p>
    <w:p w14:paraId="2A901C50">
      <w:pPr>
        <w:pStyle w:val="15"/>
        <w:tabs>
          <w:tab w:val="right" w:leader="dot" w:pos="8844"/>
        </w:tabs>
        <w:rPr>
          <w:color w:val="auto"/>
        </w:rPr>
      </w:pPr>
      <w:r>
        <w:rPr>
          <w:color w:val="auto"/>
        </w:rPr>
        <w:fldChar w:fldCharType="begin"/>
      </w:r>
      <w:r>
        <w:rPr>
          <w:color w:val="auto"/>
        </w:rPr>
        <w:instrText xml:space="preserve"> HYPERLINK \l _Toc14391 </w:instrText>
      </w:r>
      <w:r>
        <w:rPr>
          <w:color w:val="auto"/>
        </w:rPr>
        <w:fldChar w:fldCharType="separate"/>
      </w:r>
      <w:r>
        <w:rPr>
          <w:rFonts w:hint="eastAsia" w:ascii="Times New Roman" w:hAnsi="Times New Roman" w:eastAsia="宋体" w:cs="Times New Roman"/>
          <w:color w:val="auto"/>
          <w:kern w:val="2"/>
          <w:szCs w:val="24"/>
          <w:lang w:val="en-US" w:eastAsia="zh-CN" w:bidi="ar-SA"/>
        </w:rPr>
        <w:t>4.5运营期地下水、土壤环境影响和保护措施</w:t>
      </w:r>
      <w:r>
        <w:rPr>
          <w:color w:val="auto"/>
        </w:rPr>
        <w:tab/>
      </w:r>
      <w:r>
        <w:rPr>
          <w:color w:val="auto"/>
        </w:rPr>
        <w:fldChar w:fldCharType="begin"/>
      </w:r>
      <w:r>
        <w:rPr>
          <w:color w:val="auto"/>
        </w:rPr>
        <w:instrText xml:space="preserve"> PAGEREF _Toc14391 \h </w:instrText>
      </w:r>
      <w:r>
        <w:rPr>
          <w:color w:val="auto"/>
        </w:rPr>
        <w:fldChar w:fldCharType="separate"/>
      </w:r>
      <w:r>
        <w:rPr>
          <w:color w:val="auto"/>
        </w:rPr>
        <w:t>78</w:t>
      </w:r>
      <w:r>
        <w:rPr>
          <w:color w:val="auto"/>
        </w:rPr>
        <w:fldChar w:fldCharType="end"/>
      </w:r>
      <w:r>
        <w:rPr>
          <w:color w:val="auto"/>
        </w:rPr>
        <w:fldChar w:fldCharType="end"/>
      </w:r>
    </w:p>
    <w:p w14:paraId="2F16B482">
      <w:pPr>
        <w:pStyle w:val="10"/>
        <w:tabs>
          <w:tab w:val="right" w:leader="dot" w:pos="8844"/>
        </w:tabs>
        <w:rPr>
          <w:color w:val="auto"/>
        </w:rPr>
      </w:pPr>
      <w:r>
        <w:rPr>
          <w:color w:val="auto"/>
        </w:rPr>
        <w:fldChar w:fldCharType="begin"/>
      </w:r>
      <w:r>
        <w:rPr>
          <w:color w:val="auto"/>
        </w:rPr>
        <w:instrText xml:space="preserve"> HYPERLINK \l _Toc14387 </w:instrText>
      </w:r>
      <w:r>
        <w:rPr>
          <w:color w:val="auto"/>
        </w:rPr>
        <w:fldChar w:fldCharType="separate"/>
      </w:r>
      <w:r>
        <w:rPr>
          <w:rFonts w:hint="eastAsia" w:ascii="Times New Roman" w:hAnsi="Times New Roman" w:eastAsia="宋体" w:cs="Times New Roman"/>
          <w:color w:val="auto"/>
          <w:kern w:val="2"/>
          <w:szCs w:val="24"/>
          <w:lang w:val="en-US" w:eastAsia="zh-CN" w:bidi="ar-SA"/>
        </w:rPr>
        <w:t>4.5.1</w:t>
      </w:r>
      <w:r>
        <w:rPr>
          <w:rFonts w:ascii="Times New Roman" w:hAnsi="Times New Roman" w:eastAsia="宋体" w:cs="Times New Roman"/>
          <w:color w:val="auto"/>
          <w:kern w:val="2"/>
          <w:szCs w:val="24"/>
          <w:lang w:val="en-US" w:eastAsia="zh-CN" w:bidi="ar-SA"/>
        </w:rPr>
        <w:t>地下水、土壤环境影响分析</w:t>
      </w:r>
      <w:r>
        <w:rPr>
          <w:color w:val="auto"/>
        </w:rPr>
        <w:tab/>
      </w:r>
      <w:r>
        <w:rPr>
          <w:color w:val="auto"/>
        </w:rPr>
        <w:fldChar w:fldCharType="begin"/>
      </w:r>
      <w:r>
        <w:rPr>
          <w:color w:val="auto"/>
        </w:rPr>
        <w:instrText xml:space="preserve"> PAGEREF _Toc14387 \h </w:instrText>
      </w:r>
      <w:r>
        <w:rPr>
          <w:color w:val="auto"/>
        </w:rPr>
        <w:fldChar w:fldCharType="separate"/>
      </w:r>
      <w:r>
        <w:rPr>
          <w:color w:val="auto"/>
        </w:rPr>
        <w:t>78</w:t>
      </w:r>
      <w:r>
        <w:rPr>
          <w:color w:val="auto"/>
        </w:rPr>
        <w:fldChar w:fldCharType="end"/>
      </w:r>
      <w:r>
        <w:rPr>
          <w:color w:val="auto"/>
        </w:rPr>
        <w:fldChar w:fldCharType="end"/>
      </w:r>
    </w:p>
    <w:p w14:paraId="19DB1B20">
      <w:pPr>
        <w:pStyle w:val="10"/>
        <w:tabs>
          <w:tab w:val="right" w:leader="dot" w:pos="8844"/>
        </w:tabs>
        <w:rPr>
          <w:color w:val="auto"/>
        </w:rPr>
      </w:pPr>
      <w:r>
        <w:rPr>
          <w:color w:val="auto"/>
        </w:rPr>
        <w:fldChar w:fldCharType="begin"/>
      </w:r>
      <w:r>
        <w:rPr>
          <w:color w:val="auto"/>
        </w:rPr>
        <w:instrText xml:space="preserve"> HYPERLINK \l _Toc13876 </w:instrText>
      </w:r>
      <w:r>
        <w:rPr>
          <w:color w:val="auto"/>
        </w:rPr>
        <w:fldChar w:fldCharType="separate"/>
      </w:r>
      <w:r>
        <w:rPr>
          <w:rFonts w:ascii="Times New Roman" w:hAnsi="Times New Roman" w:eastAsia="宋体" w:cs="Times New Roman"/>
          <w:color w:val="auto"/>
          <w:kern w:val="2"/>
          <w:szCs w:val="24"/>
          <w:lang w:val="en-US" w:eastAsia="zh-CN" w:bidi="ar-SA"/>
        </w:rPr>
        <w:t>4.</w:t>
      </w:r>
      <w:r>
        <w:rPr>
          <w:rFonts w:hint="eastAsia" w:ascii="Times New Roman" w:hAnsi="Times New Roman" w:eastAsia="宋体" w:cs="Times New Roman"/>
          <w:color w:val="auto"/>
          <w:kern w:val="2"/>
          <w:szCs w:val="24"/>
          <w:lang w:val="en-US" w:eastAsia="zh-CN" w:bidi="ar-SA"/>
        </w:rPr>
        <w:t>5</w:t>
      </w:r>
      <w:r>
        <w:rPr>
          <w:rFonts w:ascii="Times New Roman" w:hAnsi="Times New Roman" w:eastAsia="宋体" w:cs="Times New Roman"/>
          <w:color w:val="auto"/>
          <w:kern w:val="2"/>
          <w:szCs w:val="24"/>
          <w:lang w:val="en-US" w:eastAsia="zh-CN" w:bidi="ar-SA"/>
        </w:rPr>
        <w:t>.2地下水、土壤环境防控措施</w:t>
      </w:r>
      <w:r>
        <w:rPr>
          <w:color w:val="auto"/>
        </w:rPr>
        <w:tab/>
      </w:r>
      <w:r>
        <w:rPr>
          <w:color w:val="auto"/>
        </w:rPr>
        <w:fldChar w:fldCharType="begin"/>
      </w:r>
      <w:r>
        <w:rPr>
          <w:color w:val="auto"/>
        </w:rPr>
        <w:instrText xml:space="preserve"> PAGEREF _Toc13876 \h </w:instrText>
      </w:r>
      <w:r>
        <w:rPr>
          <w:color w:val="auto"/>
        </w:rPr>
        <w:fldChar w:fldCharType="separate"/>
      </w:r>
      <w:r>
        <w:rPr>
          <w:color w:val="auto"/>
        </w:rPr>
        <w:t>79</w:t>
      </w:r>
      <w:r>
        <w:rPr>
          <w:color w:val="auto"/>
        </w:rPr>
        <w:fldChar w:fldCharType="end"/>
      </w:r>
      <w:r>
        <w:rPr>
          <w:color w:val="auto"/>
        </w:rPr>
        <w:fldChar w:fldCharType="end"/>
      </w:r>
    </w:p>
    <w:p w14:paraId="7C7EB888">
      <w:pPr>
        <w:pStyle w:val="10"/>
        <w:tabs>
          <w:tab w:val="right" w:leader="dot" w:pos="8844"/>
        </w:tabs>
        <w:rPr>
          <w:color w:val="auto"/>
        </w:rPr>
      </w:pPr>
      <w:r>
        <w:rPr>
          <w:color w:val="auto"/>
        </w:rPr>
        <w:fldChar w:fldCharType="begin"/>
      </w:r>
      <w:r>
        <w:rPr>
          <w:color w:val="auto"/>
        </w:rPr>
        <w:instrText xml:space="preserve"> HYPERLINK \l _Toc25415 </w:instrText>
      </w:r>
      <w:r>
        <w:rPr>
          <w:color w:val="auto"/>
        </w:rPr>
        <w:fldChar w:fldCharType="separate"/>
      </w:r>
      <w:r>
        <w:rPr>
          <w:color w:val="auto"/>
          <w:lang w:val="en-US" w:eastAsia="zh-CN"/>
        </w:rPr>
        <w:t>4.</w:t>
      </w:r>
      <w:r>
        <w:rPr>
          <w:rFonts w:hint="eastAsia"/>
          <w:color w:val="auto"/>
          <w:lang w:val="en-US" w:eastAsia="zh-CN"/>
        </w:rPr>
        <w:t>5</w:t>
      </w:r>
      <w:r>
        <w:rPr>
          <w:color w:val="auto"/>
          <w:lang w:val="en-US" w:eastAsia="zh-CN"/>
        </w:rPr>
        <w:t>.3监测要求</w:t>
      </w:r>
      <w:r>
        <w:rPr>
          <w:color w:val="auto"/>
        </w:rPr>
        <w:tab/>
      </w:r>
      <w:r>
        <w:rPr>
          <w:color w:val="auto"/>
        </w:rPr>
        <w:fldChar w:fldCharType="begin"/>
      </w:r>
      <w:r>
        <w:rPr>
          <w:color w:val="auto"/>
        </w:rPr>
        <w:instrText xml:space="preserve"> PAGEREF _Toc25415 \h </w:instrText>
      </w:r>
      <w:r>
        <w:rPr>
          <w:color w:val="auto"/>
        </w:rPr>
        <w:fldChar w:fldCharType="separate"/>
      </w:r>
      <w:r>
        <w:rPr>
          <w:color w:val="auto"/>
        </w:rPr>
        <w:t>80</w:t>
      </w:r>
      <w:r>
        <w:rPr>
          <w:color w:val="auto"/>
        </w:rPr>
        <w:fldChar w:fldCharType="end"/>
      </w:r>
      <w:r>
        <w:rPr>
          <w:color w:val="auto"/>
        </w:rPr>
        <w:fldChar w:fldCharType="end"/>
      </w:r>
    </w:p>
    <w:p w14:paraId="16AEC8C6">
      <w:pPr>
        <w:pStyle w:val="15"/>
        <w:tabs>
          <w:tab w:val="right" w:leader="dot" w:pos="8844"/>
        </w:tabs>
        <w:rPr>
          <w:color w:val="auto"/>
        </w:rPr>
      </w:pPr>
      <w:r>
        <w:rPr>
          <w:color w:val="auto"/>
        </w:rPr>
        <w:fldChar w:fldCharType="begin"/>
      </w:r>
      <w:r>
        <w:rPr>
          <w:color w:val="auto"/>
        </w:rPr>
        <w:instrText xml:space="preserve"> HYPERLINK \l _Toc17405 </w:instrText>
      </w:r>
      <w:r>
        <w:rPr>
          <w:color w:val="auto"/>
        </w:rPr>
        <w:fldChar w:fldCharType="separate"/>
      </w:r>
      <w:r>
        <w:rPr>
          <w:rFonts w:hint="eastAsia" w:ascii="Times New Roman" w:hAnsi="Times New Roman" w:eastAsia="宋体" w:cs="Times New Roman"/>
          <w:color w:val="auto"/>
          <w:kern w:val="2"/>
          <w:szCs w:val="24"/>
          <w:lang w:val="en-US" w:eastAsia="zh-CN" w:bidi="ar-SA"/>
        </w:rPr>
        <w:t>4.6运营期环境风险影响和保护措施</w:t>
      </w:r>
      <w:r>
        <w:rPr>
          <w:color w:val="auto"/>
        </w:rPr>
        <w:tab/>
      </w:r>
      <w:r>
        <w:rPr>
          <w:color w:val="auto"/>
        </w:rPr>
        <w:fldChar w:fldCharType="begin"/>
      </w:r>
      <w:r>
        <w:rPr>
          <w:color w:val="auto"/>
        </w:rPr>
        <w:instrText xml:space="preserve"> PAGEREF _Toc17405 \h </w:instrText>
      </w:r>
      <w:r>
        <w:rPr>
          <w:color w:val="auto"/>
        </w:rPr>
        <w:fldChar w:fldCharType="separate"/>
      </w:r>
      <w:r>
        <w:rPr>
          <w:color w:val="auto"/>
        </w:rPr>
        <w:t>81</w:t>
      </w:r>
      <w:r>
        <w:rPr>
          <w:color w:val="auto"/>
        </w:rPr>
        <w:fldChar w:fldCharType="end"/>
      </w:r>
      <w:r>
        <w:rPr>
          <w:color w:val="auto"/>
        </w:rPr>
        <w:fldChar w:fldCharType="end"/>
      </w:r>
    </w:p>
    <w:p w14:paraId="2F5BADA0">
      <w:pPr>
        <w:pStyle w:val="10"/>
        <w:tabs>
          <w:tab w:val="right" w:leader="dot" w:pos="8844"/>
        </w:tabs>
        <w:rPr>
          <w:color w:val="auto"/>
        </w:rPr>
      </w:pPr>
      <w:r>
        <w:rPr>
          <w:color w:val="auto"/>
        </w:rPr>
        <w:fldChar w:fldCharType="begin"/>
      </w:r>
      <w:r>
        <w:rPr>
          <w:color w:val="auto"/>
        </w:rPr>
        <w:instrText xml:space="preserve"> HYPERLINK \l _Toc4733 </w:instrText>
      </w:r>
      <w:r>
        <w:rPr>
          <w:color w:val="auto"/>
        </w:rPr>
        <w:fldChar w:fldCharType="separate"/>
      </w:r>
      <w:r>
        <w:rPr>
          <w:rFonts w:hint="eastAsia" w:ascii="Times New Roman" w:hAnsi="Times New Roman" w:eastAsia="宋体" w:cs="Times New Roman"/>
          <w:color w:val="auto"/>
          <w:kern w:val="2"/>
          <w:szCs w:val="24"/>
          <w:lang w:val="en-US" w:eastAsia="zh-CN" w:bidi="ar-SA"/>
        </w:rPr>
        <w:t>4.6.1风险调查</w:t>
      </w:r>
      <w:r>
        <w:rPr>
          <w:color w:val="auto"/>
        </w:rPr>
        <w:tab/>
      </w:r>
      <w:r>
        <w:rPr>
          <w:color w:val="auto"/>
        </w:rPr>
        <w:fldChar w:fldCharType="begin"/>
      </w:r>
      <w:r>
        <w:rPr>
          <w:color w:val="auto"/>
        </w:rPr>
        <w:instrText xml:space="preserve"> PAGEREF _Toc4733 \h </w:instrText>
      </w:r>
      <w:r>
        <w:rPr>
          <w:color w:val="auto"/>
        </w:rPr>
        <w:fldChar w:fldCharType="separate"/>
      </w:r>
      <w:r>
        <w:rPr>
          <w:color w:val="auto"/>
        </w:rPr>
        <w:t>81</w:t>
      </w:r>
      <w:r>
        <w:rPr>
          <w:color w:val="auto"/>
        </w:rPr>
        <w:fldChar w:fldCharType="end"/>
      </w:r>
      <w:r>
        <w:rPr>
          <w:color w:val="auto"/>
        </w:rPr>
        <w:fldChar w:fldCharType="end"/>
      </w:r>
    </w:p>
    <w:p w14:paraId="44CB9655">
      <w:pPr>
        <w:pStyle w:val="10"/>
        <w:tabs>
          <w:tab w:val="right" w:leader="dot" w:pos="8844"/>
        </w:tabs>
        <w:rPr>
          <w:color w:val="auto"/>
        </w:rPr>
      </w:pPr>
      <w:r>
        <w:rPr>
          <w:color w:val="auto"/>
        </w:rPr>
        <w:fldChar w:fldCharType="begin"/>
      </w:r>
      <w:r>
        <w:rPr>
          <w:color w:val="auto"/>
        </w:rPr>
        <w:instrText xml:space="preserve"> HYPERLINK \l _Toc3449 </w:instrText>
      </w:r>
      <w:r>
        <w:rPr>
          <w:color w:val="auto"/>
        </w:rPr>
        <w:fldChar w:fldCharType="separate"/>
      </w:r>
      <w:r>
        <w:rPr>
          <w:rFonts w:hint="eastAsia" w:ascii="Times New Roman" w:hAnsi="Times New Roman" w:eastAsia="宋体" w:cs="Times New Roman"/>
          <w:color w:val="auto"/>
          <w:kern w:val="2"/>
          <w:szCs w:val="24"/>
          <w:lang w:val="en-US" w:eastAsia="zh-CN" w:bidi="ar-SA"/>
        </w:rPr>
        <w:t>4.6.2环境风险潜势初判</w:t>
      </w:r>
      <w:r>
        <w:rPr>
          <w:color w:val="auto"/>
        </w:rPr>
        <w:tab/>
      </w:r>
      <w:r>
        <w:rPr>
          <w:color w:val="auto"/>
        </w:rPr>
        <w:fldChar w:fldCharType="begin"/>
      </w:r>
      <w:r>
        <w:rPr>
          <w:color w:val="auto"/>
        </w:rPr>
        <w:instrText xml:space="preserve"> PAGEREF _Toc3449 \h </w:instrText>
      </w:r>
      <w:r>
        <w:rPr>
          <w:color w:val="auto"/>
        </w:rPr>
        <w:fldChar w:fldCharType="separate"/>
      </w:r>
      <w:r>
        <w:rPr>
          <w:color w:val="auto"/>
        </w:rPr>
        <w:t>83</w:t>
      </w:r>
      <w:r>
        <w:rPr>
          <w:color w:val="auto"/>
        </w:rPr>
        <w:fldChar w:fldCharType="end"/>
      </w:r>
      <w:r>
        <w:rPr>
          <w:color w:val="auto"/>
        </w:rPr>
        <w:fldChar w:fldCharType="end"/>
      </w:r>
    </w:p>
    <w:p w14:paraId="61757D71">
      <w:pPr>
        <w:pStyle w:val="10"/>
        <w:tabs>
          <w:tab w:val="right" w:leader="dot" w:pos="8844"/>
        </w:tabs>
        <w:rPr>
          <w:color w:val="auto"/>
        </w:rPr>
      </w:pPr>
      <w:r>
        <w:rPr>
          <w:color w:val="auto"/>
        </w:rPr>
        <w:fldChar w:fldCharType="begin"/>
      </w:r>
      <w:r>
        <w:rPr>
          <w:color w:val="auto"/>
        </w:rPr>
        <w:instrText xml:space="preserve"> HYPERLINK \l _Toc3041 </w:instrText>
      </w:r>
      <w:r>
        <w:rPr>
          <w:color w:val="auto"/>
        </w:rPr>
        <w:fldChar w:fldCharType="separate"/>
      </w:r>
      <w:r>
        <w:rPr>
          <w:rFonts w:hint="eastAsia" w:ascii="Times New Roman" w:hAnsi="Times New Roman" w:eastAsia="宋体" w:cs="Times New Roman"/>
          <w:color w:val="auto"/>
          <w:kern w:val="2"/>
          <w:szCs w:val="24"/>
          <w:lang w:val="en-US" w:eastAsia="zh-CN" w:bidi="ar-SA"/>
        </w:rPr>
        <w:t>4.6.3环境风险识别</w:t>
      </w:r>
      <w:r>
        <w:rPr>
          <w:color w:val="auto"/>
        </w:rPr>
        <w:tab/>
      </w:r>
      <w:r>
        <w:rPr>
          <w:color w:val="auto"/>
        </w:rPr>
        <w:fldChar w:fldCharType="begin"/>
      </w:r>
      <w:r>
        <w:rPr>
          <w:color w:val="auto"/>
        </w:rPr>
        <w:instrText xml:space="preserve"> PAGEREF _Toc3041 \h </w:instrText>
      </w:r>
      <w:r>
        <w:rPr>
          <w:color w:val="auto"/>
        </w:rPr>
        <w:fldChar w:fldCharType="separate"/>
      </w:r>
      <w:r>
        <w:rPr>
          <w:color w:val="auto"/>
        </w:rPr>
        <w:t>84</w:t>
      </w:r>
      <w:r>
        <w:rPr>
          <w:color w:val="auto"/>
        </w:rPr>
        <w:fldChar w:fldCharType="end"/>
      </w:r>
      <w:r>
        <w:rPr>
          <w:color w:val="auto"/>
        </w:rPr>
        <w:fldChar w:fldCharType="end"/>
      </w:r>
    </w:p>
    <w:p w14:paraId="365FBDD6">
      <w:pPr>
        <w:pStyle w:val="10"/>
        <w:tabs>
          <w:tab w:val="right" w:leader="dot" w:pos="8844"/>
        </w:tabs>
        <w:rPr>
          <w:color w:val="auto"/>
        </w:rPr>
      </w:pPr>
      <w:r>
        <w:rPr>
          <w:color w:val="auto"/>
        </w:rPr>
        <w:fldChar w:fldCharType="begin"/>
      </w:r>
      <w:r>
        <w:rPr>
          <w:color w:val="auto"/>
        </w:rPr>
        <w:instrText xml:space="preserve"> HYPERLINK \l _Toc24995 </w:instrText>
      </w:r>
      <w:r>
        <w:rPr>
          <w:color w:val="auto"/>
        </w:rPr>
        <w:fldChar w:fldCharType="separate"/>
      </w:r>
      <w:r>
        <w:rPr>
          <w:rFonts w:hint="eastAsia" w:ascii="Times New Roman" w:hAnsi="Times New Roman" w:eastAsia="宋体" w:cs="Times New Roman"/>
          <w:color w:val="auto"/>
          <w:kern w:val="2"/>
          <w:szCs w:val="24"/>
          <w:lang w:val="en-US" w:eastAsia="zh-CN" w:bidi="ar-SA"/>
        </w:rPr>
        <w:t>4.6.4环境风险分析</w:t>
      </w:r>
      <w:r>
        <w:rPr>
          <w:color w:val="auto"/>
        </w:rPr>
        <w:tab/>
      </w:r>
      <w:r>
        <w:rPr>
          <w:color w:val="auto"/>
        </w:rPr>
        <w:fldChar w:fldCharType="begin"/>
      </w:r>
      <w:r>
        <w:rPr>
          <w:color w:val="auto"/>
        </w:rPr>
        <w:instrText xml:space="preserve"> PAGEREF _Toc24995 \h </w:instrText>
      </w:r>
      <w:r>
        <w:rPr>
          <w:color w:val="auto"/>
        </w:rPr>
        <w:fldChar w:fldCharType="separate"/>
      </w:r>
      <w:r>
        <w:rPr>
          <w:color w:val="auto"/>
        </w:rPr>
        <w:t>84</w:t>
      </w:r>
      <w:r>
        <w:rPr>
          <w:color w:val="auto"/>
        </w:rPr>
        <w:fldChar w:fldCharType="end"/>
      </w:r>
      <w:r>
        <w:rPr>
          <w:color w:val="auto"/>
        </w:rPr>
        <w:fldChar w:fldCharType="end"/>
      </w:r>
    </w:p>
    <w:p w14:paraId="5CEB15A1">
      <w:pPr>
        <w:pStyle w:val="10"/>
        <w:tabs>
          <w:tab w:val="right" w:leader="dot" w:pos="8844"/>
        </w:tabs>
        <w:rPr>
          <w:color w:val="auto"/>
        </w:rPr>
      </w:pPr>
      <w:r>
        <w:rPr>
          <w:color w:val="auto"/>
        </w:rPr>
        <w:fldChar w:fldCharType="begin"/>
      </w:r>
      <w:r>
        <w:rPr>
          <w:color w:val="auto"/>
        </w:rPr>
        <w:instrText xml:space="preserve"> HYPERLINK \l _Toc19228 </w:instrText>
      </w:r>
      <w:r>
        <w:rPr>
          <w:color w:val="auto"/>
        </w:rPr>
        <w:fldChar w:fldCharType="separate"/>
      </w:r>
      <w:r>
        <w:rPr>
          <w:rFonts w:hint="default" w:ascii="Times New Roman" w:hAnsi="Times New Roman" w:eastAsia="宋体" w:cs="Times New Roman"/>
          <w:color w:val="auto"/>
          <w:kern w:val="2"/>
          <w:szCs w:val="24"/>
          <w:lang w:val="en-US" w:eastAsia="zh-CN" w:bidi="ar-SA"/>
        </w:rPr>
        <w:t>4.6.</w:t>
      </w:r>
      <w:r>
        <w:rPr>
          <w:rFonts w:hint="eastAsia" w:ascii="Times New Roman" w:hAnsi="Times New Roman" w:eastAsia="宋体" w:cs="Times New Roman"/>
          <w:color w:val="auto"/>
          <w:kern w:val="2"/>
          <w:szCs w:val="24"/>
          <w:lang w:val="en-US" w:eastAsia="zh-CN" w:bidi="ar-SA"/>
        </w:rPr>
        <w:t>5</w:t>
      </w:r>
      <w:r>
        <w:rPr>
          <w:rFonts w:hint="default" w:ascii="Times New Roman" w:hAnsi="Times New Roman" w:eastAsia="宋体" w:cs="Times New Roman"/>
          <w:color w:val="auto"/>
          <w:kern w:val="2"/>
          <w:szCs w:val="24"/>
          <w:lang w:val="en-US" w:eastAsia="zh-CN" w:bidi="ar-SA"/>
        </w:rPr>
        <w:t>环境风险防范措施和事故应急措施</w:t>
      </w:r>
      <w:r>
        <w:rPr>
          <w:color w:val="auto"/>
        </w:rPr>
        <w:tab/>
      </w:r>
      <w:r>
        <w:rPr>
          <w:color w:val="auto"/>
        </w:rPr>
        <w:fldChar w:fldCharType="begin"/>
      </w:r>
      <w:r>
        <w:rPr>
          <w:color w:val="auto"/>
        </w:rPr>
        <w:instrText xml:space="preserve"> PAGEREF _Toc19228 \h </w:instrText>
      </w:r>
      <w:r>
        <w:rPr>
          <w:color w:val="auto"/>
        </w:rPr>
        <w:fldChar w:fldCharType="separate"/>
      </w:r>
      <w:r>
        <w:rPr>
          <w:color w:val="auto"/>
        </w:rPr>
        <w:t>85</w:t>
      </w:r>
      <w:r>
        <w:rPr>
          <w:color w:val="auto"/>
        </w:rPr>
        <w:fldChar w:fldCharType="end"/>
      </w:r>
      <w:r>
        <w:rPr>
          <w:color w:val="auto"/>
        </w:rPr>
        <w:fldChar w:fldCharType="end"/>
      </w:r>
    </w:p>
    <w:p w14:paraId="344DDEF6">
      <w:pPr>
        <w:pStyle w:val="15"/>
        <w:tabs>
          <w:tab w:val="right" w:leader="dot" w:pos="8844"/>
        </w:tabs>
        <w:rPr>
          <w:color w:val="auto"/>
        </w:rPr>
      </w:pPr>
      <w:r>
        <w:rPr>
          <w:color w:val="auto"/>
        </w:rPr>
        <w:fldChar w:fldCharType="begin"/>
      </w:r>
      <w:r>
        <w:rPr>
          <w:color w:val="auto"/>
        </w:rPr>
        <w:instrText xml:space="preserve"> HYPERLINK \l _Toc30057 </w:instrText>
      </w:r>
      <w:r>
        <w:rPr>
          <w:color w:val="auto"/>
        </w:rPr>
        <w:fldChar w:fldCharType="separate"/>
      </w:r>
      <w:r>
        <w:rPr>
          <w:rFonts w:hint="eastAsia" w:ascii="Times New Roman" w:hAnsi="Times New Roman" w:eastAsia="宋体" w:cs="Times New Roman"/>
          <w:color w:val="auto"/>
          <w:kern w:val="2"/>
          <w:szCs w:val="24"/>
          <w:lang w:val="en-US" w:eastAsia="zh-CN" w:bidi="ar-SA"/>
        </w:rPr>
        <w:t>4.7环保投资估算</w:t>
      </w:r>
      <w:r>
        <w:rPr>
          <w:color w:val="auto"/>
        </w:rPr>
        <w:tab/>
      </w:r>
      <w:r>
        <w:rPr>
          <w:color w:val="auto"/>
        </w:rPr>
        <w:fldChar w:fldCharType="begin"/>
      </w:r>
      <w:r>
        <w:rPr>
          <w:color w:val="auto"/>
        </w:rPr>
        <w:instrText xml:space="preserve"> PAGEREF _Toc30057 \h </w:instrText>
      </w:r>
      <w:r>
        <w:rPr>
          <w:color w:val="auto"/>
        </w:rPr>
        <w:fldChar w:fldCharType="separate"/>
      </w:r>
      <w:r>
        <w:rPr>
          <w:color w:val="auto"/>
        </w:rPr>
        <w:t>86</w:t>
      </w:r>
      <w:r>
        <w:rPr>
          <w:color w:val="auto"/>
        </w:rPr>
        <w:fldChar w:fldCharType="end"/>
      </w:r>
      <w:r>
        <w:rPr>
          <w:color w:val="auto"/>
        </w:rPr>
        <w:fldChar w:fldCharType="end"/>
      </w:r>
    </w:p>
    <w:p w14:paraId="2461AA9A">
      <w:pPr>
        <w:pStyle w:val="15"/>
        <w:tabs>
          <w:tab w:val="right" w:leader="dot" w:pos="8844"/>
        </w:tabs>
        <w:ind w:left="0" w:leftChars="0" w:firstLine="0" w:firstLineChars="0"/>
        <w:rPr>
          <w:rFonts w:hint="eastAsia" w:eastAsia="宋体"/>
          <w:color w:val="auto"/>
          <w:lang w:val="en-US" w:eastAsia="zh-CN"/>
        </w:rPr>
      </w:pPr>
      <w:r>
        <w:rPr>
          <w:rFonts w:hint="eastAsia"/>
          <w:color w:val="auto"/>
          <w:lang w:val="en-US" w:eastAsia="zh-CN"/>
        </w:rPr>
        <w:t>五、环境保护措施监督检查清单</w:t>
      </w:r>
      <w:r>
        <w:rPr>
          <w:color w:val="auto"/>
        </w:rPr>
        <w:tab/>
      </w:r>
      <w:r>
        <w:rPr>
          <w:color w:val="auto"/>
        </w:rPr>
        <w:fldChar w:fldCharType="begin"/>
      </w:r>
      <w:r>
        <w:rPr>
          <w:color w:val="auto"/>
        </w:rPr>
        <w:instrText xml:space="preserve"> PAGEREF _Toc3463 \h </w:instrText>
      </w:r>
      <w:r>
        <w:rPr>
          <w:color w:val="auto"/>
        </w:rPr>
        <w:fldChar w:fldCharType="separate"/>
      </w:r>
      <w:r>
        <w:rPr>
          <w:color w:val="auto"/>
        </w:rPr>
        <w:t>93</w:t>
      </w:r>
      <w:r>
        <w:rPr>
          <w:color w:val="auto"/>
        </w:rPr>
        <w:fldChar w:fldCharType="end"/>
      </w:r>
    </w:p>
    <w:p w14:paraId="43FC02E1">
      <w:pPr>
        <w:pStyle w:val="15"/>
        <w:tabs>
          <w:tab w:val="right" w:leader="dot" w:pos="8844"/>
        </w:tabs>
        <w:rPr>
          <w:color w:val="auto"/>
        </w:rPr>
      </w:pPr>
      <w:r>
        <w:rPr>
          <w:color w:val="auto"/>
        </w:rPr>
        <w:fldChar w:fldCharType="begin"/>
      </w:r>
      <w:r>
        <w:rPr>
          <w:color w:val="auto"/>
        </w:rPr>
        <w:instrText xml:space="preserve"> HYPERLINK \l _Toc3463 </w:instrText>
      </w:r>
      <w:r>
        <w:rPr>
          <w:color w:val="auto"/>
        </w:rPr>
        <w:fldChar w:fldCharType="separate"/>
      </w:r>
      <w:r>
        <w:rPr>
          <w:rFonts w:hint="eastAsia" w:ascii="Times New Roman" w:hAnsi="Times New Roman" w:eastAsia="宋体"/>
          <w:color w:val="auto"/>
          <w:szCs w:val="24"/>
          <w:lang w:val="en-US" w:eastAsia="zh-CN"/>
        </w:rPr>
        <w:t>5.1环境管理</w:t>
      </w:r>
      <w:r>
        <w:rPr>
          <w:color w:val="auto"/>
        </w:rPr>
        <w:tab/>
      </w:r>
      <w:r>
        <w:rPr>
          <w:color w:val="auto"/>
        </w:rPr>
        <w:fldChar w:fldCharType="begin"/>
      </w:r>
      <w:r>
        <w:rPr>
          <w:color w:val="auto"/>
        </w:rPr>
        <w:instrText xml:space="preserve"> PAGEREF _Toc3463 \h </w:instrText>
      </w:r>
      <w:r>
        <w:rPr>
          <w:color w:val="auto"/>
        </w:rPr>
        <w:fldChar w:fldCharType="separate"/>
      </w:r>
      <w:r>
        <w:rPr>
          <w:color w:val="auto"/>
        </w:rPr>
        <w:t>93</w:t>
      </w:r>
      <w:r>
        <w:rPr>
          <w:color w:val="auto"/>
        </w:rPr>
        <w:fldChar w:fldCharType="end"/>
      </w:r>
      <w:r>
        <w:rPr>
          <w:color w:val="auto"/>
        </w:rPr>
        <w:fldChar w:fldCharType="end"/>
      </w:r>
    </w:p>
    <w:p w14:paraId="55290132">
      <w:pPr>
        <w:pStyle w:val="10"/>
        <w:tabs>
          <w:tab w:val="right" w:leader="dot" w:pos="8844"/>
        </w:tabs>
        <w:rPr>
          <w:color w:val="auto"/>
        </w:rPr>
      </w:pPr>
      <w:r>
        <w:rPr>
          <w:color w:val="auto"/>
        </w:rPr>
        <w:fldChar w:fldCharType="begin"/>
      </w:r>
      <w:r>
        <w:rPr>
          <w:color w:val="auto"/>
        </w:rPr>
        <w:instrText xml:space="preserve"> HYPERLINK \l _Toc24206 </w:instrText>
      </w:r>
      <w:r>
        <w:rPr>
          <w:color w:val="auto"/>
        </w:rPr>
        <w:fldChar w:fldCharType="separate"/>
      </w:r>
      <w:r>
        <w:rPr>
          <w:rFonts w:hint="eastAsia" w:ascii="Times New Roman" w:hAnsi="Times New Roman" w:eastAsia="宋体"/>
          <w:color w:val="auto"/>
          <w:szCs w:val="24"/>
          <w:lang w:val="en-US" w:eastAsia="zh-CN"/>
        </w:rPr>
        <w:t>5.1.1环境管理制度</w:t>
      </w:r>
      <w:r>
        <w:rPr>
          <w:color w:val="auto"/>
        </w:rPr>
        <w:tab/>
      </w:r>
      <w:r>
        <w:rPr>
          <w:color w:val="auto"/>
        </w:rPr>
        <w:fldChar w:fldCharType="begin"/>
      </w:r>
      <w:r>
        <w:rPr>
          <w:color w:val="auto"/>
        </w:rPr>
        <w:instrText xml:space="preserve"> PAGEREF _Toc24206 \h </w:instrText>
      </w:r>
      <w:r>
        <w:rPr>
          <w:color w:val="auto"/>
        </w:rPr>
        <w:fldChar w:fldCharType="separate"/>
      </w:r>
      <w:r>
        <w:rPr>
          <w:color w:val="auto"/>
        </w:rPr>
        <w:t>93</w:t>
      </w:r>
      <w:r>
        <w:rPr>
          <w:color w:val="auto"/>
        </w:rPr>
        <w:fldChar w:fldCharType="end"/>
      </w:r>
      <w:r>
        <w:rPr>
          <w:color w:val="auto"/>
        </w:rPr>
        <w:fldChar w:fldCharType="end"/>
      </w:r>
    </w:p>
    <w:p w14:paraId="38DE4DC9">
      <w:pPr>
        <w:pStyle w:val="13"/>
        <w:tabs>
          <w:tab w:val="right" w:leader="dot" w:pos="8844"/>
        </w:tabs>
        <w:rPr>
          <w:color w:val="auto"/>
        </w:rPr>
      </w:pPr>
      <w:r>
        <w:rPr>
          <w:color w:val="auto"/>
        </w:rPr>
        <w:fldChar w:fldCharType="begin"/>
      </w:r>
      <w:r>
        <w:rPr>
          <w:color w:val="auto"/>
        </w:rPr>
        <w:instrText xml:space="preserve"> HYPERLINK \l _Toc17413 </w:instrText>
      </w:r>
      <w:r>
        <w:rPr>
          <w:color w:val="auto"/>
        </w:rPr>
        <w:fldChar w:fldCharType="separate"/>
      </w:r>
      <w:r>
        <w:rPr>
          <w:rFonts w:hint="eastAsia"/>
          <w:color w:val="auto"/>
        </w:rPr>
        <w:t>六、结论</w:t>
      </w:r>
      <w:r>
        <w:rPr>
          <w:color w:val="auto"/>
        </w:rPr>
        <w:tab/>
      </w:r>
      <w:r>
        <w:rPr>
          <w:color w:val="auto"/>
        </w:rPr>
        <w:fldChar w:fldCharType="begin"/>
      </w:r>
      <w:r>
        <w:rPr>
          <w:color w:val="auto"/>
        </w:rPr>
        <w:instrText xml:space="preserve"> PAGEREF _Toc17413 \h </w:instrText>
      </w:r>
      <w:r>
        <w:rPr>
          <w:color w:val="auto"/>
        </w:rPr>
        <w:fldChar w:fldCharType="separate"/>
      </w:r>
      <w:r>
        <w:rPr>
          <w:color w:val="auto"/>
        </w:rPr>
        <w:t>96</w:t>
      </w:r>
      <w:r>
        <w:rPr>
          <w:color w:val="auto"/>
        </w:rPr>
        <w:fldChar w:fldCharType="end"/>
      </w:r>
      <w:r>
        <w:rPr>
          <w:color w:val="auto"/>
        </w:rPr>
        <w:fldChar w:fldCharType="end"/>
      </w:r>
    </w:p>
    <w:p w14:paraId="08FCED34">
      <w:pPr>
        <w:pStyle w:val="15"/>
        <w:tabs>
          <w:tab w:val="right" w:leader="dot" w:pos="8844"/>
        </w:tabs>
        <w:rPr>
          <w:color w:val="auto"/>
        </w:rPr>
      </w:pPr>
      <w:r>
        <w:rPr>
          <w:color w:val="auto"/>
        </w:rPr>
        <w:fldChar w:fldCharType="begin"/>
      </w:r>
      <w:r>
        <w:rPr>
          <w:color w:val="auto"/>
        </w:rPr>
        <w:instrText xml:space="preserve"> HYPERLINK \l _Toc23532 </w:instrText>
      </w:r>
      <w:r>
        <w:rPr>
          <w:color w:val="auto"/>
        </w:rPr>
        <w:fldChar w:fldCharType="separate"/>
      </w:r>
      <w:r>
        <w:rPr>
          <w:rFonts w:hint="eastAsia" w:ascii="Times New Roman" w:hAnsi="Times New Roman" w:eastAsia="宋体" w:cs="Times New Roman"/>
          <w:color w:val="auto"/>
          <w:kern w:val="2"/>
          <w:szCs w:val="24"/>
          <w:lang w:val="en-US" w:eastAsia="zh-CN" w:bidi="ar-SA"/>
        </w:rPr>
        <w:t>6.1总结论</w:t>
      </w:r>
      <w:r>
        <w:rPr>
          <w:color w:val="auto"/>
        </w:rPr>
        <w:tab/>
      </w:r>
      <w:r>
        <w:rPr>
          <w:color w:val="auto"/>
        </w:rPr>
        <w:fldChar w:fldCharType="begin"/>
      </w:r>
      <w:r>
        <w:rPr>
          <w:color w:val="auto"/>
        </w:rPr>
        <w:instrText xml:space="preserve"> PAGEREF _Toc23532 \h </w:instrText>
      </w:r>
      <w:r>
        <w:rPr>
          <w:color w:val="auto"/>
        </w:rPr>
        <w:fldChar w:fldCharType="separate"/>
      </w:r>
      <w:r>
        <w:rPr>
          <w:color w:val="auto"/>
        </w:rPr>
        <w:t>96</w:t>
      </w:r>
      <w:r>
        <w:rPr>
          <w:color w:val="auto"/>
        </w:rPr>
        <w:fldChar w:fldCharType="end"/>
      </w:r>
      <w:r>
        <w:rPr>
          <w:color w:val="auto"/>
        </w:rPr>
        <w:fldChar w:fldCharType="end"/>
      </w:r>
    </w:p>
    <w:p w14:paraId="14891872">
      <w:pPr>
        <w:pStyle w:val="15"/>
        <w:tabs>
          <w:tab w:val="right" w:leader="dot" w:pos="8844"/>
        </w:tabs>
        <w:rPr>
          <w:color w:val="auto"/>
        </w:rPr>
      </w:pPr>
      <w:r>
        <w:rPr>
          <w:color w:val="auto"/>
        </w:rPr>
        <w:fldChar w:fldCharType="begin"/>
      </w:r>
      <w:r>
        <w:rPr>
          <w:color w:val="auto"/>
        </w:rPr>
        <w:instrText xml:space="preserve"> HYPERLINK \l _Toc1408 </w:instrText>
      </w:r>
      <w:r>
        <w:rPr>
          <w:color w:val="auto"/>
        </w:rPr>
        <w:fldChar w:fldCharType="separate"/>
      </w:r>
      <w:r>
        <w:rPr>
          <w:rFonts w:hint="eastAsia" w:ascii="Times New Roman" w:hAnsi="Times New Roman" w:eastAsia="宋体" w:cs="Times New Roman"/>
          <w:color w:val="auto"/>
          <w:kern w:val="2"/>
          <w:szCs w:val="24"/>
          <w:lang w:val="en-US" w:eastAsia="zh-CN" w:bidi="ar-SA"/>
        </w:rPr>
        <w:t>6.2建议</w:t>
      </w:r>
      <w:r>
        <w:rPr>
          <w:color w:val="auto"/>
        </w:rPr>
        <w:tab/>
      </w:r>
      <w:r>
        <w:rPr>
          <w:color w:val="auto"/>
        </w:rPr>
        <w:fldChar w:fldCharType="begin"/>
      </w:r>
      <w:r>
        <w:rPr>
          <w:color w:val="auto"/>
        </w:rPr>
        <w:instrText xml:space="preserve"> PAGEREF _Toc1408 \h </w:instrText>
      </w:r>
      <w:r>
        <w:rPr>
          <w:color w:val="auto"/>
        </w:rPr>
        <w:fldChar w:fldCharType="separate"/>
      </w:r>
      <w:r>
        <w:rPr>
          <w:color w:val="auto"/>
        </w:rPr>
        <w:t>96</w:t>
      </w:r>
      <w:r>
        <w:rPr>
          <w:color w:val="auto"/>
        </w:rPr>
        <w:fldChar w:fldCharType="end"/>
      </w:r>
      <w:r>
        <w:rPr>
          <w:color w:val="auto"/>
        </w:rPr>
        <w:fldChar w:fldCharType="end"/>
      </w:r>
    </w:p>
    <w:p w14:paraId="37D700D4">
      <w:pPr>
        <w:pStyle w:val="13"/>
        <w:tabs>
          <w:tab w:val="right" w:leader="dot" w:pos="8844"/>
        </w:tabs>
        <w:rPr>
          <w:color w:val="auto"/>
        </w:rPr>
      </w:pPr>
      <w:r>
        <w:rPr>
          <w:color w:val="auto"/>
        </w:rPr>
        <w:fldChar w:fldCharType="begin"/>
      </w:r>
      <w:r>
        <w:rPr>
          <w:color w:val="auto"/>
        </w:rPr>
        <w:instrText xml:space="preserve"> HYPERLINK \l _Toc5719 </w:instrText>
      </w:r>
      <w:r>
        <w:rPr>
          <w:color w:val="auto"/>
        </w:rPr>
        <w:fldChar w:fldCharType="separate"/>
      </w:r>
      <w:r>
        <w:rPr>
          <w:rFonts w:hint="eastAsia"/>
          <w:color w:val="auto"/>
          <w:lang w:val="en-US" w:eastAsia="zh-CN"/>
        </w:rPr>
        <w:t>附图</w:t>
      </w:r>
      <w:r>
        <w:rPr>
          <w:color w:val="auto"/>
        </w:rPr>
        <w:tab/>
      </w:r>
      <w:r>
        <w:rPr>
          <w:color w:val="auto"/>
        </w:rPr>
        <w:fldChar w:fldCharType="begin"/>
      </w:r>
      <w:r>
        <w:rPr>
          <w:color w:val="auto"/>
        </w:rPr>
        <w:instrText xml:space="preserve"> PAGEREF _Toc5719 \h </w:instrText>
      </w:r>
      <w:r>
        <w:rPr>
          <w:color w:val="auto"/>
        </w:rPr>
        <w:fldChar w:fldCharType="separate"/>
      </w:r>
      <w:r>
        <w:rPr>
          <w:color w:val="auto"/>
        </w:rPr>
        <w:t>99</w:t>
      </w:r>
      <w:r>
        <w:rPr>
          <w:color w:val="auto"/>
        </w:rPr>
        <w:fldChar w:fldCharType="end"/>
      </w:r>
      <w:r>
        <w:rPr>
          <w:color w:val="auto"/>
        </w:rPr>
        <w:fldChar w:fldCharType="end"/>
      </w:r>
    </w:p>
    <w:p w14:paraId="3C2732BB">
      <w:pPr>
        <w:pStyle w:val="13"/>
        <w:tabs>
          <w:tab w:val="right" w:leader="dot" w:pos="8844"/>
        </w:tabs>
        <w:rPr>
          <w:rFonts w:hint="default" w:eastAsia="宋体"/>
          <w:color w:val="auto"/>
          <w:lang w:val="en-US" w:eastAsia="zh-CN"/>
        </w:rPr>
      </w:pPr>
      <w:r>
        <w:rPr>
          <w:color w:val="auto"/>
        </w:rPr>
        <w:fldChar w:fldCharType="begin"/>
      </w:r>
      <w:r>
        <w:rPr>
          <w:color w:val="auto"/>
        </w:rPr>
        <w:instrText xml:space="preserve"> HYPERLINK \l _Toc30513 </w:instrText>
      </w:r>
      <w:r>
        <w:rPr>
          <w:color w:val="auto"/>
        </w:rPr>
        <w:fldChar w:fldCharType="separate"/>
      </w:r>
      <w:r>
        <w:rPr>
          <w:rFonts w:hint="default"/>
          <w:color w:val="auto"/>
          <w:lang w:val="en-US" w:eastAsia="zh-CN"/>
        </w:rPr>
        <w:t>附件</w:t>
      </w:r>
      <w:r>
        <w:rPr>
          <w:color w:val="auto"/>
        </w:rPr>
        <w:tab/>
      </w:r>
      <w:r>
        <w:rPr>
          <w:rFonts w:hint="eastAsia"/>
          <w:color w:val="auto"/>
          <w:lang w:val="en-US" w:eastAsia="zh-CN"/>
        </w:rPr>
        <w:t>1</w:t>
      </w:r>
      <w:r>
        <w:rPr>
          <w:color w:val="auto"/>
        </w:rPr>
        <w:fldChar w:fldCharType="end"/>
      </w:r>
      <w:r>
        <w:rPr>
          <w:rFonts w:hint="eastAsia"/>
          <w:color w:val="auto"/>
          <w:lang w:val="en-US" w:eastAsia="zh-CN"/>
        </w:rPr>
        <w:t>11</w:t>
      </w:r>
    </w:p>
    <w:p w14:paraId="55EF8956">
      <w:pPr>
        <w:pStyle w:val="13"/>
        <w:tabs>
          <w:tab w:val="right" w:leader="dot" w:pos="8844"/>
        </w:tabs>
        <w:rPr>
          <w:color w:val="auto"/>
        </w:rPr>
      </w:pPr>
    </w:p>
    <w:p w14:paraId="665F745F">
      <w:pPr>
        <w:pStyle w:val="5"/>
        <w:bidi w:val="0"/>
        <w:spacing w:before="0" w:beforeLines="0" w:after="0" w:afterLines="0" w:line="240" w:lineRule="auto"/>
        <w:ind w:left="0" w:leftChars="0" w:right="0" w:rightChars="0" w:firstLine="0" w:firstLineChars="0"/>
        <w:jc w:val="center"/>
        <w:rPr>
          <w:rFonts w:hint="eastAsia"/>
          <w:color w:val="auto"/>
        </w:rPr>
        <w:sectPr>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r>
        <w:rPr>
          <w:color w:val="auto"/>
        </w:rPr>
        <w:fldChar w:fldCharType="end"/>
      </w:r>
    </w:p>
    <w:p w14:paraId="13219330">
      <w:pPr>
        <w:pStyle w:val="5"/>
        <w:bidi w:val="0"/>
        <w:rPr>
          <w:rFonts w:hint="eastAsia"/>
          <w:color w:val="auto"/>
        </w:rPr>
      </w:pPr>
      <w:r>
        <w:rPr>
          <w:rFonts w:hint="eastAsia"/>
          <w:color w:val="auto"/>
        </w:rPr>
        <w:t>一、建设项目基本情况</w:t>
      </w: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90"/>
        <w:gridCol w:w="2774"/>
        <w:gridCol w:w="2461"/>
        <w:gridCol w:w="2945"/>
      </w:tblGrid>
      <w:tr w14:paraId="69718B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50" w:type="dxa"/>
            <w:noWrap w:val="0"/>
            <w:tcMar>
              <w:top w:w="16" w:type="dxa"/>
              <w:left w:w="16" w:type="dxa"/>
              <w:right w:w="16" w:type="dxa"/>
            </w:tcMar>
            <w:vAlign w:val="center"/>
          </w:tcPr>
          <w:p w14:paraId="661E37D7">
            <w:pPr>
              <w:adjustRightInd w:val="0"/>
              <w:snapToGrid w:val="0"/>
              <w:jc w:val="center"/>
              <w:rPr>
                <w:rFonts w:ascii="Times New Roman" w:hAnsi="Times New Roman" w:cs="宋体"/>
                <w:color w:val="auto"/>
                <w:szCs w:val="21"/>
              </w:rPr>
            </w:pPr>
            <w:r>
              <w:rPr>
                <w:rFonts w:hint="eastAsia" w:ascii="Times New Roman" w:hAnsi="Times New Roman" w:cs="宋体"/>
                <w:color w:val="auto"/>
                <w:szCs w:val="21"/>
              </w:rPr>
              <w:t>建设项目名称</w:t>
            </w:r>
          </w:p>
        </w:tc>
        <w:tc>
          <w:tcPr>
            <w:tcW w:w="7920" w:type="dxa"/>
            <w:gridSpan w:val="3"/>
            <w:noWrap w:val="0"/>
            <w:vAlign w:val="center"/>
          </w:tcPr>
          <w:p w14:paraId="6A16C224">
            <w:pPr>
              <w:pStyle w:val="28"/>
              <w:bidi w:val="0"/>
              <w:rPr>
                <w:rFonts w:ascii="Times New Roman" w:hAnsi="Times New Roman"/>
                <w:color w:val="auto"/>
              </w:rPr>
            </w:pPr>
            <w:r>
              <w:rPr>
                <w:rFonts w:hint="eastAsia" w:ascii="Times New Roman" w:hAnsi="Times New Roman" w:eastAsia="宋体" w:cs="Times New Roman"/>
                <w:color w:val="auto"/>
                <w:kern w:val="0"/>
                <w:sz w:val="21"/>
                <w:szCs w:val="20"/>
                <w:lang w:val="en-US" w:eastAsia="zh-CN" w:bidi="ar-SA"/>
              </w:rPr>
              <w:t>福州晶至光电科技有限公司高功率激光与光互联材料和器件量产项目</w:t>
            </w:r>
          </w:p>
        </w:tc>
      </w:tr>
      <w:tr w14:paraId="165B20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50" w:type="dxa"/>
            <w:noWrap w:val="0"/>
            <w:tcMar>
              <w:top w:w="16" w:type="dxa"/>
              <w:left w:w="16" w:type="dxa"/>
              <w:right w:w="16" w:type="dxa"/>
            </w:tcMar>
            <w:vAlign w:val="center"/>
          </w:tcPr>
          <w:p w14:paraId="2A5E8AAD">
            <w:pPr>
              <w:adjustRightInd w:val="0"/>
              <w:snapToGrid w:val="0"/>
              <w:jc w:val="center"/>
              <w:rPr>
                <w:rFonts w:ascii="Times New Roman" w:hAnsi="Times New Roman" w:cs="宋体"/>
                <w:color w:val="auto"/>
                <w:szCs w:val="21"/>
              </w:rPr>
            </w:pPr>
            <w:r>
              <w:rPr>
                <w:rFonts w:hint="eastAsia" w:ascii="Times New Roman" w:hAnsi="Times New Roman" w:cs="宋体"/>
                <w:color w:val="auto"/>
                <w:szCs w:val="21"/>
              </w:rPr>
              <w:t>项目代码</w:t>
            </w:r>
          </w:p>
        </w:tc>
        <w:tc>
          <w:tcPr>
            <w:tcW w:w="7920" w:type="dxa"/>
            <w:gridSpan w:val="3"/>
            <w:noWrap w:val="0"/>
            <w:vAlign w:val="center"/>
          </w:tcPr>
          <w:p w14:paraId="6D510819">
            <w:pPr>
              <w:pStyle w:val="28"/>
              <w:bidi w:val="0"/>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2607-350121-04-01-119321</w:t>
            </w:r>
          </w:p>
        </w:tc>
      </w:tr>
      <w:tr w14:paraId="6051DB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50" w:type="dxa"/>
            <w:noWrap w:val="0"/>
            <w:tcMar>
              <w:top w:w="16" w:type="dxa"/>
              <w:left w:w="16" w:type="dxa"/>
              <w:right w:w="16" w:type="dxa"/>
            </w:tcMar>
            <w:vAlign w:val="center"/>
          </w:tcPr>
          <w:p w14:paraId="753EA18F">
            <w:pPr>
              <w:adjustRightInd w:val="0"/>
              <w:snapToGrid w:val="0"/>
              <w:jc w:val="center"/>
              <w:rPr>
                <w:rFonts w:hint="eastAsia" w:ascii="Times New Roman" w:hAnsi="Times New Roman" w:cs="宋体"/>
                <w:color w:val="auto"/>
                <w:szCs w:val="21"/>
              </w:rPr>
            </w:pPr>
            <w:r>
              <w:rPr>
                <w:rFonts w:hint="eastAsia" w:ascii="Times New Roman" w:hAnsi="Times New Roman" w:cs="宋体"/>
                <w:color w:val="auto"/>
                <w:szCs w:val="21"/>
              </w:rPr>
              <w:t>建设单位联系人</w:t>
            </w:r>
          </w:p>
        </w:tc>
        <w:tc>
          <w:tcPr>
            <w:tcW w:w="2841" w:type="dxa"/>
            <w:noWrap w:val="0"/>
            <w:vAlign w:val="center"/>
          </w:tcPr>
          <w:p w14:paraId="27D7BBCA">
            <w:pPr>
              <w:pStyle w:val="28"/>
              <w:bidi w:val="0"/>
              <w:rPr>
                <w:rFonts w:hint="default" w:ascii="Times New Roman" w:hAnsi="Times New Roman" w:eastAsia="宋体"/>
                <w:color w:val="auto"/>
                <w:lang w:val="en-US" w:eastAsia="zh-CN"/>
              </w:rPr>
            </w:pPr>
            <w:r>
              <w:rPr>
                <w:rFonts w:hint="eastAsia"/>
                <w:color w:val="auto"/>
                <w:lang w:val="en-US" w:eastAsia="zh-CN"/>
              </w:rPr>
              <w:t>*</w:t>
            </w:r>
          </w:p>
        </w:tc>
        <w:tc>
          <w:tcPr>
            <w:tcW w:w="2360" w:type="dxa"/>
            <w:noWrap w:val="0"/>
            <w:vAlign w:val="center"/>
          </w:tcPr>
          <w:p w14:paraId="0B5EFE7A">
            <w:pPr>
              <w:pStyle w:val="28"/>
              <w:bidi w:val="0"/>
              <w:rPr>
                <w:rFonts w:ascii="Times New Roman" w:hAnsi="Times New Roman"/>
                <w:color w:val="auto"/>
              </w:rPr>
            </w:pPr>
            <w:r>
              <w:rPr>
                <w:rFonts w:hint="eastAsia" w:ascii="Times New Roman" w:hAnsi="Times New Roman"/>
                <w:color w:val="auto"/>
              </w:rPr>
              <w:t>联系方式</w:t>
            </w:r>
          </w:p>
        </w:tc>
        <w:tc>
          <w:tcPr>
            <w:tcW w:w="2719" w:type="dxa"/>
            <w:noWrap w:val="0"/>
            <w:vAlign w:val="center"/>
          </w:tcPr>
          <w:p w14:paraId="4B317E83">
            <w:pPr>
              <w:pStyle w:val="28"/>
              <w:bidi w:val="0"/>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w:t>
            </w:r>
          </w:p>
        </w:tc>
      </w:tr>
      <w:tr w14:paraId="4D4145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50" w:type="dxa"/>
            <w:noWrap w:val="0"/>
            <w:tcMar>
              <w:top w:w="16" w:type="dxa"/>
              <w:left w:w="16" w:type="dxa"/>
              <w:right w:w="16" w:type="dxa"/>
            </w:tcMar>
            <w:vAlign w:val="center"/>
          </w:tcPr>
          <w:p w14:paraId="3068DBA7">
            <w:pPr>
              <w:adjustRightInd w:val="0"/>
              <w:snapToGrid w:val="0"/>
              <w:jc w:val="center"/>
              <w:rPr>
                <w:rFonts w:ascii="Times New Roman" w:hAnsi="Times New Roman" w:cs="宋体"/>
                <w:color w:val="auto"/>
                <w:szCs w:val="21"/>
              </w:rPr>
            </w:pPr>
            <w:r>
              <w:rPr>
                <w:rFonts w:hint="eastAsia" w:ascii="Times New Roman" w:hAnsi="Times New Roman" w:cs="宋体"/>
                <w:color w:val="auto"/>
                <w:szCs w:val="21"/>
              </w:rPr>
              <w:t>建设地点</w:t>
            </w:r>
          </w:p>
        </w:tc>
        <w:tc>
          <w:tcPr>
            <w:tcW w:w="7920" w:type="dxa"/>
            <w:gridSpan w:val="3"/>
            <w:noWrap w:val="0"/>
            <w:vAlign w:val="center"/>
          </w:tcPr>
          <w:p w14:paraId="456E21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olor w:val="auto"/>
                <w:lang w:val="en-US" w:eastAsia="zh-CN"/>
              </w:rPr>
            </w:pPr>
            <w:r>
              <w:rPr>
                <w:rFonts w:hint="eastAsia" w:ascii="Times New Roman" w:hAnsi="Times New Roman" w:eastAsia="宋体" w:cs="Times New Roman"/>
                <w:color w:val="auto"/>
                <w:kern w:val="0"/>
                <w:sz w:val="21"/>
                <w:szCs w:val="20"/>
                <w:lang w:val="en-US" w:eastAsia="zh-CN" w:bidi="ar-SA"/>
              </w:rPr>
              <w:t>福建省闽侯县南屿镇窗厦村新南大道176号第三代半导体数字产业园</w:t>
            </w:r>
            <w:r>
              <w:rPr>
                <w:rFonts w:hint="eastAsia" w:cs="Times New Roman"/>
                <w:color w:val="auto"/>
                <w:kern w:val="0"/>
                <w:sz w:val="21"/>
                <w:szCs w:val="20"/>
                <w:lang w:val="en-US" w:eastAsia="zh-CN" w:bidi="ar-SA"/>
              </w:rPr>
              <w:t>（</w:t>
            </w:r>
            <w:r>
              <w:rPr>
                <w:rFonts w:hint="eastAsia" w:ascii="Times New Roman" w:hAnsi="Times New Roman" w:eastAsia="宋体" w:cs="Times New Roman"/>
                <w:color w:val="auto"/>
                <w:kern w:val="0"/>
                <w:sz w:val="21"/>
                <w:szCs w:val="20"/>
                <w:lang w:val="en-US" w:eastAsia="zh-CN" w:bidi="ar-SA"/>
              </w:rPr>
              <w:t>二期</w:t>
            </w:r>
            <w:r>
              <w:rPr>
                <w:rFonts w:hint="eastAsia" w:cs="Times New Roman"/>
                <w:color w:val="auto"/>
                <w:kern w:val="0"/>
                <w:sz w:val="21"/>
                <w:szCs w:val="20"/>
                <w:lang w:val="en-US" w:eastAsia="zh-CN" w:bidi="ar-SA"/>
              </w:rPr>
              <w:t>）</w:t>
            </w:r>
            <w:r>
              <w:rPr>
                <w:rFonts w:hint="eastAsia" w:ascii="Times New Roman" w:hAnsi="Times New Roman" w:eastAsia="宋体" w:cs="Times New Roman"/>
                <w:color w:val="auto"/>
                <w:kern w:val="0"/>
                <w:sz w:val="21"/>
                <w:szCs w:val="20"/>
                <w:lang w:val="en-US" w:eastAsia="zh-CN" w:bidi="ar-SA"/>
              </w:rPr>
              <w:t>4号楼5层、6层、7层（租赁福州新南建设开发有限公司现有闲置厂房）</w:t>
            </w:r>
          </w:p>
        </w:tc>
      </w:tr>
      <w:tr w14:paraId="4404EE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50" w:type="dxa"/>
            <w:noWrap w:val="0"/>
            <w:tcMar>
              <w:top w:w="16" w:type="dxa"/>
              <w:left w:w="16" w:type="dxa"/>
              <w:right w:w="16" w:type="dxa"/>
            </w:tcMar>
            <w:vAlign w:val="center"/>
          </w:tcPr>
          <w:p w14:paraId="522C1109">
            <w:pPr>
              <w:adjustRightInd w:val="0"/>
              <w:snapToGrid w:val="0"/>
              <w:jc w:val="center"/>
              <w:rPr>
                <w:rFonts w:ascii="Times New Roman" w:hAnsi="Times New Roman" w:cs="宋体"/>
                <w:color w:val="auto"/>
                <w:szCs w:val="21"/>
              </w:rPr>
            </w:pPr>
            <w:r>
              <w:rPr>
                <w:rFonts w:hint="eastAsia" w:ascii="Times New Roman" w:hAnsi="Times New Roman" w:cs="宋体"/>
                <w:color w:val="auto"/>
                <w:szCs w:val="21"/>
              </w:rPr>
              <w:t>地理坐标</w:t>
            </w:r>
          </w:p>
        </w:tc>
        <w:tc>
          <w:tcPr>
            <w:tcW w:w="7920" w:type="dxa"/>
            <w:gridSpan w:val="3"/>
            <w:noWrap w:val="0"/>
            <w:vAlign w:val="center"/>
          </w:tcPr>
          <w:p w14:paraId="64C4A188">
            <w:pPr>
              <w:pStyle w:val="28"/>
              <w:bidi w:val="0"/>
              <w:rPr>
                <w:rFonts w:hint="eastAsia" w:ascii="Times New Roman" w:hAnsi="Times New Roman"/>
                <w:color w:val="auto"/>
              </w:rPr>
            </w:pPr>
            <w:r>
              <w:rPr>
                <w:rFonts w:hint="eastAsia" w:ascii="Times New Roman" w:hAnsi="Times New Roman" w:eastAsia="宋体" w:cs="Times New Roman"/>
                <w:color w:val="auto"/>
                <w:kern w:val="0"/>
                <w:sz w:val="21"/>
                <w:szCs w:val="20"/>
                <w:lang w:val="en-US" w:eastAsia="zh-CN" w:bidi="ar-SA"/>
              </w:rPr>
              <w:t>119°13'36.2625",25°56'12.6378"</w:t>
            </w:r>
          </w:p>
        </w:tc>
      </w:tr>
      <w:tr w14:paraId="5B3001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950" w:type="dxa"/>
            <w:noWrap w:val="0"/>
            <w:tcMar>
              <w:top w:w="16" w:type="dxa"/>
              <w:left w:w="16" w:type="dxa"/>
              <w:right w:w="16" w:type="dxa"/>
            </w:tcMar>
            <w:vAlign w:val="center"/>
          </w:tcPr>
          <w:p w14:paraId="753D7A9F">
            <w:pPr>
              <w:adjustRightInd w:val="0"/>
              <w:snapToGrid w:val="0"/>
              <w:jc w:val="center"/>
              <w:rPr>
                <w:rFonts w:ascii="Times New Roman" w:hAnsi="Times New Roman" w:cs="宋体"/>
                <w:color w:val="auto"/>
                <w:szCs w:val="21"/>
              </w:rPr>
            </w:pPr>
            <w:r>
              <w:rPr>
                <w:rFonts w:hint="eastAsia" w:ascii="Times New Roman" w:hAnsi="Times New Roman" w:cs="宋体"/>
                <w:color w:val="auto"/>
                <w:szCs w:val="21"/>
              </w:rPr>
              <w:t>国民经济行业类别</w:t>
            </w:r>
          </w:p>
        </w:tc>
        <w:tc>
          <w:tcPr>
            <w:tcW w:w="2841" w:type="dxa"/>
            <w:noWrap w:val="0"/>
            <w:vAlign w:val="center"/>
          </w:tcPr>
          <w:p w14:paraId="742F2721">
            <w:pPr>
              <w:pStyle w:val="28"/>
              <w:bidi w:val="0"/>
              <w:rPr>
                <w:rFonts w:hint="default" w:ascii="Times New Roman" w:hAnsi="Times New Roman"/>
                <w:color w:val="auto"/>
                <w:lang w:val="en-US" w:eastAsia="zh-CN"/>
              </w:rPr>
            </w:pPr>
            <w:r>
              <w:rPr>
                <w:rFonts w:hint="default" w:ascii="Times New Roman" w:hAnsi="Times New Roman"/>
                <w:color w:val="auto"/>
                <w:lang w:val="en-US" w:eastAsia="zh-CN"/>
              </w:rPr>
              <w:t>C</w:t>
            </w:r>
            <w:r>
              <w:rPr>
                <w:rFonts w:hint="eastAsia" w:ascii="Times New Roman" w:hAnsi="Times New Roman"/>
                <w:color w:val="auto"/>
                <w:lang w:val="en-US" w:eastAsia="zh-CN"/>
              </w:rPr>
              <w:t>3985</w:t>
            </w:r>
            <w:r>
              <w:rPr>
                <w:rFonts w:hint="default" w:ascii="Times New Roman" w:hAnsi="Times New Roman"/>
                <w:color w:val="auto"/>
                <w:lang w:val="en-US" w:eastAsia="zh-CN"/>
              </w:rPr>
              <w:t>电子专用材料制造</w:t>
            </w:r>
          </w:p>
        </w:tc>
        <w:tc>
          <w:tcPr>
            <w:tcW w:w="2360" w:type="dxa"/>
            <w:noWrap w:val="0"/>
            <w:vAlign w:val="center"/>
          </w:tcPr>
          <w:p w14:paraId="35E99886">
            <w:pPr>
              <w:pStyle w:val="28"/>
              <w:bidi w:val="0"/>
              <w:rPr>
                <w:rFonts w:ascii="Times New Roman" w:hAnsi="Times New Roman"/>
                <w:color w:val="auto"/>
              </w:rPr>
            </w:pPr>
            <w:bookmarkStart w:id="4" w:name="_Hlk49843745"/>
            <w:r>
              <w:rPr>
                <w:rFonts w:hint="eastAsia" w:ascii="Times New Roman" w:hAnsi="Times New Roman"/>
                <w:color w:val="auto"/>
              </w:rPr>
              <w:t>建设项目</w:t>
            </w:r>
          </w:p>
          <w:p w14:paraId="54CECD38">
            <w:pPr>
              <w:pStyle w:val="28"/>
              <w:bidi w:val="0"/>
              <w:rPr>
                <w:rFonts w:ascii="Times New Roman" w:hAnsi="Times New Roman"/>
                <w:color w:val="auto"/>
              </w:rPr>
            </w:pPr>
            <w:r>
              <w:rPr>
                <w:rFonts w:hint="eastAsia" w:ascii="Times New Roman" w:hAnsi="Times New Roman"/>
                <w:color w:val="auto"/>
              </w:rPr>
              <w:t>类别</w:t>
            </w:r>
            <w:bookmarkEnd w:id="4"/>
          </w:p>
        </w:tc>
        <w:tc>
          <w:tcPr>
            <w:tcW w:w="2719" w:type="dxa"/>
            <w:noWrap w:val="0"/>
            <w:vAlign w:val="center"/>
          </w:tcPr>
          <w:p w14:paraId="02369A57">
            <w:pPr>
              <w:pStyle w:val="28"/>
              <w:bidi w:val="0"/>
              <w:rPr>
                <w:rFonts w:hint="default" w:ascii="Times New Roman" w:hAnsi="Times New Roman"/>
                <w:color w:val="auto"/>
                <w:lang w:eastAsia="zh-CN"/>
              </w:rPr>
            </w:pPr>
            <w:r>
              <w:rPr>
                <w:rFonts w:hint="default" w:ascii="Times New Roman" w:hAnsi="Times New Roman" w:eastAsia="宋体" w:cs="Times New Roman"/>
                <w:color w:val="auto"/>
                <w:szCs w:val="21"/>
              </w:rPr>
              <w:t>三十六、计算机、通信和其他电子设备制造业39，</w:t>
            </w:r>
            <w:r>
              <w:rPr>
                <w:rFonts w:hint="eastAsia" w:ascii="Times New Roman" w:hAnsi="Times New Roman" w:cs="Times New Roman"/>
                <w:color w:val="auto"/>
                <w:szCs w:val="21"/>
                <w:lang w:val="en-US" w:eastAsia="zh-CN"/>
              </w:rPr>
              <w:t>81</w:t>
            </w:r>
            <w:r>
              <w:rPr>
                <w:rFonts w:hint="default" w:ascii="Times New Roman" w:hAnsi="Times New Roman" w:eastAsia="宋体" w:cs="Times New Roman"/>
                <w:color w:val="auto"/>
                <w:szCs w:val="21"/>
                <w:lang w:val="en-US" w:eastAsia="zh-CN"/>
              </w:rPr>
              <w:t>、电子元件及电子专用材料制造398</w:t>
            </w:r>
          </w:p>
        </w:tc>
      </w:tr>
      <w:tr w14:paraId="77B07B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950" w:type="dxa"/>
            <w:noWrap w:val="0"/>
            <w:tcMar>
              <w:top w:w="16" w:type="dxa"/>
              <w:left w:w="16" w:type="dxa"/>
              <w:right w:w="16" w:type="dxa"/>
            </w:tcMar>
            <w:vAlign w:val="center"/>
          </w:tcPr>
          <w:p w14:paraId="72EC131A">
            <w:pPr>
              <w:pStyle w:val="28"/>
              <w:bidi w:val="0"/>
              <w:rPr>
                <w:rFonts w:ascii="Times New Roman" w:hAnsi="Times New Roman"/>
                <w:color w:val="auto"/>
              </w:rPr>
            </w:pPr>
            <w:r>
              <w:rPr>
                <w:rFonts w:hint="eastAsia" w:ascii="Times New Roman" w:hAnsi="Times New Roman"/>
                <w:color w:val="auto"/>
              </w:rPr>
              <w:t>建设性质</w:t>
            </w:r>
          </w:p>
        </w:tc>
        <w:tc>
          <w:tcPr>
            <w:tcW w:w="2841" w:type="dxa"/>
            <w:noWrap w:val="0"/>
            <w:vAlign w:val="center"/>
          </w:tcPr>
          <w:p w14:paraId="4AA5784F">
            <w:pPr>
              <w:jc w:val="left"/>
              <w:rPr>
                <w:rFonts w:ascii="Times New Roman" w:hAnsi="Times New Roman" w:cs="宋体"/>
                <w:color w:val="auto"/>
                <w:szCs w:val="21"/>
              </w:rPr>
            </w:pPr>
            <w:r>
              <w:rPr>
                <w:rFonts w:hint="eastAsia" w:ascii="Times New Roman" w:hAnsi="Times New Roman" w:cs="宋体"/>
                <w:color w:val="auto"/>
                <w:szCs w:val="21"/>
                <w:lang w:eastAsia="zh-CN"/>
              </w:rPr>
              <w:t>☑</w:t>
            </w:r>
            <w:r>
              <w:rPr>
                <w:rFonts w:hint="eastAsia" w:ascii="Times New Roman" w:hAnsi="Times New Roman" w:cs="宋体"/>
                <w:color w:val="auto"/>
                <w:szCs w:val="21"/>
              </w:rPr>
              <w:t>新建（迁建）</w:t>
            </w:r>
          </w:p>
          <w:p w14:paraId="7C4D3740">
            <w:pPr>
              <w:jc w:val="left"/>
              <w:rPr>
                <w:rFonts w:hint="eastAsia" w:ascii="Times New Roman" w:hAnsi="Times New Roman" w:cs="宋体"/>
                <w:color w:val="auto"/>
                <w:szCs w:val="21"/>
              </w:rPr>
            </w:pPr>
            <w:r>
              <w:rPr>
                <w:rFonts w:hint="eastAsia" w:ascii="Times New Roman" w:hAnsi="Times New Roman" w:cs="宋体"/>
                <w:color w:val="auto"/>
                <w:szCs w:val="21"/>
                <w:lang w:eastAsia="zh-CN"/>
              </w:rPr>
              <w:t>□</w:t>
            </w:r>
            <w:r>
              <w:rPr>
                <w:rFonts w:hint="eastAsia" w:ascii="Times New Roman" w:hAnsi="Times New Roman" w:cs="宋体"/>
                <w:color w:val="auto"/>
                <w:szCs w:val="21"/>
              </w:rPr>
              <w:t>改建</w:t>
            </w:r>
          </w:p>
          <w:p w14:paraId="57C4ABDE">
            <w:pPr>
              <w:jc w:val="left"/>
              <w:rPr>
                <w:rFonts w:hint="eastAsia" w:ascii="Times New Roman" w:hAnsi="Times New Roman" w:cs="宋体"/>
                <w:color w:val="auto"/>
                <w:szCs w:val="21"/>
              </w:rPr>
            </w:pPr>
            <w:r>
              <w:rPr>
                <w:rFonts w:hint="eastAsia" w:ascii="Times New Roman" w:hAnsi="Times New Roman" w:cs="宋体"/>
                <w:color w:val="auto"/>
                <w:szCs w:val="21"/>
                <w:lang w:eastAsia="zh-CN"/>
              </w:rPr>
              <w:t>□</w:t>
            </w:r>
            <w:r>
              <w:rPr>
                <w:rFonts w:hint="eastAsia" w:ascii="Times New Roman" w:hAnsi="Times New Roman" w:cs="宋体"/>
                <w:color w:val="auto"/>
                <w:szCs w:val="21"/>
              </w:rPr>
              <w:t>扩建</w:t>
            </w:r>
          </w:p>
          <w:p w14:paraId="4BB1368A">
            <w:pPr>
              <w:jc w:val="left"/>
              <w:rPr>
                <w:rFonts w:ascii="Times New Roman" w:hAnsi="Times New Roman" w:cs="宋体"/>
                <w:color w:val="auto"/>
                <w:szCs w:val="21"/>
              </w:rPr>
            </w:pPr>
            <w:r>
              <w:rPr>
                <w:rFonts w:hint="eastAsia" w:ascii="Times New Roman" w:hAnsi="Times New Roman" w:cs="宋体"/>
                <w:color w:val="auto"/>
                <w:szCs w:val="21"/>
              </w:rPr>
              <w:t>□技术改造</w:t>
            </w:r>
          </w:p>
        </w:tc>
        <w:tc>
          <w:tcPr>
            <w:tcW w:w="2360" w:type="dxa"/>
            <w:noWrap w:val="0"/>
            <w:vAlign w:val="center"/>
          </w:tcPr>
          <w:p w14:paraId="6D8E85E5">
            <w:pPr>
              <w:pStyle w:val="28"/>
              <w:bidi w:val="0"/>
              <w:rPr>
                <w:rFonts w:hint="eastAsia" w:ascii="Times New Roman" w:hAnsi="Times New Roman"/>
                <w:color w:val="auto"/>
              </w:rPr>
            </w:pPr>
            <w:r>
              <w:rPr>
                <w:rFonts w:hint="eastAsia" w:ascii="Times New Roman" w:hAnsi="Times New Roman"/>
                <w:color w:val="auto"/>
              </w:rPr>
              <w:t>建设项目</w:t>
            </w:r>
          </w:p>
          <w:p w14:paraId="1728AA51">
            <w:pPr>
              <w:pStyle w:val="28"/>
              <w:bidi w:val="0"/>
              <w:rPr>
                <w:rFonts w:ascii="Times New Roman" w:hAnsi="Times New Roman"/>
                <w:color w:val="auto"/>
              </w:rPr>
            </w:pPr>
            <w:r>
              <w:rPr>
                <w:rFonts w:hint="eastAsia" w:ascii="Times New Roman" w:hAnsi="Times New Roman"/>
                <w:color w:val="auto"/>
              </w:rPr>
              <w:t>申报情形</w:t>
            </w:r>
          </w:p>
        </w:tc>
        <w:tc>
          <w:tcPr>
            <w:tcW w:w="2719" w:type="dxa"/>
            <w:noWrap w:val="0"/>
            <w:vAlign w:val="center"/>
          </w:tcPr>
          <w:p w14:paraId="538A3460">
            <w:pPr>
              <w:jc w:val="left"/>
              <w:rPr>
                <w:rFonts w:ascii="Times New Roman" w:hAnsi="Times New Roman" w:cs="宋体"/>
                <w:color w:val="auto"/>
                <w:szCs w:val="21"/>
              </w:rPr>
            </w:pPr>
            <w:r>
              <w:rPr>
                <w:rFonts w:hint="eastAsia" w:ascii="Times New Roman" w:hAnsi="Times New Roman" w:cs="宋体"/>
                <w:color w:val="auto"/>
                <w:szCs w:val="21"/>
                <w:lang w:eastAsia="zh-CN"/>
              </w:rPr>
              <w:t>☑</w:t>
            </w:r>
            <w:r>
              <w:rPr>
                <w:rFonts w:hint="eastAsia" w:ascii="Times New Roman" w:hAnsi="Times New Roman" w:cs="宋体"/>
                <w:color w:val="auto"/>
                <w:szCs w:val="21"/>
              </w:rPr>
              <w:t>首次申报项目</w:t>
            </w:r>
            <w:r>
              <w:rPr>
                <w:rFonts w:ascii="Times New Roman" w:hAnsi="Times New Roman" w:cs="宋体"/>
                <w:color w:val="auto"/>
                <w:szCs w:val="21"/>
              </w:rPr>
              <w:t xml:space="preserve">             </w:t>
            </w:r>
          </w:p>
          <w:p w14:paraId="7F5B3064">
            <w:pPr>
              <w:jc w:val="left"/>
              <w:rPr>
                <w:rFonts w:ascii="Times New Roman" w:hAnsi="Times New Roman" w:cs="宋体"/>
                <w:color w:val="auto"/>
                <w:szCs w:val="21"/>
              </w:rPr>
            </w:pPr>
            <w:r>
              <w:rPr>
                <w:rFonts w:hint="eastAsia" w:ascii="Times New Roman" w:hAnsi="Times New Roman" w:cs="宋体"/>
                <w:color w:val="auto"/>
                <w:szCs w:val="21"/>
              </w:rPr>
              <w:t>□不予批准后再次申报项目</w:t>
            </w:r>
          </w:p>
          <w:p w14:paraId="286BDDCA">
            <w:pPr>
              <w:jc w:val="left"/>
              <w:rPr>
                <w:rFonts w:ascii="Times New Roman" w:hAnsi="Times New Roman" w:cs="宋体"/>
                <w:color w:val="auto"/>
                <w:szCs w:val="21"/>
              </w:rPr>
            </w:pPr>
            <w:r>
              <w:rPr>
                <w:rFonts w:hint="eastAsia" w:ascii="Times New Roman" w:hAnsi="Times New Roman" w:cs="宋体"/>
                <w:color w:val="auto"/>
                <w:szCs w:val="21"/>
              </w:rPr>
              <w:t>□超五年重新审核项目</w:t>
            </w:r>
            <w:r>
              <w:rPr>
                <w:rFonts w:ascii="Times New Roman" w:hAnsi="Times New Roman" w:cs="宋体"/>
                <w:color w:val="auto"/>
                <w:szCs w:val="21"/>
              </w:rPr>
              <w:t xml:space="preserve">     </w:t>
            </w:r>
          </w:p>
          <w:p w14:paraId="2B53C8F1">
            <w:pPr>
              <w:jc w:val="left"/>
              <w:rPr>
                <w:rFonts w:ascii="Times New Roman" w:hAnsi="Times New Roman" w:cs="宋体"/>
                <w:color w:val="auto"/>
                <w:szCs w:val="21"/>
              </w:rPr>
            </w:pPr>
            <w:r>
              <w:rPr>
                <w:rFonts w:hint="eastAsia" w:ascii="Times New Roman" w:hAnsi="Times New Roman" w:cs="宋体"/>
                <w:color w:val="auto"/>
                <w:szCs w:val="21"/>
              </w:rPr>
              <w:t>□重大变动重新报批项目</w:t>
            </w:r>
          </w:p>
        </w:tc>
      </w:tr>
      <w:tr w14:paraId="68B819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950" w:type="dxa"/>
            <w:noWrap w:val="0"/>
            <w:tcMar>
              <w:top w:w="16" w:type="dxa"/>
              <w:left w:w="16" w:type="dxa"/>
              <w:right w:w="16" w:type="dxa"/>
            </w:tcMar>
            <w:vAlign w:val="center"/>
          </w:tcPr>
          <w:p w14:paraId="5CE1298C">
            <w:pPr>
              <w:pStyle w:val="28"/>
              <w:bidi w:val="0"/>
              <w:rPr>
                <w:rFonts w:ascii="Times New Roman" w:hAnsi="Times New Roman"/>
                <w:color w:val="auto"/>
              </w:rPr>
            </w:pPr>
            <w:r>
              <w:rPr>
                <w:rFonts w:hint="eastAsia" w:ascii="Times New Roman" w:hAnsi="Times New Roman"/>
                <w:color w:val="auto"/>
              </w:rPr>
              <w:t>项目审批（核准</w:t>
            </w:r>
            <w:r>
              <w:rPr>
                <w:rFonts w:ascii="Times New Roman" w:hAnsi="Times New Roman"/>
                <w:color w:val="auto"/>
              </w:rPr>
              <w:t>/</w:t>
            </w:r>
            <w:r>
              <w:rPr>
                <w:rFonts w:hint="eastAsia" w:ascii="Times New Roman" w:hAnsi="Times New Roman"/>
                <w:color w:val="auto"/>
              </w:rPr>
              <w:t>备案）部门（选填）</w:t>
            </w:r>
          </w:p>
        </w:tc>
        <w:tc>
          <w:tcPr>
            <w:tcW w:w="2841" w:type="dxa"/>
            <w:noWrap w:val="0"/>
            <w:vAlign w:val="center"/>
          </w:tcPr>
          <w:p w14:paraId="11893AE0">
            <w:pPr>
              <w:pStyle w:val="28"/>
              <w:bidi w:val="0"/>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闽侯县发展</w:t>
            </w:r>
            <w:r>
              <w:rPr>
                <w:rFonts w:hint="eastAsia"/>
                <w:color w:val="auto"/>
                <w:lang w:val="en-US" w:eastAsia="zh-CN"/>
              </w:rPr>
              <w:t>和</w:t>
            </w:r>
            <w:r>
              <w:rPr>
                <w:rFonts w:hint="default" w:ascii="Times New Roman" w:hAnsi="Times New Roman" w:eastAsia="宋体"/>
                <w:color w:val="auto"/>
                <w:lang w:val="en-US" w:eastAsia="zh-CN"/>
              </w:rPr>
              <w:t>改革局</w:t>
            </w:r>
          </w:p>
        </w:tc>
        <w:tc>
          <w:tcPr>
            <w:tcW w:w="2360" w:type="dxa"/>
            <w:noWrap w:val="0"/>
            <w:vAlign w:val="center"/>
          </w:tcPr>
          <w:p w14:paraId="72997C3F">
            <w:pPr>
              <w:pStyle w:val="28"/>
              <w:bidi w:val="0"/>
              <w:rPr>
                <w:rFonts w:hint="eastAsia" w:ascii="Times New Roman" w:hAnsi="Times New Roman"/>
                <w:color w:val="auto"/>
              </w:rPr>
            </w:pPr>
            <w:r>
              <w:rPr>
                <w:rFonts w:hint="eastAsia" w:ascii="Times New Roman" w:hAnsi="Times New Roman"/>
                <w:color w:val="auto"/>
              </w:rPr>
              <w:t>项目审批（核准</w:t>
            </w:r>
            <w:r>
              <w:rPr>
                <w:rFonts w:ascii="Times New Roman" w:hAnsi="Times New Roman"/>
                <w:color w:val="auto"/>
              </w:rPr>
              <w:t>/</w:t>
            </w:r>
          </w:p>
          <w:p w14:paraId="6D9F62A1">
            <w:pPr>
              <w:pStyle w:val="28"/>
              <w:bidi w:val="0"/>
              <w:rPr>
                <w:rFonts w:hint="eastAsia" w:ascii="Times New Roman" w:hAnsi="Times New Roman"/>
                <w:color w:val="auto"/>
              </w:rPr>
            </w:pPr>
            <w:r>
              <w:rPr>
                <w:rFonts w:hint="eastAsia" w:ascii="Times New Roman" w:hAnsi="Times New Roman"/>
                <w:color w:val="auto"/>
              </w:rPr>
              <w:t>备案）文号（选填）</w:t>
            </w:r>
          </w:p>
        </w:tc>
        <w:tc>
          <w:tcPr>
            <w:tcW w:w="2719" w:type="dxa"/>
            <w:noWrap w:val="0"/>
            <w:vAlign w:val="center"/>
          </w:tcPr>
          <w:p w14:paraId="2699B842">
            <w:pPr>
              <w:pStyle w:val="28"/>
              <w:bidi w:val="0"/>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闽发改备(</w:t>
            </w:r>
            <w:r>
              <w:rPr>
                <w:rFonts w:hint="eastAsia"/>
                <w:color w:val="auto"/>
                <w:lang w:val="en-US" w:eastAsia="zh-CN"/>
              </w:rPr>
              <w:t>〔2026〕</w:t>
            </w:r>
            <w:r>
              <w:rPr>
                <w:rFonts w:hint="default" w:ascii="Times New Roman" w:hAnsi="Times New Roman" w:eastAsia="宋体"/>
                <w:color w:val="auto"/>
                <w:lang w:val="en-US" w:eastAsia="zh-CN"/>
              </w:rPr>
              <w:t>A080659号</w:t>
            </w:r>
          </w:p>
        </w:tc>
      </w:tr>
      <w:tr w14:paraId="0AD3C8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50" w:type="dxa"/>
            <w:noWrap w:val="0"/>
            <w:tcMar>
              <w:top w:w="16" w:type="dxa"/>
              <w:left w:w="16" w:type="dxa"/>
              <w:right w:w="16" w:type="dxa"/>
            </w:tcMar>
            <w:vAlign w:val="center"/>
          </w:tcPr>
          <w:p w14:paraId="7372BD1C">
            <w:pPr>
              <w:pStyle w:val="28"/>
              <w:bidi w:val="0"/>
              <w:rPr>
                <w:rFonts w:ascii="Times New Roman" w:hAnsi="Times New Roman"/>
                <w:color w:val="auto"/>
              </w:rPr>
            </w:pPr>
            <w:r>
              <w:rPr>
                <w:rFonts w:hint="eastAsia" w:ascii="Times New Roman" w:hAnsi="Times New Roman"/>
                <w:color w:val="auto"/>
              </w:rPr>
              <w:t>总投资（万元）</w:t>
            </w:r>
          </w:p>
        </w:tc>
        <w:tc>
          <w:tcPr>
            <w:tcW w:w="2841" w:type="dxa"/>
            <w:noWrap w:val="0"/>
            <w:vAlign w:val="center"/>
          </w:tcPr>
          <w:p w14:paraId="08040F3E">
            <w:pPr>
              <w:pStyle w:val="28"/>
              <w:bidi w:val="0"/>
              <w:rPr>
                <w:rFonts w:hint="default" w:ascii="Times New Roman" w:hAnsi="Times New Roman" w:eastAsia="宋体"/>
                <w:color w:val="auto"/>
                <w:lang w:val="en-US" w:eastAsia="zh-CN"/>
              </w:rPr>
            </w:pPr>
            <w:r>
              <w:rPr>
                <w:rFonts w:hint="eastAsia" w:ascii="Times New Roman" w:hAnsi="Times New Roman"/>
                <w:color w:val="auto"/>
                <w:lang w:val="en-US" w:eastAsia="zh-CN"/>
              </w:rPr>
              <w:t>2500</w:t>
            </w:r>
          </w:p>
        </w:tc>
        <w:tc>
          <w:tcPr>
            <w:tcW w:w="2360" w:type="dxa"/>
            <w:noWrap w:val="0"/>
            <w:tcMar>
              <w:top w:w="16" w:type="dxa"/>
              <w:left w:w="16" w:type="dxa"/>
              <w:right w:w="16" w:type="dxa"/>
            </w:tcMar>
            <w:vAlign w:val="center"/>
          </w:tcPr>
          <w:p w14:paraId="50422934">
            <w:pPr>
              <w:pStyle w:val="28"/>
              <w:bidi w:val="0"/>
              <w:rPr>
                <w:rFonts w:ascii="Times New Roman" w:hAnsi="Times New Roman"/>
                <w:color w:val="auto"/>
              </w:rPr>
            </w:pPr>
            <w:r>
              <w:rPr>
                <w:rFonts w:hint="eastAsia" w:ascii="Times New Roman" w:hAnsi="Times New Roman"/>
                <w:color w:val="auto"/>
              </w:rPr>
              <w:t>环保投资（万元）</w:t>
            </w:r>
          </w:p>
        </w:tc>
        <w:tc>
          <w:tcPr>
            <w:tcW w:w="2719" w:type="dxa"/>
            <w:noWrap w:val="0"/>
            <w:vAlign w:val="center"/>
          </w:tcPr>
          <w:p w14:paraId="7C5699FB">
            <w:pPr>
              <w:pStyle w:val="28"/>
              <w:bidi w:val="0"/>
              <w:rPr>
                <w:rFonts w:hint="default" w:ascii="Times New Roman" w:hAnsi="Times New Roman" w:eastAsia="宋体"/>
                <w:color w:val="auto"/>
                <w:lang w:val="en-US" w:eastAsia="zh-CN"/>
              </w:rPr>
            </w:pPr>
            <w:r>
              <w:rPr>
                <w:rFonts w:hint="eastAsia" w:ascii="Times New Roman" w:hAnsi="Times New Roman"/>
                <w:color w:val="auto"/>
                <w:lang w:val="en-US" w:eastAsia="zh-CN"/>
              </w:rPr>
              <w:t>25</w:t>
            </w:r>
          </w:p>
        </w:tc>
      </w:tr>
      <w:tr w14:paraId="608DD9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50" w:type="dxa"/>
            <w:noWrap w:val="0"/>
            <w:tcMar>
              <w:top w:w="16" w:type="dxa"/>
              <w:left w:w="16" w:type="dxa"/>
              <w:right w:w="16" w:type="dxa"/>
            </w:tcMar>
            <w:vAlign w:val="center"/>
          </w:tcPr>
          <w:p w14:paraId="56B9C018">
            <w:pPr>
              <w:pStyle w:val="28"/>
              <w:bidi w:val="0"/>
              <w:rPr>
                <w:rFonts w:ascii="Times New Roman" w:hAnsi="Times New Roman"/>
                <w:color w:val="auto"/>
              </w:rPr>
            </w:pPr>
            <w:r>
              <w:rPr>
                <w:rFonts w:hint="eastAsia" w:ascii="Times New Roman" w:hAnsi="Times New Roman"/>
                <w:color w:val="auto"/>
              </w:rPr>
              <w:t>环保投资占比（</w:t>
            </w:r>
            <w:r>
              <w:rPr>
                <w:rFonts w:ascii="Times New Roman" w:hAnsi="Times New Roman"/>
                <w:color w:val="auto"/>
              </w:rPr>
              <w:t>%</w:t>
            </w:r>
            <w:r>
              <w:rPr>
                <w:rFonts w:hint="eastAsia" w:ascii="Times New Roman" w:hAnsi="Times New Roman"/>
                <w:color w:val="auto"/>
              </w:rPr>
              <w:t>）</w:t>
            </w:r>
          </w:p>
        </w:tc>
        <w:tc>
          <w:tcPr>
            <w:tcW w:w="2841" w:type="dxa"/>
            <w:noWrap w:val="0"/>
            <w:vAlign w:val="center"/>
          </w:tcPr>
          <w:p w14:paraId="17E72B7D">
            <w:pPr>
              <w:pStyle w:val="28"/>
              <w:bidi w:val="0"/>
              <w:rPr>
                <w:rFonts w:hint="default" w:ascii="Times New Roman" w:hAnsi="Times New Roman" w:eastAsia="宋体"/>
                <w:color w:val="auto"/>
                <w:lang w:val="en-US" w:eastAsia="zh-CN"/>
              </w:rPr>
            </w:pPr>
            <w:r>
              <w:rPr>
                <w:rFonts w:hint="eastAsia" w:ascii="Times New Roman" w:hAnsi="Times New Roman"/>
                <w:color w:val="auto"/>
                <w:lang w:val="en-US" w:eastAsia="zh-CN"/>
              </w:rPr>
              <w:t>1.0</w:t>
            </w:r>
          </w:p>
        </w:tc>
        <w:tc>
          <w:tcPr>
            <w:tcW w:w="2360" w:type="dxa"/>
            <w:noWrap w:val="0"/>
            <w:tcMar>
              <w:top w:w="16" w:type="dxa"/>
              <w:left w:w="16" w:type="dxa"/>
              <w:right w:w="16" w:type="dxa"/>
            </w:tcMar>
            <w:vAlign w:val="center"/>
          </w:tcPr>
          <w:p w14:paraId="03CF2596">
            <w:pPr>
              <w:pStyle w:val="28"/>
              <w:bidi w:val="0"/>
              <w:rPr>
                <w:rFonts w:ascii="Times New Roman" w:hAnsi="Times New Roman"/>
                <w:color w:val="auto"/>
              </w:rPr>
            </w:pPr>
            <w:r>
              <w:rPr>
                <w:rFonts w:hint="eastAsia" w:ascii="Times New Roman" w:hAnsi="Times New Roman"/>
                <w:color w:val="auto"/>
              </w:rPr>
              <w:t>施工工期</w:t>
            </w:r>
          </w:p>
        </w:tc>
        <w:tc>
          <w:tcPr>
            <w:tcW w:w="2719" w:type="dxa"/>
            <w:noWrap w:val="0"/>
            <w:vAlign w:val="center"/>
          </w:tcPr>
          <w:p w14:paraId="75FACF01">
            <w:pPr>
              <w:pStyle w:val="28"/>
              <w:bidi w:val="0"/>
              <w:rPr>
                <w:rFonts w:hint="default" w:ascii="Times New Roman" w:hAnsi="Times New Roman" w:eastAsia="宋体"/>
                <w:color w:val="auto"/>
                <w:lang w:val="en-US" w:eastAsia="zh-CN"/>
              </w:rPr>
            </w:pPr>
            <w:r>
              <w:rPr>
                <w:rFonts w:hint="eastAsia" w:ascii="Times New Roman" w:hAnsi="Times New Roman"/>
                <w:color w:val="auto"/>
                <w:lang w:val="en-US" w:eastAsia="zh-CN"/>
              </w:rPr>
              <w:t>12个月</w:t>
            </w:r>
          </w:p>
        </w:tc>
      </w:tr>
      <w:tr w14:paraId="285A43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50" w:type="dxa"/>
            <w:noWrap w:val="0"/>
            <w:tcMar>
              <w:top w:w="16" w:type="dxa"/>
              <w:left w:w="16" w:type="dxa"/>
              <w:right w:w="16" w:type="dxa"/>
            </w:tcMar>
            <w:vAlign w:val="center"/>
          </w:tcPr>
          <w:p w14:paraId="3142F2CD">
            <w:pPr>
              <w:pStyle w:val="28"/>
              <w:bidi w:val="0"/>
              <w:rPr>
                <w:rFonts w:hint="eastAsia" w:ascii="Times New Roman" w:hAnsi="Times New Roman"/>
                <w:color w:val="auto"/>
              </w:rPr>
            </w:pPr>
            <w:r>
              <w:rPr>
                <w:rFonts w:hint="eastAsia" w:ascii="Times New Roman" w:hAnsi="Times New Roman"/>
                <w:color w:val="auto"/>
              </w:rPr>
              <w:t>是否开工建设</w:t>
            </w:r>
          </w:p>
        </w:tc>
        <w:tc>
          <w:tcPr>
            <w:tcW w:w="2841" w:type="dxa"/>
            <w:noWrap w:val="0"/>
            <w:vAlign w:val="center"/>
          </w:tcPr>
          <w:p w14:paraId="1F6708F2">
            <w:pPr>
              <w:adjustRightInd w:val="0"/>
              <w:snapToGrid w:val="0"/>
              <w:rPr>
                <w:rFonts w:ascii="Times New Roman" w:hAnsi="Times New Roman" w:cs="宋体"/>
                <w:color w:val="auto"/>
                <w:szCs w:val="21"/>
              </w:rPr>
            </w:pPr>
            <w:r>
              <w:rPr>
                <w:rFonts w:hint="eastAsia" w:ascii="Times New Roman" w:hAnsi="Times New Roman" w:cs="宋体"/>
                <w:color w:val="auto"/>
                <w:szCs w:val="21"/>
                <w:lang w:eastAsia="zh-CN"/>
              </w:rPr>
              <w:t>☑</w:t>
            </w:r>
            <w:r>
              <w:rPr>
                <w:rFonts w:hint="eastAsia" w:ascii="Times New Roman" w:hAnsi="Times New Roman" w:cs="宋体"/>
                <w:color w:val="auto"/>
                <w:szCs w:val="21"/>
              </w:rPr>
              <w:t>否</w:t>
            </w:r>
          </w:p>
          <w:p w14:paraId="398ED6DD">
            <w:pPr>
              <w:adjustRightInd w:val="0"/>
              <w:snapToGrid w:val="0"/>
              <w:rPr>
                <w:rFonts w:ascii="Times New Roman" w:hAnsi="Times New Roman" w:cs="宋体"/>
                <w:color w:val="auto"/>
                <w:szCs w:val="21"/>
              </w:rPr>
            </w:pPr>
            <w:r>
              <w:rPr>
                <w:rFonts w:hint="eastAsia" w:ascii="Times New Roman" w:hAnsi="Times New Roman" w:cs="宋体"/>
                <w:color w:val="auto"/>
                <w:szCs w:val="21"/>
              </w:rPr>
              <w:t>□是：</w:t>
            </w:r>
            <w:r>
              <w:rPr>
                <w:rFonts w:hint="eastAsia" w:ascii="Times New Roman" w:hAnsi="Times New Roman" w:cs="宋体"/>
                <w:color w:val="auto"/>
                <w:szCs w:val="21"/>
                <w:u w:val="single"/>
              </w:rPr>
              <w:t xml:space="preserve">             </w:t>
            </w:r>
          </w:p>
        </w:tc>
        <w:tc>
          <w:tcPr>
            <w:tcW w:w="2360" w:type="dxa"/>
            <w:noWrap w:val="0"/>
            <w:tcMar>
              <w:top w:w="16" w:type="dxa"/>
              <w:left w:w="16" w:type="dxa"/>
              <w:right w:w="16" w:type="dxa"/>
            </w:tcMar>
            <w:vAlign w:val="center"/>
          </w:tcPr>
          <w:p w14:paraId="1EF4A3F3">
            <w:pPr>
              <w:pStyle w:val="28"/>
              <w:bidi w:val="0"/>
              <w:rPr>
                <w:rFonts w:ascii="Times New Roman" w:hAnsi="Times New Roman"/>
                <w:color w:val="auto"/>
              </w:rPr>
            </w:pPr>
            <w:r>
              <w:rPr>
                <w:rFonts w:hint="eastAsia" w:ascii="Times New Roman" w:hAnsi="Times New Roman"/>
                <w:color w:val="auto"/>
              </w:rPr>
              <w:t>用地（用海）</w:t>
            </w:r>
          </w:p>
          <w:p w14:paraId="417FFF6F">
            <w:pPr>
              <w:pStyle w:val="28"/>
              <w:bidi w:val="0"/>
              <w:rPr>
                <w:rFonts w:hint="eastAsia" w:ascii="Times New Roman" w:hAnsi="Times New Roman"/>
                <w:color w:val="auto"/>
              </w:rPr>
            </w:pPr>
            <w:r>
              <w:rPr>
                <w:rFonts w:hint="eastAsia" w:ascii="Times New Roman" w:hAnsi="Times New Roman"/>
                <w:color w:val="auto"/>
              </w:rPr>
              <w:t>面积（</w:t>
            </w:r>
            <w:r>
              <w:rPr>
                <w:rFonts w:ascii="Times New Roman" w:hAnsi="Times New Roman"/>
                <w:color w:val="auto"/>
              </w:rPr>
              <w:t>m</w:t>
            </w:r>
            <w:r>
              <w:rPr>
                <w:rFonts w:ascii="Times New Roman" w:hAnsi="Times New Roman"/>
                <w:color w:val="auto"/>
                <w:vertAlign w:val="superscript"/>
              </w:rPr>
              <w:t>2</w:t>
            </w:r>
            <w:r>
              <w:rPr>
                <w:rFonts w:hint="eastAsia" w:ascii="Times New Roman" w:hAnsi="Times New Roman"/>
                <w:color w:val="auto"/>
              </w:rPr>
              <w:t>）</w:t>
            </w:r>
          </w:p>
        </w:tc>
        <w:tc>
          <w:tcPr>
            <w:tcW w:w="2719" w:type="dxa"/>
            <w:noWrap w:val="0"/>
            <w:vAlign w:val="center"/>
          </w:tcPr>
          <w:p w14:paraId="6B2A64E5">
            <w:pPr>
              <w:pStyle w:val="28"/>
              <w:bidi w:val="0"/>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7861.92</w:t>
            </w:r>
          </w:p>
        </w:tc>
      </w:tr>
      <w:tr w14:paraId="480747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950" w:type="dxa"/>
            <w:noWrap w:val="0"/>
            <w:vAlign w:val="center"/>
          </w:tcPr>
          <w:p w14:paraId="0D3836F1">
            <w:pPr>
              <w:autoSpaceDE w:val="0"/>
              <w:autoSpaceDN w:val="0"/>
              <w:adjustRightInd w:val="0"/>
              <w:snapToGrid w:val="0"/>
              <w:jc w:val="center"/>
              <w:rPr>
                <w:rFonts w:ascii="Times New Roman" w:hAnsi="Times New Roman" w:cs="宋体"/>
                <w:color w:val="auto"/>
                <w:kern w:val="0"/>
                <w:szCs w:val="21"/>
              </w:rPr>
            </w:pPr>
            <w:r>
              <w:rPr>
                <w:rFonts w:hint="eastAsia" w:ascii="Times New Roman" w:hAnsi="Times New Roman" w:cs="宋体"/>
                <w:color w:val="auto"/>
                <w:kern w:val="0"/>
                <w:szCs w:val="21"/>
              </w:rPr>
              <w:t>专项评价设置情况</w:t>
            </w:r>
          </w:p>
        </w:tc>
        <w:tc>
          <w:tcPr>
            <w:tcW w:w="7920" w:type="dxa"/>
            <w:gridSpan w:val="3"/>
            <w:noWrap w:val="0"/>
            <w:vAlign w:val="center"/>
          </w:tcPr>
          <w:p w14:paraId="1C30FBE9">
            <w:pPr>
              <w:pStyle w:val="25"/>
              <w:bidi w:val="0"/>
              <w:rPr>
                <w:rFonts w:hint="default" w:ascii="Times New Roman" w:hAnsi="Times New Roman"/>
                <w:color w:val="auto"/>
                <w:lang w:val="en-US" w:eastAsia="zh-CN"/>
              </w:rPr>
            </w:pPr>
            <w:r>
              <w:rPr>
                <w:rFonts w:hint="default" w:ascii="Times New Roman" w:hAnsi="Times New Roman"/>
                <w:color w:val="auto"/>
                <w:lang w:val="en-US" w:eastAsia="zh-CN"/>
              </w:rPr>
              <w:t>根据《建设项目环境影响报告表编制技术指南（污染影响类）（试行）》中表1专项评价设置原则表，本项目无须设置专项评价，详见表1-1。</w:t>
            </w:r>
          </w:p>
          <w:p w14:paraId="439516CC">
            <w:pPr>
              <w:pStyle w:val="24"/>
              <w:bidi w:val="0"/>
              <w:rPr>
                <w:rFonts w:hint="default" w:ascii="Times New Roman" w:hAnsi="Times New Roman"/>
                <w:color w:val="auto"/>
                <w:lang w:val="en-US" w:eastAsia="zh-CN"/>
              </w:rPr>
            </w:pPr>
            <w:r>
              <w:rPr>
                <w:rFonts w:hint="default" w:ascii="Times New Roman" w:hAnsi="Times New Roman"/>
                <w:color w:val="auto"/>
                <w:lang w:val="en-US" w:eastAsia="zh-CN"/>
              </w:rPr>
              <w:t>表1-1  项目专项评价设置表</w:t>
            </w:r>
          </w:p>
          <w:tbl>
            <w:tblPr>
              <w:tblStyle w:val="1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89"/>
              <w:gridCol w:w="2611"/>
              <w:gridCol w:w="1673"/>
              <w:gridCol w:w="1688"/>
            </w:tblGrid>
            <w:tr w14:paraId="29BDB2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noWrap w:val="0"/>
                  <w:vAlign w:val="center"/>
                </w:tcPr>
                <w:p w14:paraId="4D54A53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专项评价的类别</w:t>
                  </w:r>
                </w:p>
              </w:tc>
              <w:tc>
                <w:tcPr>
                  <w:tcW w:w="1640" w:type="pct"/>
                  <w:tcBorders>
                    <w:tl2br w:val="nil"/>
                    <w:tr2bl w:val="nil"/>
                  </w:tcBorders>
                  <w:noWrap w:val="0"/>
                  <w:vAlign w:val="center"/>
                </w:tcPr>
                <w:p w14:paraId="4D5C194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设置原则</w:t>
                  </w:r>
                </w:p>
              </w:tc>
              <w:tc>
                <w:tcPr>
                  <w:tcW w:w="1051" w:type="pct"/>
                  <w:tcBorders>
                    <w:tl2br w:val="nil"/>
                    <w:tr2bl w:val="nil"/>
                  </w:tcBorders>
                  <w:noWrap w:val="0"/>
                  <w:vAlign w:val="center"/>
                </w:tcPr>
                <w:p w14:paraId="7938666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本项目情况</w:t>
                  </w:r>
                </w:p>
              </w:tc>
              <w:tc>
                <w:tcPr>
                  <w:tcW w:w="1059" w:type="pct"/>
                  <w:tcBorders>
                    <w:tl2br w:val="nil"/>
                    <w:tr2bl w:val="nil"/>
                  </w:tcBorders>
                  <w:noWrap w:val="0"/>
                  <w:vAlign w:val="center"/>
                </w:tcPr>
                <w:p w14:paraId="0B1F80A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是否需要设置专项评价</w:t>
                  </w:r>
                </w:p>
              </w:tc>
            </w:tr>
            <w:tr w14:paraId="595A73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noWrap w:val="0"/>
                  <w:vAlign w:val="center"/>
                </w:tcPr>
                <w:p w14:paraId="76FD5D23">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大气</w:t>
                  </w:r>
                </w:p>
              </w:tc>
              <w:tc>
                <w:tcPr>
                  <w:tcW w:w="1640" w:type="pct"/>
                  <w:tcBorders>
                    <w:tl2br w:val="nil"/>
                    <w:tr2bl w:val="nil"/>
                  </w:tcBorders>
                  <w:noWrap w:val="0"/>
                  <w:vAlign w:val="center"/>
                </w:tcPr>
                <w:p w14:paraId="56B6B2A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排放废气含有毒有害污染物</w:t>
                  </w:r>
                  <w:r>
                    <w:rPr>
                      <w:rFonts w:ascii="Times New Roman" w:hAnsi="Times New Roman" w:eastAsia="宋体" w:cs="Times New Roman"/>
                      <w:color w:val="auto"/>
                      <w:kern w:val="0"/>
                      <w:sz w:val="21"/>
                      <w:szCs w:val="21"/>
                      <w:vertAlign w:val="superscript"/>
                      <w:lang w:val="en-US" w:eastAsia="zh-CN" w:bidi="ar-SA"/>
                    </w:rPr>
                    <w:t>1</w:t>
                  </w:r>
                  <w:r>
                    <w:rPr>
                      <w:rFonts w:ascii="Times New Roman" w:hAnsi="Times New Roman" w:eastAsia="宋体" w:cs="Times New Roman"/>
                      <w:color w:val="auto"/>
                      <w:kern w:val="0"/>
                      <w:sz w:val="21"/>
                      <w:szCs w:val="21"/>
                      <w:lang w:val="en-US" w:eastAsia="zh-CN" w:bidi="ar-SA"/>
                    </w:rPr>
                    <w:t>、二噁英、苯并[a]芘、氰化物、氯气且厂界外500米范围内有环境空气保护目标</w:t>
                  </w:r>
                  <w:r>
                    <w:rPr>
                      <w:rFonts w:ascii="Times New Roman" w:hAnsi="Times New Roman" w:eastAsia="宋体" w:cs="Times New Roman"/>
                      <w:color w:val="auto"/>
                      <w:kern w:val="0"/>
                      <w:sz w:val="21"/>
                      <w:szCs w:val="21"/>
                      <w:vertAlign w:val="superscript"/>
                      <w:lang w:val="en-US" w:eastAsia="zh-CN" w:bidi="ar-SA"/>
                    </w:rPr>
                    <w:t>2</w:t>
                  </w:r>
                  <w:r>
                    <w:rPr>
                      <w:rFonts w:ascii="Times New Roman" w:hAnsi="Times New Roman" w:eastAsia="宋体" w:cs="Times New Roman"/>
                      <w:color w:val="auto"/>
                      <w:kern w:val="0"/>
                      <w:sz w:val="21"/>
                      <w:szCs w:val="21"/>
                      <w:lang w:val="en-US" w:eastAsia="zh-CN" w:bidi="ar-SA"/>
                    </w:rPr>
                    <w:t>的建设项目</w:t>
                  </w:r>
                </w:p>
              </w:tc>
              <w:tc>
                <w:tcPr>
                  <w:tcW w:w="1051" w:type="pct"/>
                  <w:tcBorders>
                    <w:tl2br w:val="nil"/>
                    <w:tr2bl w:val="nil"/>
                  </w:tcBorders>
                  <w:noWrap w:val="0"/>
                  <w:vAlign w:val="center"/>
                </w:tcPr>
                <w:p w14:paraId="5D9E781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项目排放废气不含有毒有害污染物</w:t>
                  </w:r>
                  <w:r>
                    <w:rPr>
                      <w:rFonts w:hint="eastAsia" w:ascii="Times New Roman" w:hAnsi="Times New Roman" w:eastAsia="宋体" w:cs="Times New Roman"/>
                      <w:color w:val="auto"/>
                      <w:kern w:val="0"/>
                      <w:sz w:val="21"/>
                      <w:szCs w:val="21"/>
                      <w:vertAlign w:val="superscript"/>
                      <w:lang w:val="en-US" w:eastAsia="zh-CN" w:bidi="ar-SA"/>
                    </w:rPr>
                    <w:t>1</w:t>
                  </w:r>
                  <w:r>
                    <w:rPr>
                      <w:rFonts w:hint="eastAsia" w:ascii="Times New Roman" w:hAnsi="Times New Roman" w:eastAsia="宋体" w:cs="Times New Roman"/>
                      <w:color w:val="auto"/>
                      <w:kern w:val="0"/>
                      <w:sz w:val="21"/>
                      <w:szCs w:val="21"/>
                      <w:lang w:val="en-US" w:eastAsia="zh-CN" w:bidi="ar-SA"/>
                    </w:rPr>
                    <w:t>、二噁英苯并[a]芘、氰化物、氯气</w:t>
                  </w:r>
                </w:p>
              </w:tc>
              <w:tc>
                <w:tcPr>
                  <w:tcW w:w="1059" w:type="pct"/>
                  <w:tcBorders>
                    <w:tl2br w:val="nil"/>
                    <w:tr2bl w:val="nil"/>
                  </w:tcBorders>
                  <w:noWrap w:val="0"/>
                  <w:vAlign w:val="center"/>
                </w:tcPr>
                <w:p w14:paraId="07CC4D9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否</w:t>
                  </w:r>
                </w:p>
              </w:tc>
            </w:tr>
            <w:tr w14:paraId="2BF6EC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noWrap w:val="0"/>
                  <w:vAlign w:val="center"/>
                </w:tcPr>
                <w:p w14:paraId="7520FD3A">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地表水</w:t>
                  </w:r>
                </w:p>
              </w:tc>
              <w:tc>
                <w:tcPr>
                  <w:tcW w:w="1640" w:type="pct"/>
                  <w:tcBorders>
                    <w:tl2br w:val="nil"/>
                    <w:tr2bl w:val="nil"/>
                  </w:tcBorders>
                  <w:noWrap w:val="0"/>
                  <w:vAlign w:val="center"/>
                </w:tcPr>
                <w:p w14:paraId="6A1D6A3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新增工业废水直排建设项目（槽罐车外送污水处理厂的除外）；新增废水直排的污水集中处理厂</w:t>
                  </w:r>
                </w:p>
              </w:tc>
              <w:tc>
                <w:tcPr>
                  <w:tcW w:w="1051" w:type="pct"/>
                  <w:tcBorders>
                    <w:tl2br w:val="nil"/>
                    <w:tr2bl w:val="nil"/>
                  </w:tcBorders>
                  <w:noWrap w:val="0"/>
                  <w:vAlign w:val="center"/>
                </w:tcPr>
                <w:p w14:paraId="02A8957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项目</w:t>
                  </w:r>
                  <w:r>
                    <w:rPr>
                      <w:rFonts w:hint="eastAsia" w:ascii="Times New Roman" w:hAnsi="Times New Roman" w:eastAsia="宋体" w:cs="Times New Roman"/>
                      <w:color w:val="auto"/>
                      <w:kern w:val="0"/>
                      <w:sz w:val="21"/>
                      <w:szCs w:val="21"/>
                      <w:lang w:val="en-US" w:eastAsia="zh-CN" w:bidi="ar-SA"/>
                    </w:rPr>
                    <w:t>外排的</w:t>
                  </w:r>
                  <w:r>
                    <w:rPr>
                      <w:rFonts w:ascii="Times New Roman" w:hAnsi="Times New Roman" w:eastAsia="宋体" w:cs="Times New Roman"/>
                      <w:color w:val="auto"/>
                      <w:kern w:val="0"/>
                      <w:sz w:val="21"/>
                      <w:szCs w:val="21"/>
                      <w:lang w:val="en-US" w:eastAsia="zh-CN" w:bidi="ar-SA"/>
                    </w:rPr>
                    <w:t>工业废水</w:t>
                  </w:r>
                  <w:r>
                    <w:rPr>
                      <w:rFonts w:hint="eastAsia" w:ascii="Times New Roman" w:hAnsi="Times New Roman" w:eastAsia="宋体" w:cs="Times New Roman"/>
                      <w:color w:val="auto"/>
                      <w:kern w:val="0"/>
                      <w:sz w:val="21"/>
                      <w:szCs w:val="21"/>
                      <w:lang w:val="en-US" w:eastAsia="zh-CN" w:bidi="ar-SA"/>
                    </w:rPr>
                    <w:t>经处理达标后排入市政管网，纳入大学城污水处理厂</w:t>
                  </w:r>
                </w:p>
              </w:tc>
              <w:tc>
                <w:tcPr>
                  <w:tcW w:w="1059" w:type="pct"/>
                  <w:tcBorders>
                    <w:tl2br w:val="nil"/>
                    <w:tr2bl w:val="nil"/>
                  </w:tcBorders>
                  <w:noWrap w:val="0"/>
                  <w:vAlign w:val="center"/>
                </w:tcPr>
                <w:p w14:paraId="63D346D0">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否</w:t>
                  </w:r>
                </w:p>
              </w:tc>
            </w:tr>
            <w:tr w14:paraId="6E6E1E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noWrap w:val="0"/>
                  <w:vAlign w:val="center"/>
                </w:tcPr>
                <w:p w14:paraId="49ECD71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环境风险</w:t>
                  </w:r>
                </w:p>
              </w:tc>
              <w:tc>
                <w:tcPr>
                  <w:tcW w:w="1640" w:type="pct"/>
                  <w:tcBorders>
                    <w:tl2br w:val="nil"/>
                    <w:tr2bl w:val="nil"/>
                  </w:tcBorders>
                  <w:noWrap w:val="0"/>
                  <w:vAlign w:val="center"/>
                </w:tcPr>
                <w:p w14:paraId="34337D8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有毒有害和易燃易爆危险物质存储量超过临界量</w:t>
                  </w:r>
                  <w:r>
                    <w:rPr>
                      <w:rFonts w:ascii="Times New Roman" w:hAnsi="Times New Roman" w:eastAsia="宋体" w:cs="Times New Roman"/>
                      <w:color w:val="auto"/>
                      <w:kern w:val="0"/>
                      <w:sz w:val="21"/>
                      <w:szCs w:val="21"/>
                      <w:vertAlign w:val="superscript"/>
                      <w:lang w:val="en-US" w:eastAsia="zh-CN" w:bidi="ar-SA"/>
                    </w:rPr>
                    <w:t>3</w:t>
                  </w:r>
                  <w:r>
                    <w:rPr>
                      <w:rFonts w:ascii="Times New Roman" w:hAnsi="Times New Roman" w:eastAsia="宋体" w:cs="Times New Roman"/>
                      <w:color w:val="auto"/>
                      <w:kern w:val="0"/>
                      <w:sz w:val="21"/>
                      <w:szCs w:val="21"/>
                      <w:lang w:val="en-US" w:eastAsia="zh-CN" w:bidi="ar-SA"/>
                    </w:rPr>
                    <w:t>的建设项目</w:t>
                  </w:r>
                </w:p>
              </w:tc>
              <w:tc>
                <w:tcPr>
                  <w:tcW w:w="1051" w:type="pct"/>
                  <w:tcBorders>
                    <w:tl2br w:val="nil"/>
                    <w:tr2bl w:val="nil"/>
                  </w:tcBorders>
                  <w:noWrap w:val="0"/>
                  <w:vAlign w:val="center"/>
                </w:tcPr>
                <w:p w14:paraId="3129035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本项目涉及</w:t>
                  </w:r>
                  <w:r>
                    <w:rPr>
                      <w:rFonts w:hint="eastAsia" w:ascii="Times New Roman" w:hAnsi="Times New Roman" w:eastAsia="宋体" w:cs="Times New Roman"/>
                      <w:color w:val="auto"/>
                      <w:kern w:val="0"/>
                      <w:sz w:val="21"/>
                      <w:szCs w:val="21"/>
                      <w:lang w:val="en-US" w:eastAsia="zh-CN" w:bidi="ar-SA"/>
                    </w:rPr>
                    <w:t>的</w:t>
                  </w:r>
                  <w:r>
                    <w:rPr>
                      <w:rFonts w:ascii="Times New Roman" w:hAnsi="Times New Roman" w:eastAsia="宋体" w:cs="Times New Roman"/>
                      <w:color w:val="auto"/>
                      <w:kern w:val="0"/>
                      <w:sz w:val="21"/>
                      <w:szCs w:val="21"/>
                      <w:lang w:val="en-US" w:eastAsia="zh-CN" w:bidi="ar-SA"/>
                    </w:rPr>
                    <w:t>有毒有害和易燃易爆危险物质</w:t>
                  </w:r>
                  <w:r>
                    <w:rPr>
                      <w:rFonts w:hint="eastAsia" w:ascii="Times New Roman" w:hAnsi="Times New Roman" w:eastAsia="宋体" w:cs="Times New Roman"/>
                      <w:color w:val="auto"/>
                      <w:kern w:val="0"/>
                      <w:sz w:val="21"/>
                      <w:szCs w:val="21"/>
                      <w:lang w:val="en-US" w:eastAsia="zh-CN" w:bidi="ar-SA"/>
                    </w:rPr>
                    <w:t>存储量未超过临界量</w:t>
                  </w:r>
                </w:p>
              </w:tc>
              <w:tc>
                <w:tcPr>
                  <w:tcW w:w="1059" w:type="pct"/>
                  <w:tcBorders>
                    <w:tl2br w:val="nil"/>
                    <w:tr2bl w:val="nil"/>
                  </w:tcBorders>
                  <w:noWrap w:val="0"/>
                  <w:vAlign w:val="center"/>
                </w:tcPr>
                <w:p w14:paraId="44D2548C">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否</w:t>
                  </w:r>
                </w:p>
              </w:tc>
            </w:tr>
            <w:tr w14:paraId="17007C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noWrap w:val="0"/>
                  <w:vAlign w:val="center"/>
                </w:tcPr>
                <w:p w14:paraId="6A6DBFE6">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生态</w:t>
                  </w:r>
                </w:p>
              </w:tc>
              <w:tc>
                <w:tcPr>
                  <w:tcW w:w="1640" w:type="pct"/>
                  <w:tcBorders>
                    <w:tl2br w:val="nil"/>
                    <w:tr2bl w:val="nil"/>
                  </w:tcBorders>
                  <w:noWrap w:val="0"/>
                  <w:vAlign w:val="center"/>
                </w:tcPr>
                <w:p w14:paraId="731547B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取水口下游500米范围内有重要水生生物的自然产卵场、索饵场、越冬场和洄游通道的新增河道取水的污染类建设项目</w:t>
                  </w:r>
                </w:p>
              </w:tc>
              <w:tc>
                <w:tcPr>
                  <w:tcW w:w="1051" w:type="pct"/>
                  <w:tcBorders>
                    <w:tl2br w:val="nil"/>
                    <w:tr2bl w:val="nil"/>
                  </w:tcBorders>
                  <w:noWrap w:val="0"/>
                  <w:vAlign w:val="center"/>
                </w:tcPr>
                <w:p w14:paraId="54DF2D9C">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不涉及</w:t>
                  </w:r>
                </w:p>
              </w:tc>
              <w:tc>
                <w:tcPr>
                  <w:tcW w:w="1059" w:type="pct"/>
                  <w:tcBorders>
                    <w:tl2br w:val="nil"/>
                    <w:tr2bl w:val="nil"/>
                  </w:tcBorders>
                  <w:noWrap w:val="0"/>
                  <w:vAlign w:val="center"/>
                </w:tcPr>
                <w:p w14:paraId="6F090590">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否</w:t>
                  </w:r>
                </w:p>
              </w:tc>
            </w:tr>
            <w:tr w14:paraId="2ECD63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noWrap w:val="0"/>
                  <w:vAlign w:val="center"/>
                </w:tcPr>
                <w:p w14:paraId="3D3DDD9A">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海洋</w:t>
                  </w:r>
                </w:p>
              </w:tc>
              <w:tc>
                <w:tcPr>
                  <w:tcW w:w="1640" w:type="pct"/>
                  <w:tcBorders>
                    <w:tl2br w:val="nil"/>
                    <w:tr2bl w:val="nil"/>
                  </w:tcBorders>
                  <w:noWrap w:val="0"/>
                  <w:vAlign w:val="center"/>
                </w:tcPr>
                <w:p w14:paraId="4E0E4FC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直接向海排放污染物的海洋工程建设项目</w:t>
                  </w:r>
                </w:p>
              </w:tc>
              <w:tc>
                <w:tcPr>
                  <w:tcW w:w="1051" w:type="pct"/>
                  <w:tcBorders>
                    <w:tl2br w:val="nil"/>
                    <w:tr2bl w:val="nil"/>
                  </w:tcBorders>
                  <w:noWrap w:val="0"/>
                  <w:vAlign w:val="center"/>
                </w:tcPr>
                <w:p w14:paraId="4CE0B025">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不涉及</w:t>
                  </w:r>
                </w:p>
              </w:tc>
              <w:tc>
                <w:tcPr>
                  <w:tcW w:w="1059" w:type="pct"/>
                  <w:tcBorders>
                    <w:tl2br w:val="nil"/>
                    <w:tr2bl w:val="nil"/>
                  </w:tcBorders>
                  <w:noWrap w:val="0"/>
                  <w:vAlign w:val="center"/>
                </w:tcPr>
                <w:p w14:paraId="6EB9B720">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否</w:t>
                  </w:r>
                </w:p>
              </w:tc>
            </w:tr>
            <w:tr w14:paraId="5FAC10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00" w:type="pct"/>
                  <w:gridSpan w:val="4"/>
                  <w:tcBorders>
                    <w:tl2br w:val="nil"/>
                    <w:tr2bl w:val="nil"/>
                  </w:tcBorders>
                  <w:noWrap w:val="0"/>
                  <w:vAlign w:val="center"/>
                </w:tcPr>
                <w:p w14:paraId="15658116">
                  <w:pPr>
                    <w:widowControl w:val="0"/>
                    <w:bidi w:val="0"/>
                    <w:adjustRightInd w:val="0"/>
                    <w:snapToGrid w:val="0"/>
                    <w:spacing w:before="10" w:beforeLines="10" w:after="10" w:afterLines="10" w:line="240" w:lineRule="auto"/>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注</w:t>
                  </w:r>
                  <w:r>
                    <w:rPr>
                      <w:rFonts w:hint="eastAsia" w:ascii="Times New Roman" w:hAnsi="Times New Roman" w:eastAsia="宋体" w:cs="Times New Roman"/>
                      <w:color w:val="auto"/>
                      <w:sz w:val="21"/>
                      <w:szCs w:val="21"/>
                      <w:highlight w:val="none"/>
                      <w:lang w:eastAsia="zh-CN"/>
                    </w:rPr>
                    <w:t>：</w:t>
                  </w:r>
                </w:p>
                <w:p w14:paraId="3C1381A9">
                  <w:pPr>
                    <w:widowControl w:val="0"/>
                    <w:bidi w:val="0"/>
                    <w:adjustRightInd w:val="0"/>
                    <w:snapToGrid w:val="0"/>
                    <w:spacing w:before="10" w:beforeLines="10" w:after="10" w:afterLines="10" w:line="240" w:lineRule="auto"/>
                    <w:jc w:val="left"/>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1.废气中有毒有害污染物指纳入《有毒有害大气污染物名录》的污染物</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不包括无排放标准的污染物</w:t>
                  </w:r>
                  <w:r>
                    <w:rPr>
                      <w:rFonts w:hint="eastAsia" w:ascii="Times New Roman" w:hAnsi="Times New Roman" w:eastAsia="宋体" w:cs="Times New Roman"/>
                      <w:color w:val="auto"/>
                      <w:sz w:val="21"/>
                      <w:szCs w:val="21"/>
                      <w:highlight w:val="none"/>
                      <w:lang w:eastAsia="zh-CN"/>
                    </w:rPr>
                    <w:t>）；</w:t>
                  </w:r>
                </w:p>
                <w:p w14:paraId="4C6B279D">
                  <w:pPr>
                    <w:widowControl w:val="0"/>
                    <w:bidi w:val="0"/>
                    <w:adjustRightInd w:val="0"/>
                    <w:snapToGrid w:val="0"/>
                    <w:spacing w:before="10" w:beforeLines="10" w:after="10" w:afterLines="10" w:line="240" w:lineRule="auto"/>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highlight w:val="none"/>
                    </w:rPr>
                    <w:t>2.环境空气保护目标指自然保护区、风景名胜区、居住区、文化区和农村地区中人群较集中的区域</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3.临界量及其计算方法可参考《建设项目环境风险评价技术导则》《HJ169》附录B、附录C</w:t>
                  </w:r>
                </w:p>
              </w:tc>
            </w:tr>
          </w:tbl>
          <w:p w14:paraId="7A4474C4">
            <w:pPr>
              <w:keepNext w:val="0"/>
              <w:keepLines w:val="0"/>
              <w:pageBreakBefore w:val="0"/>
              <w:widowControl w:val="0"/>
              <w:kinsoku/>
              <w:wordWrap/>
              <w:overflowPunct/>
              <w:topLinePunct w:val="0"/>
              <w:autoSpaceDE w:val="0"/>
              <w:autoSpaceDN w:val="0"/>
              <w:bidi w:val="0"/>
              <w:adjustRightInd w:val="0"/>
              <w:snapToGrid w:val="0"/>
              <w:ind w:firstLine="480" w:firstLineChars="200"/>
              <w:jc w:val="both"/>
              <w:textAlignment w:val="auto"/>
              <w:rPr>
                <w:rFonts w:hint="default" w:ascii="Times New Roman" w:hAnsi="Times New Roman" w:cs="宋体"/>
                <w:color w:val="auto"/>
                <w:kern w:val="0"/>
                <w:szCs w:val="21"/>
              </w:rPr>
            </w:pPr>
            <w:r>
              <w:rPr>
                <w:rFonts w:hint="eastAsia" w:ascii="Times New Roman" w:hAnsi="Times New Roman"/>
                <w:color w:val="auto"/>
                <w:sz w:val="24"/>
                <w:szCs w:val="24"/>
                <w:highlight w:val="none"/>
                <w:lang w:val="en-US" w:eastAsia="zh-CN"/>
              </w:rPr>
              <w:t>综上所述，本项目无需开展专项评价工作。</w:t>
            </w:r>
          </w:p>
        </w:tc>
      </w:tr>
      <w:tr w14:paraId="00B4EE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950" w:type="dxa"/>
            <w:noWrap w:val="0"/>
            <w:vAlign w:val="center"/>
          </w:tcPr>
          <w:p w14:paraId="159B8A61">
            <w:pPr>
              <w:autoSpaceDE w:val="0"/>
              <w:autoSpaceDN w:val="0"/>
              <w:adjustRightInd w:val="0"/>
              <w:snapToGrid w:val="0"/>
              <w:jc w:val="center"/>
              <w:rPr>
                <w:rFonts w:hint="eastAsia" w:ascii="Times New Roman" w:hAnsi="Times New Roman" w:cs="宋体"/>
                <w:color w:val="auto"/>
                <w:kern w:val="0"/>
                <w:szCs w:val="21"/>
              </w:rPr>
            </w:pPr>
            <w:r>
              <w:rPr>
                <w:rFonts w:hint="eastAsia" w:ascii="Times New Roman" w:hAnsi="Times New Roman" w:cs="宋体"/>
                <w:color w:val="auto"/>
                <w:szCs w:val="21"/>
              </w:rPr>
              <w:t>规划情况</w:t>
            </w:r>
          </w:p>
        </w:tc>
        <w:tc>
          <w:tcPr>
            <w:tcW w:w="7920" w:type="dxa"/>
            <w:gridSpan w:val="3"/>
            <w:noWrap w:val="0"/>
            <w:vAlign w:val="center"/>
          </w:tcPr>
          <w:p w14:paraId="14B8A535">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olor w:val="auto"/>
                <w:kern w:val="0"/>
                <w:sz w:val="24"/>
                <w:szCs w:val="24"/>
                <w:highlight w:val="none"/>
              </w:rPr>
              <w:t>①</w:t>
            </w:r>
            <w:r>
              <w:rPr>
                <w:rFonts w:hint="eastAsia" w:ascii="Times New Roman" w:hAnsi="Times New Roman" w:eastAsia="宋体" w:cs="Times New Roman"/>
                <w:color w:val="auto"/>
                <w:kern w:val="0"/>
                <w:sz w:val="24"/>
                <w:szCs w:val="24"/>
                <w:highlight w:val="none"/>
                <w:lang w:val="en-US" w:eastAsia="zh-CN"/>
              </w:rPr>
              <w:t>规划名称：《福州市国土空间总体规划（2021—2035年）》；</w:t>
            </w:r>
          </w:p>
          <w:p w14:paraId="7F2506C6">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rPr>
              <w:t>审批机关：福州市自然资源和规划局</w:t>
            </w:r>
            <w:r>
              <w:rPr>
                <w:rFonts w:hint="eastAsia" w:ascii="Times New Roman" w:hAnsi="Times New Roman" w:eastAsia="宋体" w:cs="Times New Roman"/>
                <w:color w:val="auto"/>
                <w:kern w:val="0"/>
                <w:sz w:val="24"/>
                <w:szCs w:val="24"/>
                <w:highlight w:val="none"/>
                <w:lang w:eastAsia="zh-CN"/>
              </w:rPr>
              <w:t>；</w:t>
            </w:r>
          </w:p>
          <w:p w14:paraId="40AE92A6">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Times New Roman" w:hAnsi="Times New Roman" w:eastAsia="宋体"/>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rPr>
              <w:t>审批文件名称及文号：无</w:t>
            </w:r>
            <w:r>
              <w:rPr>
                <w:rFonts w:hint="eastAsia" w:ascii="Times New Roman" w:hAnsi="Times New Roman" w:eastAsia="宋体" w:cs="Times New Roman"/>
                <w:color w:val="auto"/>
                <w:kern w:val="0"/>
                <w:sz w:val="24"/>
                <w:szCs w:val="24"/>
                <w:highlight w:val="none"/>
                <w:lang w:eastAsia="zh-CN"/>
              </w:rPr>
              <w:t>；</w:t>
            </w:r>
          </w:p>
          <w:p w14:paraId="45E379F2">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olor w:val="auto"/>
                <w:kern w:val="0"/>
                <w:sz w:val="24"/>
                <w:szCs w:val="24"/>
                <w:highlight w:val="none"/>
              </w:rPr>
              <w:t>②</w:t>
            </w:r>
            <w:r>
              <w:rPr>
                <w:rFonts w:hint="eastAsia" w:ascii="Times New Roman" w:hAnsi="Times New Roman" w:eastAsia="宋体" w:cs="Times New Roman"/>
                <w:color w:val="auto"/>
                <w:kern w:val="0"/>
                <w:sz w:val="24"/>
                <w:szCs w:val="24"/>
                <w:highlight w:val="none"/>
                <w:lang w:val="en-US" w:eastAsia="zh-CN"/>
              </w:rPr>
              <w:t>规划名称：</w:t>
            </w:r>
            <w:r>
              <w:rPr>
                <w:rFonts w:hint="default" w:ascii="Times New Roman" w:hAnsi="Times New Roman" w:eastAsia="宋体" w:cs="Times New Roman"/>
                <w:color w:val="auto"/>
                <w:kern w:val="0"/>
                <w:sz w:val="24"/>
                <w:szCs w:val="24"/>
                <w:highlight w:val="none"/>
                <w:lang w:val="en-US" w:eastAsia="zh-CN"/>
              </w:rPr>
              <w:t>《福州高新区两园</w:t>
            </w:r>
            <w:r>
              <w:rPr>
                <w:rFonts w:hint="eastAsia" w:ascii="Times New Roman" w:hAnsi="Times New Roman" w:eastAsia="宋体" w:cs="Times New Roman"/>
                <w:color w:val="auto"/>
                <w:kern w:val="0"/>
                <w:sz w:val="24"/>
                <w:szCs w:val="24"/>
                <w:highlight w:val="none"/>
                <w:lang w:val="en-US" w:eastAsia="zh-CN"/>
              </w:rPr>
              <w:t>南</w:t>
            </w:r>
            <w:r>
              <w:rPr>
                <w:rFonts w:hint="default" w:ascii="Times New Roman" w:hAnsi="Times New Roman" w:eastAsia="宋体" w:cs="Times New Roman"/>
                <w:color w:val="auto"/>
                <w:kern w:val="0"/>
                <w:sz w:val="24"/>
                <w:szCs w:val="24"/>
                <w:highlight w:val="none"/>
                <w:lang w:val="en-US" w:eastAsia="zh-CN"/>
              </w:rPr>
              <w:t>单元控制性详细规划》，福州市规划设计研究院集团有限公司，2022年6月</w:t>
            </w:r>
            <w:r>
              <w:rPr>
                <w:rFonts w:hint="eastAsia" w:ascii="Times New Roman" w:hAnsi="Times New Roman" w:eastAsia="宋体" w:cs="Times New Roman"/>
                <w:color w:val="auto"/>
                <w:kern w:val="0"/>
                <w:sz w:val="24"/>
                <w:szCs w:val="24"/>
                <w:highlight w:val="none"/>
                <w:lang w:val="en-US" w:eastAsia="zh-CN"/>
              </w:rPr>
              <w:t>；</w:t>
            </w:r>
          </w:p>
          <w:p w14:paraId="0B331C61">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审批机关：福州市人民政府</w:t>
            </w:r>
            <w:r>
              <w:rPr>
                <w:rFonts w:hint="eastAsia" w:ascii="Times New Roman" w:hAnsi="Times New Roman" w:eastAsia="宋体" w:cs="Times New Roman"/>
                <w:color w:val="auto"/>
                <w:kern w:val="0"/>
                <w:sz w:val="24"/>
                <w:szCs w:val="24"/>
                <w:highlight w:val="none"/>
                <w:lang w:val="en-US" w:eastAsia="zh-CN"/>
              </w:rPr>
              <w:t>；</w:t>
            </w:r>
          </w:p>
          <w:p w14:paraId="1A300268">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Times New Roman" w:hAnsi="Times New Roman" w:eastAsia="宋体"/>
                <w:color w:val="auto"/>
                <w:sz w:val="24"/>
                <w:szCs w:val="24"/>
                <w:lang w:val="en-US" w:eastAsia="zh-CN"/>
              </w:rPr>
            </w:pPr>
            <w:r>
              <w:rPr>
                <w:rFonts w:hint="eastAsia" w:ascii="Times New Roman" w:hAnsi="Times New Roman" w:eastAsia="宋体" w:cs="Times New Roman"/>
                <w:color w:val="auto"/>
                <w:kern w:val="0"/>
                <w:sz w:val="24"/>
                <w:szCs w:val="24"/>
                <w:highlight w:val="none"/>
                <w:lang w:val="en-US" w:eastAsia="zh-CN"/>
              </w:rPr>
              <w:t>批复时间：2022年9月。</w:t>
            </w:r>
          </w:p>
        </w:tc>
      </w:tr>
      <w:tr w14:paraId="4AC4B9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950" w:type="dxa"/>
            <w:noWrap w:val="0"/>
            <w:vAlign w:val="center"/>
          </w:tcPr>
          <w:p w14:paraId="31847C21">
            <w:pPr>
              <w:adjustRightInd w:val="0"/>
              <w:snapToGrid w:val="0"/>
              <w:jc w:val="center"/>
              <w:rPr>
                <w:rFonts w:ascii="Times New Roman" w:hAnsi="Times New Roman" w:cs="宋体"/>
                <w:color w:val="auto"/>
                <w:szCs w:val="21"/>
              </w:rPr>
            </w:pPr>
            <w:r>
              <w:rPr>
                <w:rFonts w:hint="eastAsia" w:ascii="Times New Roman" w:hAnsi="Times New Roman" w:cs="宋体"/>
                <w:color w:val="auto"/>
                <w:szCs w:val="21"/>
              </w:rPr>
              <w:t>规划环境影响</w:t>
            </w:r>
          </w:p>
          <w:p w14:paraId="353D72FD">
            <w:pPr>
              <w:adjustRightInd w:val="0"/>
              <w:snapToGrid w:val="0"/>
              <w:jc w:val="center"/>
              <w:rPr>
                <w:rFonts w:hint="eastAsia" w:ascii="Times New Roman" w:hAnsi="Times New Roman" w:cs="宋体"/>
                <w:color w:val="auto"/>
                <w:kern w:val="0"/>
                <w:szCs w:val="21"/>
              </w:rPr>
            </w:pPr>
            <w:r>
              <w:rPr>
                <w:rFonts w:hint="eastAsia" w:ascii="Times New Roman" w:hAnsi="Times New Roman" w:cs="宋体"/>
                <w:color w:val="auto"/>
                <w:szCs w:val="21"/>
              </w:rPr>
              <w:t>评价情况</w:t>
            </w:r>
          </w:p>
        </w:tc>
        <w:tc>
          <w:tcPr>
            <w:tcW w:w="7920" w:type="dxa"/>
            <w:gridSpan w:val="3"/>
            <w:noWrap w:val="0"/>
            <w:vAlign w:val="center"/>
          </w:tcPr>
          <w:p w14:paraId="275F4E35">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Times New Roman" w:hAnsi="Times New Roman" w:eastAsia="宋体"/>
                <w:color w:val="auto"/>
                <w:kern w:val="0"/>
                <w:sz w:val="24"/>
                <w:szCs w:val="24"/>
                <w:highlight w:val="none"/>
                <w:lang w:eastAsia="zh-CN"/>
              </w:rPr>
            </w:pPr>
            <w:r>
              <w:rPr>
                <w:rFonts w:hint="eastAsia" w:ascii="Times New Roman" w:hAnsi="Times New Roman" w:eastAsia="宋体"/>
                <w:color w:val="auto"/>
                <w:kern w:val="0"/>
                <w:sz w:val="24"/>
                <w:szCs w:val="24"/>
                <w:highlight w:val="none"/>
              </w:rPr>
              <w:t>①规划环评文件名称：</w:t>
            </w:r>
            <w:r>
              <w:rPr>
                <w:rFonts w:ascii="Times New Roman" w:hAnsi="Times New Roman" w:eastAsia="宋体"/>
                <w:color w:val="auto"/>
                <w:kern w:val="0"/>
                <w:sz w:val="24"/>
                <w:szCs w:val="24"/>
                <w:highlight w:val="none"/>
              </w:rPr>
              <w:t>《福州市生物医药和机电产业园规划环境影响报告书》，福州市环境科学研究院，2011年4月</w:t>
            </w:r>
            <w:r>
              <w:rPr>
                <w:rFonts w:hint="eastAsia" w:ascii="Times New Roman" w:hAnsi="Times New Roman" w:eastAsia="宋体"/>
                <w:color w:val="auto"/>
                <w:kern w:val="0"/>
                <w:sz w:val="24"/>
                <w:szCs w:val="24"/>
                <w:highlight w:val="none"/>
                <w:lang w:eastAsia="zh-CN"/>
              </w:rPr>
              <w:t>；</w:t>
            </w:r>
          </w:p>
          <w:p w14:paraId="79921843">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Times New Roman" w:hAnsi="Times New Roman" w:eastAsia="宋体"/>
                <w:color w:val="auto"/>
                <w:kern w:val="0"/>
                <w:sz w:val="24"/>
                <w:szCs w:val="24"/>
                <w:highlight w:val="none"/>
                <w:lang w:eastAsia="zh-CN"/>
              </w:rPr>
            </w:pPr>
            <w:r>
              <w:rPr>
                <w:rFonts w:ascii="Times New Roman" w:hAnsi="Times New Roman" w:eastAsia="宋体"/>
                <w:color w:val="auto"/>
                <w:kern w:val="0"/>
                <w:sz w:val="24"/>
                <w:szCs w:val="24"/>
                <w:highlight w:val="none"/>
              </w:rPr>
              <w:t>审批机关：福州市环境保护局</w:t>
            </w:r>
            <w:r>
              <w:rPr>
                <w:rFonts w:hint="eastAsia" w:ascii="Times New Roman" w:hAnsi="Times New Roman" w:eastAsia="宋体"/>
                <w:color w:val="auto"/>
                <w:kern w:val="0"/>
                <w:sz w:val="24"/>
                <w:szCs w:val="24"/>
                <w:highlight w:val="none"/>
                <w:lang w:eastAsia="zh-CN"/>
              </w:rPr>
              <w:t>；</w:t>
            </w:r>
          </w:p>
          <w:p w14:paraId="519B606E">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ascii="Times New Roman" w:hAnsi="Times New Roman" w:eastAsia="宋体"/>
                <w:color w:val="auto"/>
                <w:kern w:val="0"/>
                <w:sz w:val="24"/>
                <w:szCs w:val="24"/>
                <w:highlight w:val="none"/>
              </w:rPr>
            </w:pPr>
            <w:r>
              <w:rPr>
                <w:rFonts w:ascii="Times New Roman" w:hAnsi="Times New Roman" w:eastAsia="宋体"/>
                <w:color w:val="auto"/>
                <w:kern w:val="0"/>
                <w:sz w:val="24"/>
                <w:szCs w:val="24"/>
                <w:highlight w:val="none"/>
              </w:rPr>
              <w:t>审批文件名称及文号：《福州市生物医药和机电产业园规划环境影响报告书的审查意见》（榕环保</w:t>
            </w:r>
            <w:r>
              <w:rPr>
                <w:rFonts w:hint="eastAsia" w:ascii="Times New Roman" w:hAnsi="Times New Roman" w:eastAsia="宋体"/>
                <w:color w:val="auto"/>
                <w:kern w:val="0"/>
                <w:sz w:val="24"/>
                <w:szCs w:val="24"/>
                <w:highlight w:val="none"/>
              </w:rPr>
              <w:t>〔</w:t>
            </w:r>
            <w:r>
              <w:rPr>
                <w:rFonts w:ascii="Times New Roman" w:hAnsi="Times New Roman" w:eastAsia="宋体"/>
                <w:color w:val="auto"/>
                <w:kern w:val="0"/>
                <w:sz w:val="24"/>
                <w:szCs w:val="24"/>
                <w:highlight w:val="none"/>
              </w:rPr>
              <w:t>2011</w:t>
            </w:r>
            <w:r>
              <w:rPr>
                <w:rFonts w:hint="eastAsia" w:ascii="Times New Roman" w:hAnsi="Times New Roman" w:eastAsia="宋体"/>
                <w:color w:val="auto"/>
                <w:kern w:val="0"/>
                <w:sz w:val="24"/>
                <w:szCs w:val="24"/>
                <w:highlight w:val="none"/>
              </w:rPr>
              <w:t>〕</w:t>
            </w:r>
            <w:r>
              <w:rPr>
                <w:rFonts w:ascii="Times New Roman" w:hAnsi="Times New Roman" w:eastAsia="宋体"/>
                <w:color w:val="auto"/>
                <w:kern w:val="0"/>
                <w:sz w:val="24"/>
                <w:szCs w:val="24"/>
                <w:highlight w:val="none"/>
              </w:rPr>
              <w:t>204号）；</w:t>
            </w:r>
          </w:p>
          <w:p w14:paraId="13FB9F85">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Times New Roman" w:hAnsi="Times New Roman" w:eastAsia="宋体"/>
                <w:color w:val="auto"/>
                <w:kern w:val="0"/>
                <w:sz w:val="24"/>
                <w:szCs w:val="24"/>
                <w:highlight w:val="none"/>
                <w:lang w:eastAsia="zh-CN"/>
              </w:rPr>
            </w:pPr>
            <w:r>
              <w:rPr>
                <w:rFonts w:hint="eastAsia" w:ascii="Times New Roman" w:hAnsi="Times New Roman" w:eastAsia="宋体"/>
                <w:color w:val="auto"/>
                <w:kern w:val="0"/>
                <w:sz w:val="24"/>
                <w:szCs w:val="24"/>
                <w:highlight w:val="none"/>
              </w:rPr>
              <w:t>②</w:t>
            </w:r>
            <w:r>
              <w:rPr>
                <w:rFonts w:hint="default" w:ascii="Times New Roman" w:hAnsi="Times New Roman" w:eastAsia="宋体" w:cs="Times New Roman"/>
                <w:color w:val="auto"/>
                <w:sz w:val="24"/>
                <w:szCs w:val="24"/>
                <w:highlight w:val="none"/>
              </w:rPr>
              <w:t>规划环评文件名称：</w:t>
            </w:r>
            <w:r>
              <w:rPr>
                <w:rFonts w:ascii="Times New Roman" w:hAnsi="Times New Roman" w:eastAsia="宋体"/>
                <w:color w:val="auto"/>
                <w:kern w:val="0"/>
                <w:sz w:val="24"/>
                <w:szCs w:val="24"/>
                <w:highlight w:val="none"/>
              </w:rPr>
              <w:t>《福州市生物医药和机电产业园区地块用地性质和产业规划调整环境影响补充报告》，福州市环境科学研究院，2011年11月</w:t>
            </w:r>
            <w:r>
              <w:rPr>
                <w:rFonts w:hint="eastAsia" w:ascii="Times New Roman" w:hAnsi="Times New Roman" w:eastAsia="宋体"/>
                <w:color w:val="auto"/>
                <w:kern w:val="0"/>
                <w:sz w:val="24"/>
                <w:szCs w:val="24"/>
                <w:highlight w:val="none"/>
                <w:lang w:eastAsia="zh-CN"/>
              </w:rPr>
              <w:t>；</w:t>
            </w:r>
          </w:p>
          <w:p w14:paraId="4175CCDB">
            <w:pPr>
              <w:keepNext w:val="0"/>
              <w:keepLines w:val="0"/>
              <w:pageBreakBefore w:val="0"/>
              <w:widowControl w:val="0"/>
              <w:kinsoku/>
              <w:wordWrap/>
              <w:overflowPunct/>
              <w:topLinePunct w:val="0"/>
              <w:bidi w:val="0"/>
              <w:spacing w:line="360" w:lineRule="auto"/>
              <w:jc w:val="left"/>
              <w:textAlignment w:val="auto"/>
              <w:rPr>
                <w:rFonts w:hint="eastAsia" w:ascii="Times New Roman" w:hAnsi="Times New Roman" w:eastAsia="宋体"/>
                <w:color w:val="auto"/>
                <w:kern w:val="0"/>
                <w:sz w:val="24"/>
                <w:szCs w:val="24"/>
                <w:highlight w:val="none"/>
                <w:lang w:eastAsia="zh-CN"/>
              </w:rPr>
            </w:pPr>
            <w:r>
              <w:rPr>
                <w:rFonts w:ascii="Times New Roman" w:hAnsi="Times New Roman" w:eastAsia="宋体"/>
                <w:color w:val="auto"/>
                <w:kern w:val="0"/>
                <w:sz w:val="24"/>
                <w:szCs w:val="24"/>
                <w:highlight w:val="none"/>
              </w:rPr>
              <w:t>审批机关：福州市环境保护局</w:t>
            </w:r>
            <w:r>
              <w:rPr>
                <w:rFonts w:hint="eastAsia" w:ascii="Times New Roman" w:hAnsi="Times New Roman" w:eastAsia="宋体"/>
                <w:color w:val="auto"/>
                <w:kern w:val="0"/>
                <w:sz w:val="24"/>
                <w:szCs w:val="24"/>
                <w:highlight w:val="none"/>
                <w:lang w:eastAsia="zh-CN"/>
              </w:rPr>
              <w:t>；</w:t>
            </w:r>
          </w:p>
          <w:p w14:paraId="6F223B79">
            <w:pPr>
              <w:keepNext w:val="0"/>
              <w:keepLines w:val="0"/>
              <w:pageBreakBefore w:val="0"/>
              <w:widowControl w:val="0"/>
              <w:kinsoku/>
              <w:wordWrap/>
              <w:overflowPunct/>
              <w:topLinePunct w:val="0"/>
              <w:bidi w:val="0"/>
              <w:spacing w:line="360" w:lineRule="auto"/>
              <w:jc w:val="left"/>
              <w:textAlignment w:val="auto"/>
              <w:rPr>
                <w:rFonts w:hint="eastAsia" w:ascii="Times New Roman" w:hAnsi="Times New Roman" w:eastAsia="宋体"/>
                <w:color w:val="auto"/>
                <w:kern w:val="0"/>
                <w:sz w:val="24"/>
                <w:szCs w:val="24"/>
                <w:highlight w:val="none"/>
                <w:lang w:eastAsia="zh-CN"/>
              </w:rPr>
            </w:pPr>
            <w:r>
              <w:rPr>
                <w:rFonts w:ascii="Times New Roman" w:hAnsi="Times New Roman" w:eastAsia="宋体"/>
                <w:color w:val="auto"/>
                <w:kern w:val="0"/>
                <w:sz w:val="24"/>
                <w:szCs w:val="24"/>
                <w:highlight w:val="none"/>
              </w:rPr>
              <w:t>审批文件名称及文号：《福州市生物医药和机电产业园区地块用地性质和产业规划调整环境影响补充报告的审查意见》（榕环保综</w:t>
            </w:r>
            <w:r>
              <w:rPr>
                <w:rFonts w:hint="eastAsia" w:ascii="Times New Roman" w:hAnsi="Times New Roman" w:eastAsia="宋体"/>
                <w:color w:val="auto"/>
                <w:kern w:val="0"/>
                <w:sz w:val="24"/>
                <w:szCs w:val="24"/>
                <w:highlight w:val="none"/>
              </w:rPr>
              <w:t>〔</w:t>
            </w:r>
            <w:r>
              <w:rPr>
                <w:rFonts w:ascii="Times New Roman" w:hAnsi="Times New Roman" w:eastAsia="宋体"/>
                <w:color w:val="auto"/>
                <w:kern w:val="0"/>
                <w:sz w:val="24"/>
                <w:szCs w:val="24"/>
                <w:highlight w:val="none"/>
              </w:rPr>
              <w:t>2014</w:t>
            </w:r>
            <w:r>
              <w:rPr>
                <w:rFonts w:hint="eastAsia" w:ascii="Times New Roman" w:hAnsi="Times New Roman" w:eastAsia="宋体"/>
                <w:color w:val="auto"/>
                <w:kern w:val="0"/>
                <w:sz w:val="24"/>
                <w:szCs w:val="24"/>
                <w:highlight w:val="none"/>
              </w:rPr>
              <w:t>〕</w:t>
            </w:r>
            <w:r>
              <w:rPr>
                <w:rFonts w:ascii="Times New Roman" w:hAnsi="Times New Roman" w:eastAsia="宋体"/>
                <w:color w:val="auto"/>
                <w:kern w:val="0"/>
                <w:sz w:val="24"/>
                <w:szCs w:val="24"/>
                <w:highlight w:val="none"/>
              </w:rPr>
              <w:t>435号）</w:t>
            </w:r>
            <w:r>
              <w:rPr>
                <w:rFonts w:hint="eastAsia" w:ascii="Times New Roman" w:hAnsi="Times New Roman" w:eastAsia="宋体"/>
                <w:color w:val="auto"/>
                <w:kern w:val="0"/>
                <w:sz w:val="24"/>
                <w:szCs w:val="24"/>
                <w:highlight w:val="none"/>
                <w:lang w:eastAsia="zh-CN"/>
              </w:rPr>
              <w:t>；</w:t>
            </w:r>
          </w:p>
          <w:p w14:paraId="22D33E9B">
            <w:pPr>
              <w:keepNext w:val="0"/>
              <w:keepLines w:val="0"/>
              <w:pageBreakBefore w:val="0"/>
              <w:widowControl w:val="0"/>
              <w:kinsoku/>
              <w:wordWrap/>
              <w:overflowPunct/>
              <w:topLinePunct w:val="0"/>
              <w:bidi w:val="0"/>
              <w:spacing w:line="360" w:lineRule="auto"/>
              <w:jc w:val="left"/>
              <w:textAlignment w:val="auto"/>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olor w:val="auto"/>
                <w:kern w:val="0"/>
                <w:sz w:val="24"/>
                <w:szCs w:val="24"/>
                <w:highlight w:val="none"/>
              </w:rPr>
              <w:t>③</w:t>
            </w:r>
            <w:r>
              <w:rPr>
                <w:rFonts w:hint="default" w:ascii="Times New Roman" w:hAnsi="Times New Roman" w:eastAsia="宋体" w:cs="Times New Roman"/>
                <w:color w:val="auto"/>
                <w:sz w:val="24"/>
                <w:szCs w:val="24"/>
                <w:highlight w:val="none"/>
              </w:rPr>
              <w:t>规划环评文件名称：</w:t>
            </w:r>
            <w:r>
              <w:rPr>
                <w:rFonts w:ascii="Times New Roman" w:hAnsi="Times New Roman" w:eastAsia="宋体"/>
                <w:color w:val="auto"/>
                <w:kern w:val="0"/>
                <w:sz w:val="24"/>
                <w:szCs w:val="24"/>
                <w:highlight w:val="none"/>
              </w:rPr>
              <w:t>《</w:t>
            </w:r>
            <w:r>
              <w:rPr>
                <w:rFonts w:hint="eastAsia" w:ascii="Times New Roman" w:hAnsi="Times New Roman" w:eastAsia="宋体"/>
                <w:color w:val="auto"/>
                <w:kern w:val="0"/>
                <w:sz w:val="24"/>
                <w:szCs w:val="24"/>
                <w:highlight w:val="none"/>
              </w:rPr>
              <w:t>福州市生物医药和机电产业园规划环境影响跟踪评价报告书</w:t>
            </w:r>
            <w:r>
              <w:rPr>
                <w:rFonts w:ascii="Times New Roman" w:hAnsi="Times New Roman" w:eastAsia="宋体"/>
                <w:color w:val="auto"/>
                <w:kern w:val="0"/>
                <w:sz w:val="24"/>
                <w:szCs w:val="24"/>
                <w:highlight w:val="none"/>
              </w:rPr>
              <w:t>》，</w:t>
            </w:r>
            <w:r>
              <w:rPr>
                <w:rFonts w:hint="eastAsia" w:ascii="Times New Roman" w:hAnsi="Times New Roman" w:eastAsia="宋体"/>
                <w:color w:val="auto"/>
                <w:kern w:val="0"/>
                <w:sz w:val="24"/>
                <w:szCs w:val="24"/>
                <w:highlight w:val="none"/>
              </w:rPr>
              <w:t>福建省环境保护设计院有限公司</w:t>
            </w:r>
            <w:r>
              <w:rPr>
                <w:rFonts w:ascii="Times New Roman" w:hAnsi="Times New Roman" w:eastAsia="宋体"/>
                <w:color w:val="auto"/>
                <w:kern w:val="0"/>
                <w:sz w:val="24"/>
                <w:szCs w:val="24"/>
                <w:highlight w:val="none"/>
              </w:rPr>
              <w:t>，20</w:t>
            </w:r>
            <w:r>
              <w:rPr>
                <w:rFonts w:hint="eastAsia" w:ascii="Times New Roman" w:hAnsi="Times New Roman" w:eastAsia="宋体"/>
                <w:color w:val="auto"/>
                <w:kern w:val="0"/>
                <w:sz w:val="24"/>
                <w:szCs w:val="24"/>
                <w:highlight w:val="none"/>
                <w:lang w:val="en-US" w:eastAsia="zh-CN"/>
              </w:rPr>
              <w:t>23</w:t>
            </w:r>
            <w:r>
              <w:rPr>
                <w:rFonts w:ascii="Times New Roman" w:hAnsi="Times New Roman" w:eastAsia="宋体"/>
                <w:color w:val="auto"/>
                <w:kern w:val="0"/>
                <w:sz w:val="24"/>
                <w:szCs w:val="24"/>
                <w:highlight w:val="none"/>
              </w:rPr>
              <w:t>年</w:t>
            </w:r>
            <w:r>
              <w:rPr>
                <w:rFonts w:hint="eastAsia" w:ascii="Times New Roman" w:hAnsi="Times New Roman" w:eastAsia="宋体"/>
                <w:color w:val="auto"/>
                <w:kern w:val="0"/>
                <w:sz w:val="24"/>
                <w:szCs w:val="24"/>
                <w:highlight w:val="none"/>
                <w:lang w:val="en-US" w:eastAsia="zh-CN"/>
              </w:rPr>
              <w:t>10</w:t>
            </w:r>
            <w:r>
              <w:rPr>
                <w:rFonts w:ascii="Times New Roman" w:hAnsi="Times New Roman" w:eastAsia="宋体"/>
                <w:color w:val="auto"/>
                <w:kern w:val="0"/>
                <w:sz w:val="24"/>
                <w:szCs w:val="24"/>
                <w:highlight w:val="none"/>
              </w:rPr>
              <w:t>月</w:t>
            </w:r>
            <w:r>
              <w:rPr>
                <w:rFonts w:hint="eastAsia" w:ascii="Times New Roman" w:hAnsi="Times New Roman" w:eastAsia="宋体"/>
                <w:color w:val="auto"/>
                <w:kern w:val="0"/>
                <w:sz w:val="24"/>
                <w:szCs w:val="24"/>
                <w:highlight w:val="none"/>
                <w:lang w:eastAsia="zh-CN"/>
              </w:rPr>
              <w:t>；</w:t>
            </w:r>
          </w:p>
          <w:p w14:paraId="26F08FB5">
            <w:pPr>
              <w:keepNext w:val="0"/>
              <w:keepLines w:val="0"/>
              <w:pageBreakBefore w:val="0"/>
              <w:widowControl w:val="0"/>
              <w:kinsoku/>
              <w:wordWrap/>
              <w:overflowPunct/>
              <w:topLinePunct w:val="0"/>
              <w:bidi w:val="0"/>
              <w:spacing w:line="360" w:lineRule="auto"/>
              <w:jc w:val="left"/>
              <w:textAlignment w:val="auto"/>
              <w:rPr>
                <w:rFonts w:hint="default" w:ascii="Times New Roman" w:hAnsi="Times New Roman" w:eastAsia="宋体" w:cs="Times New Roman"/>
                <w:color w:val="auto"/>
                <w:sz w:val="24"/>
                <w:szCs w:val="24"/>
                <w:highlight w:val="none"/>
                <w:lang w:val="en-US" w:eastAsia="zh-CN"/>
              </w:rPr>
            </w:pPr>
            <w:r>
              <w:rPr>
                <w:rFonts w:ascii="Times New Roman" w:hAnsi="Times New Roman" w:eastAsia="宋体"/>
                <w:color w:val="auto"/>
                <w:kern w:val="0"/>
                <w:sz w:val="24"/>
                <w:szCs w:val="24"/>
                <w:highlight w:val="none"/>
              </w:rPr>
              <w:t>审批机关：</w:t>
            </w:r>
            <w:r>
              <w:rPr>
                <w:rFonts w:hint="eastAsia" w:ascii="Times New Roman" w:hAnsi="Times New Roman" w:eastAsia="宋体"/>
                <w:color w:val="auto"/>
                <w:kern w:val="0"/>
                <w:sz w:val="24"/>
                <w:szCs w:val="24"/>
                <w:highlight w:val="none"/>
                <w:lang w:val="en-US" w:eastAsia="zh-CN"/>
              </w:rPr>
              <w:t>福州市生态环境局；</w:t>
            </w:r>
          </w:p>
          <w:p w14:paraId="3607C054">
            <w:pPr>
              <w:pStyle w:val="28"/>
              <w:keepNext w:val="0"/>
              <w:keepLines w:val="0"/>
              <w:pageBreakBefore w:val="0"/>
              <w:widowControl w:val="0"/>
              <w:kinsoku/>
              <w:wordWrap/>
              <w:overflowPunct/>
              <w:topLinePunct w:val="0"/>
              <w:bidi w:val="0"/>
              <w:spacing w:before="0" w:beforeLines="0" w:after="0" w:afterLines="0" w:line="360" w:lineRule="auto"/>
              <w:jc w:val="left"/>
              <w:textAlignment w:val="auto"/>
              <w:rPr>
                <w:rFonts w:hint="default" w:ascii="Times New Roman" w:hAnsi="Times New Roman"/>
                <w:color w:val="auto"/>
                <w:sz w:val="24"/>
                <w:szCs w:val="24"/>
                <w:lang w:val="en-US" w:eastAsia="zh-CN"/>
              </w:rPr>
            </w:pPr>
            <w:r>
              <w:rPr>
                <w:rFonts w:hint="eastAsia" w:ascii="Times New Roman" w:hAnsi="Times New Roman" w:eastAsia="宋体" w:cs="Times New Roman"/>
                <w:color w:val="auto"/>
                <w:kern w:val="0"/>
                <w:sz w:val="24"/>
                <w:szCs w:val="24"/>
                <w:highlight w:val="none"/>
                <w:lang w:val="en-US" w:eastAsia="zh-CN"/>
              </w:rPr>
              <w:t>审批文件名称及文号：无。</w:t>
            </w:r>
          </w:p>
        </w:tc>
      </w:tr>
      <w:tr w14:paraId="666044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950" w:type="dxa"/>
            <w:noWrap w:val="0"/>
            <w:vAlign w:val="center"/>
          </w:tcPr>
          <w:p w14:paraId="3D8B8A9F">
            <w:pPr>
              <w:autoSpaceDE w:val="0"/>
              <w:autoSpaceDN w:val="0"/>
              <w:adjustRightInd w:val="0"/>
              <w:snapToGrid w:val="0"/>
              <w:jc w:val="center"/>
              <w:rPr>
                <w:rFonts w:ascii="Times New Roman" w:hAnsi="Times New Roman" w:cs="宋体"/>
                <w:color w:val="auto"/>
                <w:kern w:val="0"/>
                <w:szCs w:val="21"/>
              </w:rPr>
            </w:pPr>
            <w:r>
              <w:rPr>
                <w:rFonts w:hint="eastAsia" w:ascii="Times New Roman" w:hAnsi="Times New Roman" w:cs="宋体"/>
                <w:color w:val="auto"/>
                <w:kern w:val="0"/>
                <w:szCs w:val="21"/>
              </w:rPr>
              <w:t>规划及规划环境影响评价符合性分析</w:t>
            </w:r>
          </w:p>
        </w:tc>
        <w:tc>
          <w:tcPr>
            <w:tcW w:w="7920" w:type="dxa"/>
            <w:gridSpan w:val="3"/>
            <w:noWrap w:val="0"/>
            <w:vAlign w:val="center"/>
          </w:tcPr>
          <w:p w14:paraId="0FE61B64">
            <w:pPr>
              <w:pStyle w:val="45"/>
              <w:rPr>
                <w:rFonts w:hint="default" w:ascii="Times New Roman" w:hAnsi="Times New Roman" w:eastAsia="宋体" w:cs="Times New Roman"/>
                <w:b/>
                <w:bCs/>
                <w:color w:val="auto"/>
                <w:highlight w:val="none"/>
              </w:rPr>
            </w:pPr>
            <w:bookmarkStart w:id="5" w:name="_Toc11314"/>
            <w:bookmarkStart w:id="6" w:name="_Toc20823"/>
            <w:r>
              <w:rPr>
                <w:rFonts w:hint="default" w:ascii="Times New Roman" w:hAnsi="Times New Roman" w:eastAsia="宋体" w:cs="Times New Roman"/>
                <w:b/>
                <w:bCs/>
                <w:color w:val="auto"/>
                <w:highlight w:val="none"/>
              </w:rPr>
              <w:t>1.1与规划符合性分析</w:t>
            </w:r>
            <w:bookmarkEnd w:id="5"/>
            <w:bookmarkEnd w:id="6"/>
          </w:p>
          <w:p w14:paraId="6E78A2CE">
            <w:pPr>
              <w:pStyle w:val="46"/>
              <w:ind w:left="0" w:leftChars="0" w:firstLine="0" w:firstLineChars="0"/>
              <w:rPr>
                <w:rFonts w:hint="eastAsia" w:ascii="Times New Roman" w:hAnsi="Times New Roman"/>
                <w:color w:val="auto"/>
                <w:highlight w:val="none"/>
              </w:rPr>
            </w:pPr>
            <w:r>
              <w:rPr>
                <w:rFonts w:hint="eastAsia" w:ascii="Times New Roman" w:hAnsi="Times New Roman"/>
                <w:b/>
                <w:bCs/>
                <w:color w:val="auto"/>
                <w:highlight w:val="none"/>
                <w:lang w:val="en-US" w:eastAsia="zh-CN"/>
              </w:rPr>
              <w:t>1.1.1 与《福州市国土空间总体规划（2021—2035年）》</w:t>
            </w:r>
            <w:r>
              <w:rPr>
                <w:rFonts w:hint="eastAsia" w:ascii="Times New Roman" w:hAnsi="Times New Roman" w:eastAsia="宋体" w:cs="Times New Roman"/>
                <w:b/>
                <w:bCs/>
                <w:color w:val="auto"/>
                <w:kern w:val="0"/>
                <w:szCs w:val="21"/>
                <w:highlight w:val="none"/>
                <w:lang w:val="en-US" w:eastAsia="zh-CN"/>
              </w:rPr>
              <w:t>符合性分析</w:t>
            </w:r>
          </w:p>
          <w:p w14:paraId="74E67A96">
            <w:pPr>
              <w:pStyle w:val="25"/>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olor w:val="auto"/>
                <w:sz w:val="24"/>
                <w:szCs w:val="24"/>
                <w:highlight w:val="none"/>
                <w:lang w:val="en-US" w:eastAsia="zh-CN"/>
              </w:rPr>
              <w:t>《福州市国土空间总体规划（2021—2035年）》指出国土空间开发保护目标与战略为：以山海廊道联通和流域治理为重点，筑强生态功能本底。以多向开放和创新转化为引领，全面提升区域中心城市地位。以陆海联动与“三区”协同为重点，优化全域空间格局。以文化彰显与宜居品质建设为核心，提升城市魅力和宜居吸引力。其中“三区”协同指福州主城区、福州新区、平潭综合实验区协同发展。根据《福州市国土空间总体规划（2021—2035年）》中市域国土空间总体格局规划图，本项目所在区域为福州主城区，符合开放式、网络化、集约型、生态化的“一主一副”的国土空间总体格局。</w:t>
            </w:r>
            <w:r>
              <w:rPr>
                <w:rFonts w:hint="eastAsia" w:ascii="Times New Roman" w:hAnsi="Times New Roman" w:eastAsia="宋体" w:cs="宋体"/>
                <w:b w:val="0"/>
                <w:bCs w:val="0"/>
                <w:color w:val="auto"/>
                <w:kern w:val="2"/>
                <w:sz w:val="24"/>
                <w:szCs w:val="24"/>
                <w:highlight w:val="none"/>
                <w:lang w:val="en-US" w:eastAsia="zh-CN" w:bidi="ar-SA"/>
              </w:rPr>
              <w:t>根据市域国土空间控制线规划图，本项目所在位置属于城镇开发边界，不属于陆域</w:t>
            </w:r>
            <w:r>
              <w:rPr>
                <w:rFonts w:hint="eastAsia" w:ascii="Times New Roman" w:hAnsi="Times New Roman" w:cs="宋体"/>
                <w:b w:val="0"/>
                <w:bCs w:val="0"/>
                <w:color w:val="auto"/>
                <w:kern w:val="2"/>
                <w:sz w:val="24"/>
                <w:szCs w:val="24"/>
                <w:highlight w:val="none"/>
                <w:lang w:val="en-US" w:eastAsia="zh-CN" w:bidi="ar-SA"/>
              </w:rPr>
              <w:t>生态保护红线</w:t>
            </w:r>
            <w:r>
              <w:rPr>
                <w:rFonts w:hint="eastAsia" w:ascii="Times New Roman" w:hAnsi="Times New Roman" w:eastAsia="宋体" w:cs="宋体"/>
                <w:b w:val="0"/>
                <w:bCs w:val="0"/>
                <w:color w:val="auto"/>
                <w:kern w:val="2"/>
                <w:sz w:val="24"/>
                <w:szCs w:val="24"/>
                <w:highlight w:val="none"/>
                <w:lang w:val="en-US" w:eastAsia="zh-CN" w:bidi="ar-SA"/>
              </w:rPr>
              <w:t>，不属于海洋生态保护红线，不属于基本农田，符合统筹划定国土空间控制线的要求。</w:t>
            </w:r>
          </w:p>
          <w:p w14:paraId="5790B729">
            <w:pPr>
              <w:pStyle w:val="3"/>
              <w:bidi w:val="0"/>
              <w:rPr>
                <w:rFonts w:hint="eastAsia" w:ascii="Times New Roman" w:hAnsi="Times New Roman" w:eastAsia="宋体" w:cs="Times New Roman"/>
                <w:b/>
                <w:bCs/>
                <w:color w:val="auto"/>
                <w:kern w:val="2"/>
                <w:sz w:val="24"/>
                <w:szCs w:val="21"/>
                <w:highlight w:val="none"/>
                <w:lang w:val="en-US" w:eastAsia="zh-CN" w:bidi="ar-SA"/>
              </w:rPr>
            </w:pPr>
            <w:bookmarkStart w:id="7" w:name="_Toc6003"/>
            <w:r>
              <w:rPr>
                <w:rFonts w:hint="eastAsia" w:ascii="Times New Roman" w:hAnsi="Times New Roman" w:eastAsia="宋体" w:cs="Times New Roman"/>
                <w:b/>
                <w:bCs/>
                <w:color w:val="auto"/>
                <w:kern w:val="2"/>
                <w:sz w:val="24"/>
                <w:szCs w:val="21"/>
                <w:highlight w:val="none"/>
                <w:lang w:val="en-US" w:eastAsia="zh-CN" w:bidi="ar-SA"/>
              </w:rPr>
              <w:t>1.1.2 与《福州高新区两园</w:t>
            </w:r>
            <w:r>
              <w:rPr>
                <w:rFonts w:hint="eastAsia" w:ascii="Times New Roman" w:hAnsi="Times New Roman" w:cs="Times New Roman"/>
                <w:b/>
                <w:bCs/>
                <w:color w:val="auto"/>
                <w:kern w:val="2"/>
                <w:sz w:val="24"/>
                <w:szCs w:val="21"/>
                <w:highlight w:val="none"/>
                <w:lang w:val="en-US" w:eastAsia="zh-CN" w:bidi="ar-SA"/>
              </w:rPr>
              <w:t>南</w:t>
            </w:r>
            <w:r>
              <w:rPr>
                <w:rFonts w:hint="eastAsia" w:ascii="Times New Roman" w:hAnsi="Times New Roman" w:eastAsia="宋体" w:cs="Times New Roman"/>
                <w:b/>
                <w:bCs/>
                <w:color w:val="auto"/>
                <w:kern w:val="2"/>
                <w:sz w:val="24"/>
                <w:szCs w:val="21"/>
                <w:highlight w:val="none"/>
                <w:lang w:val="en-US" w:eastAsia="zh-CN" w:bidi="ar-SA"/>
              </w:rPr>
              <w:t>单元控制性详细规划》《福州市生物医药和机电产业园规划环境影响报告书》符合性分析</w:t>
            </w:r>
            <w:bookmarkEnd w:id="7"/>
          </w:p>
          <w:p w14:paraId="46429365">
            <w:pPr>
              <w:pStyle w:val="25"/>
              <w:bidi w:val="0"/>
              <w:rPr>
                <w:rFonts w:hint="eastAsia" w:ascii="Times New Roman" w:hAnsi="Times New Roman"/>
                <w:color w:val="auto"/>
                <w:lang w:val="en-US" w:eastAsia="zh-CN"/>
              </w:rPr>
            </w:pPr>
            <w:r>
              <w:rPr>
                <w:rFonts w:hint="default" w:ascii="Times New Roman" w:hAnsi="Times New Roman"/>
                <w:color w:val="auto"/>
                <w:lang w:val="en-US" w:eastAsia="zh-CN"/>
              </w:rPr>
              <w:t>根据《福州</w:t>
            </w:r>
            <w:r>
              <w:rPr>
                <w:rFonts w:hint="eastAsia" w:ascii="Times New Roman" w:hAnsi="Times New Roman"/>
                <w:color w:val="auto"/>
                <w:lang w:val="en-US" w:eastAsia="zh-CN"/>
              </w:rPr>
              <w:t>高新区两园南单元控制性详细规划</w:t>
            </w:r>
            <w:r>
              <w:rPr>
                <w:rFonts w:hint="default" w:ascii="Times New Roman" w:hAnsi="Times New Roman"/>
                <w:color w:val="auto"/>
                <w:lang w:val="en-US" w:eastAsia="zh-CN"/>
              </w:rPr>
              <w:t>》及《福州市生物医药和机电产业园规划环境影响报告书》，</w:t>
            </w:r>
            <w:r>
              <w:rPr>
                <w:rFonts w:hint="eastAsia" w:ascii="Times New Roman" w:hAnsi="Times New Roman"/>
                <w:color w:val="auto"/>
                <w:lang w:val="en-US" w:eastAsia="zh-CN"/>
              </w:rPr>
              <w:t>两园的功能定位：科学城的产业智造中心，生态环境良好的产业园区；规划布局：本片区是科学城的产业智造区，规划用地以生物医药、光电、机械和仓储物流等产业功能为主导，结合规划地铁3号线，沿智慧大道两侧布设生物医药智造区、机电设备智造区、智能成套设备智造区、光电设备智造区和仓储物流服务区；结合3号线车辆段上盖开发，布设片区公共服务中心；规划结构：本片区规划形成“一轴、六区”的空间布局结构。一轴：在智慧大道两侧，利用规划地铁3号线及优越的山水条件，打造智慧大道城市发展轴。六区：即六个功能片区，分别是：生物医药智造区、机电设备智造区、成套设备智造区、光电设备智造区和仓储物流服务区。</w:t>
            </w:r>
          </w:p>
          <w:p w14:paraId="7CB34EA1">
            <w:pPr>
              <w:pStyle w:val="25"/>
              <w:bidi w:val="0"/>
              <w:rPr>
                <w:rFonts w:hint="default" w:ascii="Times New Roman" w:hAnsi="Times New Roman"/>
                <w:color w:val="auto"/>
                <w:lang w:val="en-US" w:eastAsia="zh-CN"/>
              </w:rPr>
            </w:pPr>
            <w:r>
              <w:rPr>
                <w:rFonts w:hint="default" w:ascii="Times New Roman" w:hAnsi="Times New Roman"/>
                <w:color w:val="auto"/>
                <w:lang w:val="en-US" w:eastAsia="zh-CN"/>
              </w:rPr>
              <w:t>规划环评中产业政策要求：生物医药产业：①在本规划区以新产品研发、一类、二类工业企业为主</w:t>
            </w:r>
            <w:r>
              <w:rPr>
                <w:rFonts w:hint="eastAsia" w:ascii="Times New Roman" w:hAnsi="Times New Roman"/>
                <w:color w:val="auto"/>
                <w:lang w:val="en-US" w:eastAsia="zh-CN"/>
              </w:rPr>
              <w:t>；</w:t>
            </w:r>
            <w:r>
              <w:rPr>
                <w:rFonts w:hint="default" w:ascii="Times New Roman" w:hAnsi="Times New Roman"/>
                <w:color w:val="auto"/>
                <w:lang w:val="en-US" w:eastAsia="zh-CN"/>
              </w:rPr>
              <w:t>②不推荐本规划园区设实验动物房，严禁耗水量大的企业入驻</w:t>
            </w:r>
            <w:r>
              <w:rPr>
                <w:rFonts w:hint="eastAsia" w:ascii="Times New Roman" w:hAnsi="Times New Roman"/>
                <w:color w:val="auto"/>
                <w:lang w:val="en-US" w:eastAsia="zh-CN"/>
              </w:rPr>
              <w:t>；</w:t>
            </w:r>
            <w:r>
              <w:rPr>
                <w:rFonts w:hint="default" w:ascii="Times New Roman" w:hAnsi="Times New Roman"/>
                <w:color w:val="auto"/>
                <w:lang w:val="en-US" w:eastAsia="zh-CN"/>
              </w:rPr>
              <w:t>③限制产生恶臭的行业入驻</w:t>
            </w:r>
            <w:r>
              <w:rPr>
                <w:rFonts w:hint="eastAsia" w:ascii="Times New Roman" w:hAnsi="Times New Roman"/>
                <w:color w:val="auto"/>
                <w:lang w:val="en-US" w:eastAsia="zh-CN"/>
              </w:rPr>
              <w:t>；</w:t>
            </w:r>
            <w:r>
              <w:rPr>
                <w:rFonts w:hint="default" w:ascii="Times New Roman" w:hAnsi="Times New Roman"/>
                <w:color w:val="auto"/>
                <w:lang w:val="en-US" w:eastAsia="zh-CN"/>
              </w:rPr>
              <w:t>④引进企业清洁生产水平必须达到国内先进及以上水平。⑤对于化学制药、发酵药、原料药等重污染型的制药行业以及高耗能、高耗水、污染严重的企业建议福州市实行产业整合，有计划</w:t>
            </w:r>
            <w:r>
              <w:rPr>
                <w:rFonts w:hint="eastAsia" w:ascii="Times New Roman" w:hAnsi="Times New Roman"/>
                <w:color w:val="auto"/>
                <w:lang w:val="en-US" w:eastAsia="zh-CN"/>
              </w:rPr>
              <w:t>地</w:t>
            </w:r>
            <w:r>
              <w:rPr>
                <w:rFonts w:hint="default" w:ascii="Times New Roman" w:hAnsi="Times New Roman"/>
                <w:color w:val="auto"/>
                <w:lang w:val="en-US" w:eastAsia="zh-CN"/>
              </w:rPr>
              <w:t>引导进入福清江阴工业区入驻。机械电子产业：①不推荐引进排放酸性气体，二氧化硫废气等企业入驻。②引进企业清洁生产水平必须达到国内先进及以上水平。③入园企业若配套电镀工艺，需按照福州市政府榕政综</w:t>
            </w:r>
            <w:r>
              <w:rPr>
                <w:rFonts w:hint="eastAsia" w:ascii="Times New Roman" w:hAnsi="Times New Roman"/>
                <w:color w:val="auto"/>
                <w:lang w:val="en-US" w:eastAsia="zh-CN"/>
              </w:rPr>
              <w:t>〔2007〕44号</w:t>
            </w:r>
            <w:r>
              <w:rPr>
                <w:rFonts w:hint="default" w:ascii="Times New Roman" w:hAnsi="Times New Roman"/>
                <w:color w:val="auto"/>
                <w:lang w:val="en-US" w:eastAsia="zh-CN"/>
              </w:rPr>
              <w:t>文件要求执行。</w:t>
            </w:r>
          </w:p>
          <w:p w14:paraId="195E7EB5">
            <w:pPr>
              <w:pStyle w:val="24"/>
              <w:bidi w:val="0"/>
              <w:rPr>
                <w:rFonts w:hint="default" w:ascii="Times New Roman" w:hAnsi="Times New Roman"/>
                <w:color w:val="auto"/>
                <w:lang w:val="en-US" w:eastAsia="zh-CN"/>
              </w:rPr>
            </w:pPr>
            <w:r>
              <w:rPr>
                <w:rFonts w:hint="eastAsia" w:ascii="Times New Roman" w:hAnsi="Times New Roman"/>
                <w:color w:val="auto"/>
                <w:lang w:val="en-US" w:eastAsia="zh-CN"/>
              </w:rPr>
              <w:t>表1.1-1  福州市生物医药和机电产业园推荐、不推荐产业明细</w:t>
            </w:r>
          </w:p>
          <w:tbl>
            <w:tblPr>
              <w:tblStyle w:val="1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748"/>
              <w:gridCol w:w="3586"/>
              <w:gridCol w:w="2627"/>
            </w:tblGrid>
            <w:tr w14:paraId="254F69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98" w:type="pct"/>
                  <w:tcBorders>
                    <w:tl2br w:val="nil"/>
                    <w:tr2bl w:val="nil"/>
                  </w:tcBorders>
                  <w:noWrap w:val="0"/>
                  <w:vAlign w:val="center"/>
                </w:tcPr>
                <w:p w14:paraId="094507E7">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规划产业</w:t>
                  </w:r>
                </w:p>
              </w:tc>
              <w:tc>
                <w:tcPr>
                  <w:tcW w:w="2252" w:type="pct"/>
                  <w:tcBorders>
                    <w:tl2br w:val="nil"/>
                    <w:tr2bl w:val="nil"/>
                  </w:tcBorders>
                  <w:noWrap w:val="0"/>
                  <w:vAlign w:val="center"/>
                </w:tcPr>
                <w:p w14:paraId="7996A97A">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产业小类</w:t>
                  </w:r>
                </w:p>
              </w:tc>
              <w:tc>
                <w:tcPr>
                  <w:tcW w:w="1648" w:type="pct"/>
                  <w:tcBorders>
                    <w:tl2br w:val="nil"/>
                    <w:tr2bl w:val="nil"/>
                  </w:tcBorders>
                  <w:noWrap w:val="0"/>
                  <w:vAlign w:val="center"/>
                </w:tcPr>
                <w:p w14:paraId="4680BCB4">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推荐产业</w:t>
                  </w:r>
                </w:p>
              </w:tc>
            </w:tr>
            <w:tr w14:paraId="114910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000" w:type="pct"/>
                  <w:gridSpan w:val="3"/>
                  <w:tcBorders>
                    <w:tl2br w:val="nil"/>
                    <w:tr2bl w:val="nil"/>
                  </w:tcBorders>
                  <w:noWrap w:val="0"/>
                  <w:vAlign w:val="center"/>
                </w:tcPr>
                <w:p w14:paraId="48594EA3">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一、医药园产业</w:t>
                  </w:r>
                </w:p>
              </w:tc>
            </w:tr>
            <w:tr w14:paraId="3F50C2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98" w:type="pct"/>
                  <w:vMerge w:val="restart"/>
                  <w:tcBorders>
                    <w:tl2br w:val="nil"/>
                    <w:tr2bl w:val="nil"/>
                  </w:tcBorders>
                  <w:noWrap w:val="0"/>
                  <w:vAlign w:val="center"/>
                </w:tcPr>
                <w:p w14:paraId="59C218E7">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医药研发</w:t>
                  </w:r>
                </w:p>
              </w:tc>
              <w:tc>
                <w:tcPr>
                  <w:tcW w:w="2252" w:type="pct"/>
                  <w:tcBorders>
                    <w:tl2br w:val="nil"/>
                    <w:tr2bl w:val="nil"/>
                  </w:tcBorders>
                  <w:noWrap w:val="0"/>
                  <w:vAlign w:val="center"/>
                </w:tcPr>
                <w:p w14:paraId="63EB841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基因工程药物</w:t>
                  </w:r>
                </w:p>
              </w:tc>
              <w:tc>
                <w:tcPr>
                  <w:tcW w:w="1648" w:type="pct"/>
                  <w:tcBorders>
                    <w:tl2br w:val="nil"/>
                    <w:tr2bl w:val="nil"/>
                  </w:tcBorders>
                  <w:noWrap w:val="0"/>
                  <w:vAlign w:val="center"/>
                </w:tcPr>
                <w:p w14:paraId="07E5A6FD">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推荐基因工程药物</w:t>
                  </w:r>
                </w:p>
              </w:tc>
            </w:tr>
            <w:tr w14:paraId="7CAB7E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98" w:type="pct"/>
                  <w:vMerge w:val="continue"/>
                  <w:tcBorders>
                    <w:tl2br w:val="nil"/>
                    <w:tr2bl w:val="nil"/>
                  </w:tcBorders>
                  <w:noWrap w:val="0"/>
                  <w:vAlign w:val="center"/>
                </w:tcPr>
                <w:p w14:paraId="71501236">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c>
                <w:tcPr>
                  <w:tcW w:w="2252" w:type="pct"/>
                  <w:tcBorders>
                    <w:tl2br w:val="nil"/>
                    <w:tr2bl w:val="nil"/>
                  </w:tcBorders>
                  <w:noWrap w:val="0"/>
                  <w:vAlign w:val="center"/>
                </w:tcPr>
                <w:p w14:paraId="427C07C1">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疫苗</w:t>
                  </w:r>
                </w:p>
              </w:tc>
              <w:tc>
                <w:tcPr>
                  <w:tcW w:w="1648" w:type="pct"/>
                  <w:tcBorders>
                    <w:tl2br w:val="nil"/>
                    <w:tr2bl w:val="nil"/>
                  </w:tcBorders>
                  <w:noWrap w:val="0"/>
                  <w:vAlign w:val="center"/>
                </w:tcPr>
                <w:p w14:paraId="3DA77E0B">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推荐疫苗规模化生产</w:t>
                  </w:r>
                </w:p>
              </w:tc>
            </w:tr>
            <w:tr w14:paraId="760271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98" w:type="pct"/>
                  <w:vMerge w:val="continue"/>
                  <w:tcBorders>
                    <w:tl2br w:val="nil"/>
                    <w:tr2bl w:val="nil"/>
                  </w:tcBorders>
                  <w:noWrap w:val="0"/>
                  <w:vAlign w:val="center"/>
                </w:tcPr>
                <w:p w14:paraId="7C48C0F1">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c>
                <w:tcPr>
                  <w:tcW w:w="2252" w:type="pct"/>
                  <w:tcBorders>
                    <w:tl2br w:val="nil"/>
                    <w:tr2bl w:val="nil"/>
                  </w:tcBorders>
                  <w:noWrap w:val="0"/>
                  <w:vAlign w:val="center"/>
                </w:tcPr>
                <w:p w14:paraId="1A727B16">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诊断试剂</w:t>
                  </w:r>
                </w:p>
              </w:tc>
              <w:tc>
                <w:tcPr>
                  <w:tcW w:w="1648" w:type="pct"/>
                  <w:tcBorders>
                    <w:tl2br w:val="nil"/>
                    <w:tr2bl w:val="nil"/>
                  </w:tcBorders>
                  <w:noWrap w:val="0"/>
                  <w:vAlign w:val="center"/>
                </w:tcPr>
                <w:p w14:paraId="0C48F35C">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推荐诊断试剂规模化生产</w:t>
                  </w:r>
                </w:p>
              </w:tc>
            </w:tr>
            <w:tr w14:paraId="40C345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98" w:type="pct"/>
                  <w:vMerge w:val="continue"/>
                  <w:tcBorders>
                    <w:tl2br w:val="nil"/>
                    <w:tr2bl w:val="nil"/>
                  </w:tcBorders>
                  <w:noWrap w:val="0"/>
                  <w:vAlign w:val="center"/>
                </w:tcPr>
                <w:p w14:paraId="5C4B397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c>
                <w:tcPr>
                  <w:tcW w:w="2252" w:type="pct"/>
                  <w:tcBorders>
                    <w:tl2br w:val="nil"/>
                    <w:tr2bl w:val="nil"/>
                  </w:tcBorders>
                  <w:noWrap w:val="0"/>
                  <w:vAlign w:val="center"/>
                </w:tcPr>
                <w:p w14:paraId="4804418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生物医药分析仪器</w:t>
                  </w:r>
                </w:p>
              </w:tc>
              <w:tc>
                <w:tcPr>
                  <w:tcW w:w="1648" w:type="pct"/>
                  <w:tcBorders>
                    <w:tl2br w:val="nil"/>
                    <w:tr2bl w:val="nil"/>
                  </w:tcBorders>
                  <w:noWrap w:val="0"/>
                  <w:vAlign w:val="center"/>
                </w:tcPr>
                <w:p w14:paraId="795EF6C2">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推荐</w:t>
                  </w:r>
                </w:p>
              </w:tc>
            </w:tr>
            <w:tr w14:paraId="65DD12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98" w:type="pct"/>
                  <w:vMerge w:val="continue"/>
                  <w:tcBorders>
                    <w:tl2br w:val="nil"/>
                    <w:tr2bl w:val="nil"/>
                  </w:tcBorders>
                  <w:noWrap w:val="0"/>
                  <w:vAlign w:val="center"/>
                </w:tcPr>
                <w:p w14:paraId="6258FD3F">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c>
                <w:tcPr>
                  <w:tcW w:w="2252" w:type="pct"/>
                  <w:tcBorders>
                    <w:tl2br w:val="nil"/>
                    <w:tr2bl w:val="nil"/>
                  </w:tcBorders>
                  <w:noWrap w:val="0"/>
                  <w:vAlign w:val="center"/>
                </w:tcPr>
                <w:p w14:paraId="47F5002F">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高端医药器械研发</w:t>
                  </w:r>
                </w:p>
              </w:tc>
              <w:tc>
                <w:tcPr>
                  <w:tcW w:w="1648" w:type="pct"/>
                  <w:tcBorders>
                    <w:tl2br w:val="nil"/>
                    <w:tr2bl w:val="nil"/>
                  </w:tcBorders>
                  <w:noWrap w:val="0"/>
                  <w:vAlign w:val="center"/>
                </w:tcPr>
                <w:p w14:paraId="03FA9FFD">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推荐</w:t>
                  </w:r>
                </w:p>
              </w:tc>
            </w:tr>
            <w:tr w14:paraId="4C63CA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000" w:type="pct"/>
                  <w:gridSpan w:val="3"/>
                  <w:tcBorders>
                    <w:tl2br w:val="nil"/>
                    <w:tr2bl w:val="nil"/>
                  </w:tcBorders>
                  <w:noWrap w:val="0"/>
                  <w:vAlign w:val="center"/>
                </w:tcPr>
                <w:p w14:paraId="600A6D6B">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二、机电园产业</w:t>
                  </w:r>
                </w:p>
              </w:tc>
            </w:tr>
            <w:tr w14:paraId="40639A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98" w:type="pct"/>
                  <w:vMerge w:val="restart"/>
                  <w:tcBorders>
                    <w:tl2br w:val="nil"/>
                    <w:tr2bl w:val="nil"/>
                  </w:tcBorders>
                  <w:noWrap w:val="0"/>
                  <w:vAlign w:val="center"/>
                </w:tcPr>
                <w:p w14:paraId="051AC6F4">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光电产业</w:t>
                  </w:r>
                </w:p>
              </w:tc>
              <w:tc>
                <w:tcPr>
                  <w:tcW w:w="2252" w:type="pct"/>
                  <w:tcBorders>
                    <w:tl2br w:val="nil"/>
                    <w:tr2bl w:val="nil"/>
                  </w:tcBorders>
                  <w:noWrap w:val="0"/>
                  <w:vAlign w:val="center"/>
                </w:tcPr>
                <w:p w14:paraId="1F423B2A">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液晶、发光二极管显示屏</w:t>
                  </w:r>
                </w:p>
              </w:tc>
              <w:tc>
                <w:tcPr>
                  <w:tcW w:w="1648" w:type="pct"/>
                  <w:vMerge w:val="restart"/>
                  <w:tcBorders>
                    <w:tl2br w:val="nil"/>
                    <w:tr2bl w:val="nil"/>
                  </w:tcBorders>
                  <w:noWrap w:val="0"/>
                  <w:vAlign w:val="center"/>
                </w:tcPr>
                <w:p w14:paraId="42DE0E38">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推荐，建议园区形成产业配置适宜的光电（LED）产业链</w:t>
                  </w:r>
                </w:p>
              </w:tc>
            </w:tr>
            <w:tr w14:paraId="66E923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98" w:type="pct"/>
                  <w:vMerge w:val="continue"/>
                  <w:tcBorders>
                    <w:tl2br w:val="nil"/>
                    <w:tr2bl w:val="nil"/>
                  </w:tcBorders>
                  <w:noWrap w:val="0"/>
                  <w:vAlign w:val="center"/>
                </w:tcPr>
                <w:p w14:paraId="546AE2F9">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c>
                <w:tcPr>
                  <w:tcW w:w="2252" w:type="pct"/>
                  <w:tcBorders>
                    <w:tl2br w:val="nil"/>
                    <w:tr2bl w:val="nil"/>
                  </w:tcBorders>
                  <w:noWrap w:val="0"/>
                  <w:vAlign w:val="center"/>
                </w:tcPr>
                <w:p w14:paraId="647BB0D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光电器件</w:t>
                  </w:r>
                </w:p>
              </w:tc>
              <w:tc>
                <w:tcPr>
                  <w:tcW w:w="1648" w:type="pct"/>
                  <w:vMerge w:val="continue"/>
                  <w:tcBorders>
                    <w:tl2br w:val="nil"/>
                    <w:tr2bl w:val="nil"/>
                  </w:tcBorders>
                  <w:noWrap w:val="0"/>
                  <w:vAlign w:val="center"/>
                </w:tcPr>
                <w:p w14:paraId="18340F1A">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r>
            <w:tr w14:paraId="6EAA0D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98" w:type="pct"/>
                  <w:vMerge w:val="continue"/>
                  <w:tcBorders>
                    <w:tl2br w:val="nil"/>
                    <w:tr2bl w:val="nil"/>
                  </w:tcBorders>
                  <w:noWrap w:val="0"/>
                  <w:vAlign w:val="center"/>
                </w:tcPr>
                <w:p w14:paraId="676DB331">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c>
                <w:tcPr>
                  <w:tcW w:w="2252" w:type="pct"/>
                  <w:tcBorders>
                    <w:tl2br w:val="nil"/>
                    <w:tr2bl w:val="nil"/>
                  </w:tcBorders>
                  <w:noWrap w:val="0"/>
                  <w:vAlign w:val="center"/>
                </w:tcPr>
                <w:p w14:paraId="3C14951E">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激光产业</w:t>
                  </w:r>
                </w:p>
              </w:tc>
              <w:tc>
                <w:tcPr>
                  <w:tcW w:w="1648" w:type="pct"/>
                  <w:vMerge w:val="continue"/>
                  <w:tcBorders>
                    <w:tl2br w:val="nil"/>
                    <w:tr2bl w:val="nil"/>
                  </w:tcBorders>
                  <w:noWrap w:val="0"/>
                  <w:vAlign w:val="center"/>
                </w:tcPr>
                <w:p w14:paraId="47D32A35">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r>
            <w:tr w14:paraId="6B6BBD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98" w:type="pct"/>
                  <w:vMerge w:val="continue"/>
                  <w:tcBorders>
                    <w:tl2br w:val="nil"/>
                    <w:tr2bl w:val="nil"/>
                  </w:tcBorders>
                  <w:noWrap w:val="0"/>
                  <w:vAlign w:val="center"/>
                </w:tcPr>
                <w:p w14:paraId="02DCF8FD">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c>
                <w:tcPr>
                  <w:tcW w:w="2252" w:type="pct"/>
                  <w:tcBorders>
                    <w:tl2br w:val="nil"/>
                    <w:tr2bl w:val="nil"/>
                  </w:tcBorders>
                  <w:noWrap w:val="0"/>
                  <w:vAlign w:val="center"/>
                </w:tcPr>
                <w:p w14:paraId="2A5B1007">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光学产业</w:t>
                  </w:r>
                </w:p>
              </w:tc>
              <w:tc>
                <w:tcPr>
                  <w:tcW w:w="1648" w:type="pct"/>
                  <w:vMerge w:val="continue"/>
                  <w:tcBorders>
                    <w:tl2br w:val="nil"/>
                    <w:tr2bl w:val="nil"/>
                  </w:tcBorders>
                  <w:noWrap w:val="0"/>
                  <w:vAlign w:val="center"/>
                </w:tcPr>
                <w:p w14:paraId="1E21C3AF">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r>
            <w:tr w14:paraId="6B912D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98" w:type="pct"/>
                  <w:vMerge w:val="restart"/>
                  <w:tcBorders>
                    <w:tl2br w:val="nil"/>
                    <w:tr2bl w:val="nil"/>
                  </w:tcBorders>
                  <w:noWrap w:val="0"/>
                  <w:vAlign w:val="center"/>
                </w:tcPr>
                <w:p w14:paraId="77E15F97">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通信产业</w:t>
                  </w:r>
                </w:p>
              </w:tc>
              <w:tc>
                <w:tcPr>
                  <w:tcW w:w="2252" w:type="pct"/>
                  <w:tcBorders>
                    <w:tl2br w:val="nil"/>
                    <w:tr2bl w:val="nil"/>
                  </w:tcBorders>
                  <w:noWrap w:val="0"/>
                  <w:vAlign w:val="center"/>
                </w:tcPr>
                <w:p w14:paraId="48DCF74C">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集成电路产业</w:t>
                  </w:r>
                </w:p>
              </w:tc>
              <w:tc>
                <w:tcPr>
                  <w:tcW w:w="1648" w:type="pct"/>
                  <w:vMerge w:val="continue"/>
                  <w:tcBorders>
                    <w:tl2br w:val="nil"/>
                    <w:tr2bl w:val="nil"/>
                  </w:tcBorders>
                  <w:noWrap w:val="0"/>
                  <w:vAlign w:val="center"/>
                </w:tcPr>
                <w:p w14:paraId="6F40B7CD">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r>
            <w:tr w14:paraId="42D63E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98" w:type="pct"/>
                  <w:vMerge w:val="continue"/>
                  <w:tcBorders>
                    <w:tl2br w:val="nil"/>
                    <w:tr2bl w:val="nil"/>
                  </w:tcBorders>
                  <w:noWrap w:val="0"/>
                  <w:vAlign w:val="center"/>
                </w:tcPr>
                <w:p w14:paraId="62853E42">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c>
                <w:tcPr>
                  <w:tcW w:w="2252" w:type="pct"/>
                  <w:tcBorders>
                    <w:tl2br w:val="nil"/>
                    <w:tr2bl w:val="nil"/>
                  </w:tcBorders>
                  <w:noWrap w:val="0"/>
                  <w:vAlign w:val="center"/>
                </w:tcPr>
                <w:p w14:paraId="4EB9D98F">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计算机及外围设备</w:t>
                  </w:r>
                </w:p>
              </w:tc>
              <w:tc>
                <w:tcPr>
                  <w:tcW w:w="1648" w:type="pct"/>
                  <w:vMerge w:val="continue"/>
                  <w:tcBorders>
                    <w:tl2br w:val="nil"/>
                    <w:tr2bl w:val="nil"/>
                  </w:tcBorders>
                  <w:noWrap w:val="0"/>
                  <w:vAlign w:val="center"/>
                </w:tcPr>
                <w:p w14:paraId="4A14A799">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r>
            <w:tr w14:paraId="2625A5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98" w:type="pct"/>
                  <w:vMerge w:val="continue"/>
                  <w:tcBorders>
                    <w:tl2br w:val="nil"/>
                    <w:tr2bl w:val="nil"/>
                  </w:tcBorders>
                  <w:noWrap w:val="0"/>
                  <w:vAlign w:val="center"/>
                </w:tcPr>
                <w:p w14:paraId="670EF219">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c>
                <w:tcPr>
                  <w:tcW w:w="2252" w:type="pct"/>
                  <w:tcBorders>
                    <w:tl2br w:val="nil"/>
                    <w:tr2bl w:val="nil"/>
                  </w:tcBorders>
                  <w:noWrap w:val="0"/>
                  <w:vAlign w:val="center"/>
                </w:tcPr>
                <w:p w14:paraId="43E2008A">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数字电子设备</w:t>
                  </w:r>
                </w:p>
              </w:tc>
              <w:tc>
                <w:tcPr>
                  <w:tcW w:w="1648" w:type="pct"/>
                  <w:vMerge w:val="continue"/>
                  <w:tcBorders>
                    <w:tl2br w:val="nil"/>
                    <w:tr2bl w:val="nil"/>
                  </w:tcBorders>
                  <w:noWrap w:val="0"/>
                  <w:vAlign w:val="center"/>
                </w:tcPr>
                <w:p w14:paraId="71892F0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r>
            <w:tr w14:paraId="40F913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98" w:type="pct"/>
                  <w:vMerge w:val="restart"/>
                  <w:tcBorders>
                    <w:tl2br w:val="nil"/>
                    <w:tr2bl w:val="nil"/>
                  </w:tcBorders>
                  <w:noWrap w:val="0"/>
                  <w:vAlign w:val="center"/>
                </w:tcPr>
                <w:p w14:paraId="0EE8DFEB">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智能型机械制造产业</w:t>
                  </w:r>
                </w:p>
              </w:tc>
              <w:tc>
                <w:tcPr>
                  <w:tcW w:w="2252" w:type="pct"/>
                  <w:tcBorders>
                    <w:tl2br w:val="nil"/>
                    <w:tr2bl w:val="nil"/>
                  </w:tcBorders>
                  <w:noWrap w:val="0"/>
                  <w:vAlign w:val="center"/>
                </w:tcPr>
                <w:p w14:paraId="790C4EA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智能电网成套设备及配套产业制造</w:t>
                  </w:r>
                </w:p>
              </w:tc>
              <w:tc>
                <w:tcPr>
                  <w:tcW w:w="1648" w:type="pct"/>
                  <w:vMerge w:val="restart"/>
                  <w:tcBorders>
                    <w:tl2br w:val="nil"/>
                    <w:tr2bl w:val="nil"/>
                  </w:tcBorders>
                  <w:noWrap w:val="0"/>
                  <w:vAlign w:val="center"/>
                </w:tcPr>
                <w:p w14:paraId="47600849">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推荐，建议园区形成产业配置适宜的机械制造产业集群</w:t>
                  </w:r>
                </w:p>
              </w:tc>
            </w:tr>
            <w:tr w14:paraId="047E0C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98" w:type="pct"/>
                  <w:vMerge w:val="continue"/>
                  <w:tcBorders>
                    <w:tl2br w:val="nil"/>
                    <w:tr2bl w:val="nil"/>
                  </w:tcBorders>
                  <w:noWrap w:val="0"/>
                  <w:vAlign w:val="center"/>
                </w:tcPr>
                <w:p w14:paraId="04379A17">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c>
                <w:tcPr>
                  <w:tcW w:w="2252" w:type="pct"/>
                  <w:tcBorders>
                    <w:tl2br w:val="nil"/>
                    <w:tr2bl w:val="nil"/>
                  </w:tcBorders>
                  <w:noWrap w:val="0"/>
                  <w:vAlign w:val="center"/>
                </w:tcPr>
                <w:p w14:paraId="2BD3B4FF">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智能化仪表仪器制造</w:t>
                  </w:r>
                </w:p>
              </w:tc>
              <w:tc>
                <w:tcPr>
                  <w:tcW w:w="1648" w:type="pct"/>
                  <w:vMerge w:val="continue"/>
                  <w:tcBorders>
                    <w:tl2br w:val="nil"/>
                    <w:tr2bl w:val="nil"/>
                  </w:tcBorders>
                  <w:noWrap w:val="0"/>
                  <w:vAlign w:val="center"/>
                </w:tcPr>
                <w:p w14:paraId="3037F3EC">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r>
            <w:tr w14:paraId="5EB5A8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98" w:type="pct"/>
                  <w:vMerge w:val="continue"/>
                  <w:tcBorders>
                    <w:tl2br w:val="nil"/>
                    <w:tr2bl w:val="nil"/>
                  </w:tcBorders>
                  <w:noWrap w:val="0"/>
                  <w:vAlign w:val="center"/>
                </w:tcPr>
                <w:p w14:paraId="30F0F2B4">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c>
                <w:tcPr>
                  <w:tcW w:w="2252" w:type="pct"/>
                  <w:tcBorders>
                    <w:tl2br w:val="nil"/>
                    <w:tr2bl w:val="nil"/>
                  </w:tcBorders>
                  <w:noWrap w:val="0"/>
                  <w:vAlign w:val="center"/>
                </w:tcPr>
                <w:p w14:paraId="5E3BC0F2">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数控机床产业</w:t>
                  </w:r>
                </w:p>
              </w:tc>
              <w:tc>
                <w:tcPr>
                  <w:tcW w:w="1648" w:type="pct"/>
                  <w:vMerge w:val="continue"/>
                  <w:tcBorders>
                    <w:tl2br w:val="nil"/>
                    <w:tr2bl w:val="nil"/>
                  </w:tcBorders>
                  <w:noWrap w:val="0"/>
                  <w:vAlign w:val="center"/>
                </w:tcPr>
                <w:p w14:paraId="41B5B231">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r>
            <w:tr w14:paraId="72959C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98" w:type="pct"/>
                  <w:vMerge w:val="continue"/>
                  <w:tcBorders>
                    <w:tl2br w:val="nil"/>
                    <w:tr2bl w:val="nil"/>
                  </w:tcBorders>
                  <w:noWrap w:val="0"/>
                  <w:vAlign w:val="center"/>
                </w:tcPr>
                <w:p w14:paraId="6394DD03">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c>
                <w:tcPr>
                  <w:tcW w:w="2252" w:type="pct"/>
                  <w:tcBorders>
                    <w:tl2br w:val="nil"/>
                    <w:tr2bl w:val="nil"/>
                  </w:tcBorders>
                  <w:noWrap w:val="0"/>
                  <w:vAlign w:val="center"/>
                </w:tcPr>
                <w:p w14:paraId="4078F8C9">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工程机械、轨道交通运输装备</w:t>
                  </w:r>
                </w:p>
              </w:tc>
              <w:tc>
                <w:tcPr>
                  <w:tcW w:w="1648" w:type="pct"/>
                  <w:vMerge w:val="continue"/>
                  <w:tcBorders>
                    <w:tl2br w:val="nil"/>
                    <w:tr2bl w:val="nil"/>
                  </w:tcBorders>
                  <w:noWrap w:val="0"/>
                  <w:vAlign w:val="center"/>
                </w:tcPr>
                <w:p w14:paraId="1BEF7EF2">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r>
            <w:tr w14:paraId="4A3017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98" w:type="pct"/>
                  <w:vMerge w:val="continue"/>
                  <w:tcBorders>
                    <w:tl2br w:val="nil"/>
                    <w:tr2bl w:val="nil"/>
                  </w:tcBorders>
                  <w:noWrap w:val="0"/>
                  <w:vAlign w:val="center"/>
                </w:tcPr>
                <w:p w14:paraId="6031D5D1">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c>
                <w:tcPr>
                  <w:tcW w:w="2252" w:type="pct"/>
                  <w:tcBorders>
                    <w:tl2br w:val="nil"/>
                    <w:tr2bl w:val="nil"/>
                  </w:tcBorders>
                  <w:noWrap w:val="0"/>
                  <w:vAlign w:val="center"/>
                </w:tcPr>
                <w:p w14:paraId="172A1204">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港口机械、环保及清洁能源装备</w:t>
                  </w:r>
                </w:p>
              </w:tc>
              <w:tc>
                <w:tcPr>
                  <w:tcW w:w="1648" w:type="pct"/>
                  <w:vMerge w:val="continue"/>
                  <w:tcBorders>
                    <w:tl2br w:val="nil"/>
                    <w:tr2bl w:val="nil"/>
                  </w:tcBorders>
                  <w:noWrap w:val="0"/>
                  <w:vAlign w:val="center"/>
                </w:tcPr>
                <w:p w14:paraId="128E4AC9">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r>
            <w:tr w14:paraId="4A4B6B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98" w:type="pct"/>
                  <w:vMerge w:val="continue"/>
                  <w:tcBorders>
                    <w:tl2br w:val="nil"/>
                    <w:tr2bl w:val="nil"/>
                  </w:tcBorders>
                  <w:noWrap w:val="0"/>
                  <w:vAlign w:val="center"/>
                </w:tcPr>
                <w:p w14:paraId="28966A7D">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c>
                <w:tcPr>
                  <w:tcW w:w="2252" w:type="pct"/>
                  <w:tcBorders>
                    <w:tl2br w:val="nil"/>
                    <w:tr2bl w:val="nil"/>
                  </w:tcBorders>
                  <w:noWrap w:val="0"/>
                  <w:vAlign w:val="center"/>
                </w:tcPr>
                <w:p w14:paraId="4734995F">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汽车和船舶零部件</w:t>
                  </w:r>
                </w:p>
              </w:tc>
              <w:tc>
                <w:tcPr>
                  <w:tcW w:w="1648" w:type="pct"/>
                  <w:vMerge w:val="continue"/>
                  <w:tcBorders>
                    <w:tl2br w:val="nil"/>
                    <w:tr2bl w:val="nil"/>
                  </w:tcBorders>
                  <w:noWrap w:val="0"/>
                  <w:vAlign w:val="center"/>
                </w:tcPr>
                <w:p w14:paraId="50B4BF46">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r>
            <w:tr w14:paraId="5AB6A0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98" w:type="pct"/>
                  <w:vMerge w:val="continue"/>
                  <w:tcBorders>
                    <w:tl2br w:val="nil"/>
                    <w:tr2bl w:val="nil"/>
                  </w:tcBorders>
                  <w:noWrap w:val="0"/>
                  <w:vAlign w:val="center"/>
                </w:tcPr>
                <w:p w14:paraId="22364FAE">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c>
                <w:tcPr>
                  <w:tcW w:w="2252" w:type="pct"/>
                  <w:tcBorders>
                    <w:tl2br w:val="nil"/>
                    <w:tr2bl w:val="nil"/>
                  </w:tcBorders>
                  <w:noWrap w:val="0"/>
                  <w:vAlign w:val="center"/>
                </w:tcPr>
                <w:p w14:paraId="3AA88453">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智能化测量及自动控制装备制造业</w:t>
                  </w:r>
                </w:p>
              </w:tc>
              <w:tc>
                <w:tcPr>
                  <w:tcW w:w="1648" w:type="pct"/>
                  <w:vMerge w:val="continue"/>
                  <w:tcBorders>
                    <w:tl2br w:val="nil"/>
                    <w:tr2bl w:val="nil"/>
                  </w:tcBorders>
                  <w:noWrap w:val="0"/>
                  <w:vAlign w:val="center"/>
                </w:tcPr>
                <w:p w14:paraId="38B3735D">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rPr>
                  </w:pPr>
                </w:p>
              </w:tc>
            </w:tr>
          </w:tbl>
          <w:p w14:paraId="34B76201">
            <w:pPr>
              <w:pStyle w:val="25"/>
              <w:bidi w:val="0"/>
              <w:rPr>
                <w:rFonts w:hint="eastAsia" w:ascii="Times New Roman" w:hAnsi="Times New Roman"/>
                <w:color w:val="auto"/>
                <w:lang w:val="en-US" w:eastAsia="zh-CN"/>
              </w:rPr>
            </w:pPr>
            <w:r>
              <w:rPr>
                <w:rFonts w:hint="eastAsia" w:ascii="Times New Roman" w:hAnsi="Times New Roman"/>
                <w:color w:val="auto"/>
                <w:lang w:val="en-US" w:eastAsia="zh-CN"/>
              </w:rPr>
              <w:t>本项目属于电子元件及电子专用材料制造，属于园区推荐产业，符合园区规划要求。</w:t>
            </w:r>
          </w:p>
          <w:p w14:paraId="540293B7">
            <w:pPr>
              <w:pStyle w:val="3"/>
              <w:bidi w:val="0"/>
              <w:rPr>
                <w:rFonts w:hint="eastAsia" w:ascii="Times New Roman" w:hAnsi="Times New Roman" w:eastAsia="宋体" w:cs="Times New Roman"/>
                <w:b/>
                <w:bCs/>
                <w:color w:val="auto"/>
                <w:kern w:val="2"/>
                <w:sz w:val="24"/>
                <w:szCs w:val="21"/>
                <w:highlight w:val="none"/>
                <w:lang w:val="en-US" w:eastAsia="zh-CN" w:bidi="ar-SA"/>
              </w:rPr>
            </w:pPr>
            <w:bookmarkStart w:id="8" w:name="_Toc32665"/>
            <w:r>
              <w:rPr>
                <w:rFonts w:hint="eastAsia" w:ascii="Times New Roman" w:hAnsi="Times New Roman" w:eastAsia="宋体" w:cs="Times New Roman"/>
                <w:b/>
                <w:bCs/>
                <w:color w:val="auto"/>
                <w:kern w:val="2"/>
                <w:sz w:val="24"/>
                <w:szCs w:val="21"/>
                <w:highlight w:val="none"/>
                <w:lang w:val="en-US" w:eastAsia="zh-CN" w:bidi="ar-SA"/>
              </w:rPr>
              <w:t>1.1.3 与《福州市生物医药和机电产业园规划环境影响跟踪评价报告书》符合性分析</w:t>
            </w:r>
            <w:bookmarkEnd w:id="8"/>
          </w:p>
          <w:p w14:paraId="7AB7B3C1">
            <w:pPr>
              <w:pStyle w:val="25"/>
              <w:bidi w:val="0"/>
              <w:rPr>
                <w:rFonts w:hint="eastAsia" w:ascii="Times New Roman" w:hAnsi="Times New Roman"/>
                <w:color w:val="auto"/>
                <w:lang w:val="en-US" w:eastAsia="zh-CN"/>
              </w:rPr>
            </w:pPr>
            <w:r>
              <w:rPr>
                <w:rFonts w:hint="eastAsia" w:ascii="Times New Roman" w:hAnsi="Times New Roman"/>
                <w:color w:val="auto"/>
                <w:lang w:val="en-US" w:eastAsia="zh-CN"/>
              </w:rPr>
              <w:t>根据《福州市生物医药和机电产业园规划环境影响跟踪评价报告书》，项目所在位置位于福州市生物医药和机电产业园规划空间范围内。</w:t>
            </w:r>
          </w:p>
          <w:p w14:paraId="52C3D89C">
            <w:pPr>
              <w:pStyle w:val="25"/>
              <w:bidi w:val="0"/>
              <w:rPr>
                <w:rFonts w:hint="default" w:ascii="Times New Roman" w:hAnsi="Times New Roman"/>
                <w:color w:val="auto"/>
                <w:lang w:val="en-US" w:eastAsia="zh-CN"/>
              </w:rPr>
            </w:pPr>
            <w:r>
              <w:rPr>
                <w:rFonts w:hint="default" w:ascii="Times New Roman" w:hAnsi="Times New Roman"/>
                <w:color w:val="auto"/>
                <w:lang w:val="en-US" w:eastAsia="zh-CN"/>
              </w:rPr>
              <w:t>产业定位：以发展一类、二类工业为主，光电子信息、机械、生物医药技术为园区的主导产业。</w:t>
            </w:r>
            <w:r>
              <w:rPr>
                <w:rFonts w:hint="eastAsia" w:ascii="Times New Roman" w:hAnsi="Times New Roman"/>
                <w:color w:val="auto"/>
                <w:lang w:val="en-US" w:eastAsia="zh-CN"/>
              </w:rPr>
              <w:t>本项目属于电子元件及电子专用材料制造，符合本跟踪评价报告书的产业定位。</w:t>
            </w:r>
          </w:p>
          <w:p w14:paraId="7BEB6C05">
            <w:pPr>
              <w:pStyle w:val="25"/>
              <w:bidi w:val="0"/>
              <w:rPr>
                <w:rFonts w:hint="default" w:ascii="Times New Roman" w:hAnsi="Times New Roman"/>
                <w:color w:val="auto"/>
                <w:lang w:val="en-US" w:eastAsia="zh-CN"/>
              </w:rPr>
            </w:pPr>
            <w:r>
              <w:rPr>
                <w:rFonts w:hint="default" w:ascii="Times New Roman" w:hAnsi="Times New Roman"/>
                <w:color w:val="auto"/>
                <w:lang w:val="en-US" w:eastAsia="zh-CN"/>
              </w:rPr>
              <w:t>产业布局：生物医药园主导产业为医药研发、中试、药剂制造、医疗器械制作等产业类型；包括基因工程药物、疫苗、诊断试剂、生物医药分析仪器、高端医药器械研发。机电产业园主导产业为科研型光电、通信产业、智能型机械制造产业等产业类型，包括光电产业（液晶、发光二极管显示屏、光电器件、激光产业、光学产业）；通信产业</w:t>
            </w:r>
            <w:r>
              <w:rPr>
                <w:rFonts w:hint="eastAsia" w:ascii="Times New Roman" w:hAnsi="Times New Roman"/>
                <w:color w:val="auto"/>
                <w:lang w:val="en-US" w:eastAsia="zh-CN"/>
              </w:rPr>
              <w:t>（</w:t>
            </w:r>
            <w:r>
              <w:rPr>
                <w:rFonts w:hint="default" w:ascii="Times New Roman" w:hAnsi="Times New Roman"/>
                <w:color w:val="auto"/>
                <w:lang w:val="en-US" w:eastAsia="zh-CN"/>
              </w:rPr>
              <w:t>集成电路产业\计算机及外围设备\数字电子设备</w:t>
            </w:r>
            <w:r>
              <w:rPr>
                <w:rFonts w:hint="eastAsia" w:ascii="Times New Roman" w:hAnsi="Times New Roman"/>
                <w:color w:val="auto"/>
                <w:lang w:val="en-US" w:eastAsia="zh-CN"/>
              </w:rPr>
              <w:t>）；</w:t>
            </w:r>
            <w:r>
              <w:rPr>
                <w:rFonts w:hint="default" w:ascii="Times New Roman" w:hAnsi="Times New Roman"/>
                <w:color w:val="auto"/>
                <w:lang w:val="en-US" w:eastAsia="zh-CN"/>
              </w:rPr>
              <w:t>智能型机械制造产业</w:t>
            </w:r>
            <w:r>
              <w:rPr>
                <w:rFonts w:hint="eastAsia" w:ascii="Times New Roman" w:hAnsi="Times New Roman"/>
                <w:color w:val="auto"/>
                <w:lang w:val="en-US" w:eastAsia="zh-CN"/>
              </w:rPr>
              <w:t>（</w:t>
            </w:r>
            <w:r>
              <w:rPr>
                <w:rFonts w:hint="default" w:ascii="Times New Roman" w:hAnsi="Times New Roman"/>
                <w:color w:val="auto"/>
                <w:lang w:val="en-US" w:eastAsia="zh-CN"/>
              </w:rPr>
              <w:t>智能电网成套设备及配套产业制造\智能化仪表仪器制造\数控机床产业\工程机械、轨道交通运输装备\港口机械、环保及清洁能源装备\汽车和船舶零部件\智能化测量及自动控制装备制造业</w:t>
            </w:r>
            <w:r>
              <w:rPr>
                <w:rFonts w:hint="eastAsia" w:ascii="Times New Roman" w:hAnsi="Times New Roman"/>
                <w:color w:val="auto"/>
                <w:lang w:val="en-US" w:eastAsia="zh-CN"/>
              </w:rPr>
              <w:t>）。本项目属于光电产业，符合本跟踪评价报告书的产业布局。（详见附图七）。</w:t>
            </w:r>
          </w:p>
        </w:tc>
      </w:tr>
      <w:tr w14:paraId="57FC6B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950" w:type="dxa"/>
            <w:noWrap w:val="0"/>
            <w:vAlign w:val="center"/>
          </w:tcPr>
          <w:p w14:paraId="3A5D2B56">
            <w:pPr>
              <w:autoSpaceDE w:val="0"/>
              <w:autoSpaceDN w:val="0"/>
              <w:adjustRightInd w:val="0"/>
              <w:snapToGrid w:val="0"/>
              <w:jc w:val="center"/>
              <w:rPr>
                <w:rFonts w:hint="eastAsia" w:ascii="Times New Roman" w:hAnsi="Times New Roman" w:cs="宋体"/>
                <w:color w:val="auto"/>
                <w:kern w:val="0"/>
                <w:szCs w:val="21"/>
              </w:rPr>
            </w:pPr>
            <w:r>
              <w:rPr>
                <w:rFonts w:hint="eastAsia" w:ascii="Times New Roman" w:hAnsi="Times New Roman" w:cs="宋体"/>
                <w:color w:val="auto"/>
                <w:kern w:val="0"/>
                <w:szCs w:val="21"/>
              </w:rPr>
              <w:t>其他符合性分析</w:t>
            </w:r>
          </w:p>
        </w:tc>
        <w:tc>
          <w:tcPr>
            <w:tcW w:w="7920" w:type="dxa"/>
            <w:gridSpan w:val="3"/>
            <w:noWrap w:val="0"/>
            <w:vAlign w:val="center"/>
          </w:tcPr>
          <w:p w14:paraId="01B329E1">
            <w:pPr>
              <w:pStyle w:val="3"/>
              <w:bidi w:val="0"/>
              <w:rPr>
                <w:rFonts w:hint="eastAsia" w:ascii="Times New Roman" w:hAnsi="Times New Roman" w:eastAsia="宋体" w:cs="Times New Roman"/>
                <w:b/>
                <w:bCs/>
                <w:color w:val="auto"/>
                <w:kern w:val="2"/>
                <w:sz w:val="28"/>
                <w:szCs w:val="30"/>
                <w:highlight w:val="none"/>
                <w:lang w:val="en-US" w:eastAsia="zh-CN" w:bidi="ar-SA"/>
              </w:rPr>
            </w:pPr>
            <w:bookmarkStart w:id="9" w:name="_Toc18327"/>
            <w:r>
              <w:rPr>
                <w:rFonts w:hint="eastAsia" w:ascii="Times New Roman" w:hAnsi="Times New Roman" w:eastAsia="宋体" w:cs="Times New Roman"/>
                <w:b/>
                <w:bCs/>
                <w:color w:val="auto"/>
                <w:kern w:val="2"/>
                <w:sz w:val="28"/>
                <w:szCs w:val="30"/>
                <w:highlight w:val="none"/>
                <w:lang w:val="en-US" w:eastAsia="zh-CN" w:bidi="ar-SA"/>
              </w:rPr>
              <w:t>1.2产业政策适宜性分析</w:t>
            </w:r>
            <w:bookmarkEnd w:id="9"/>
          </w:p>
          <w:p w14:paraId="3D269CE6">
            <w:pPr>
              <w:pStyle w:val="25"/>
              <w:bidi w:val="0"/>
              <w:rPr>
                <w:rFonts w:hint="default" w:ascii="Times New Roman" w:hAnsi="Times New Roman"/>
                <w:color w:val="auto"/>
                <w:lang w:val="en-US" w:eastAsia="zh-CN"/>
              </w:rPr>
            </w:pPr>
            <w:r>
              <w:rPr>
                <w:rFonts w:hint="default" w:ascii="Times New Roman" w:hAnsi="Times New Roman"/>
                <w:color w:val="auto"/>
                <w:lang w:val="en-US" w:eastAsia="zh-CN"/>
              </w:rPr>
              <w:t>根据《产业结构调整指导目录（</w:t>
            </w:r>
            <w:r>
              <w:rPr>
                <w:rFonts w:hint="eastAsia" w:ascii="Times New Roman" w:hAnsi="Times New Roman"/>
                <w:color w:val="auto"/>
                <w:lang w:val="en-US" w:eastAsia="zh-CN"/>
              </w:rPr>
              <w:t>2024</w:t>
            </w:r>
            <w:r>
              <w:rPr>
                <w:rFonts w:hint="default" w:ascii="Times New Roman" w:hAnsi="Times New Roman"/>
                <w:color w:val="auto"/>
                <w:lang w:val="en-US" w:eastAsia="zh-CN"/>
              </w:rPr>
              <w:t>年本）》，本项目产品、生产工艺及设备均不属于产业政策中的限制和</w:t>
            </w:r>
            <w:r>
              <w:rPr>
                <w:rFonts w:hint="eastAsia" w:ascii="Times New Roman" w:hAnsi="Times New Roman"/>
                <w:color w:val="auto"/>
                <w:lang w:val="en-US" w:eastAsia="zh-CN"/>
              </w:rPr>
              <w:t>淘汰</w:t>
            </w:r>
            <w:r>
              <w:rPr>
                <w:rFonts w:hint="default" w:ascii="Times New Roman" w:hAnsi="Times New Roman"/>
                <w:color w:val="auto"/>
                <w:lang w:val="en-US" w:eastAsia="zh-CN"/>
              </w:rPr>
              <w:t>类，符合国家产业政策。同时项目已经取得</w:t>
            </w:r>
            <w:r>
              <w:rPr>
                <w:rFonts w:hint="eastAsia" w:ascii="Times New Roman" w:hAnsi="Times New Roman"/>
                <w:color w:val="auto"/>
                <w:lang w:val="en-US" w:eastAsia="zh-CN"/>
              </w:rPr>
              <w:t>闽侯县工业和信息化局</w:t>
            </w:r>
            <w:r>
              <w:rPr>
                <w:rFonts w:hint="default" w:ascii="Times New Roman" w:hAnsi="Times New Roman"/>
                <w:color w:val="auto"/>
                <w:lang w:val="en-US" w:eastAsia="zh-CN"/>
              </w:rPr>
              <w:t>的备案，备案号为闽发改备(</w:t>
            </w:r>
            <w:r>
              <w:rPr>
                <w:rFonts w:hint="eastAsia"/>
                <w:color w:val="auto"/>
                <w:lang w:val="en-US" w:eastAsia="zh-CN"/>
              </w:rPr>
              <w:t>〔2026〕</w:t>
            </w:r>
            <w:r>
              <w:rPr>
                <w:rFonts w:hint="default" w:ascii="Times New Roman" w:hAnsi="Times New Roman"/>
                <w:color w:val="auto"/>
                <w:lang w:val="en-US" w:eastAsia="zh-CN"/>
              </w:rPr>
              <w:t>A080659号，本项目符合国家产业政策。</w:t>
            </w:r>
          </w:p>
          <w:p w14:paraId="57F45E8D">
            <w:pPr>
              <w:pStyle w:val="3"/>
              <w:bidi w:val="0"/>
              <w:rPr>
                <w:rFonts w:hint="eastAsia" w:ascii="Times New Roman" w:hAnsi="Times New Roman" w:eastAsia="宋体" w:cs="Times New Roman"/>
                <w:b/>
                <w:bCs/>
                <w:color w:val="auto"/>
                <w:kern w:val="2"/>
                <w:sz w:val="28"/>
                <w:szCs w:val="30"/>
                <w:highlight w:val="none"/>
                <w:lang w:val="en-US" w:eastAsia="zh-CN" w:bidi="ar-SA"/>
              </w:rPr>
            </w:pPr>
            <w:bookmarkStart w:id="10" w:name="_Toc13238"/>
            <w:r>
              <w:rPr>
                <w:rFonts w:hint="eastAsia" w:ascii="Times New Roman" w:hAnsi="Times New Roman" w:eastAsia="宋体" w:cs="Times New Roman"/>
                <w:b/>
                <w:bCs/>
                <w:color w:val="auto"/>
                <w:kern w:val="2"/>
                <w:sz w:val="28"/>
                <w:szCs w:val="30"/>
                <w:highlight w:val="none"/>
                <w:lang w:val="en-US" w:eastAsia="zh-CN" w:bidi="ar-SA"/>
              </w:rPr>
              <w:t>1.3项目用地规划合理性分析</w:t>
            </w:r>
            <w:bookmarkEnd w:id="10"/>
          </w:p>
          <w:p w14:paraId="72F67760">
            <w:pPr>
              <w:pStyle w:val="25"/>
              <w:bidi w:val="0"/>
              <w:rPr>
                <w:rFonts w:hint="default" w:ascii="Times New Roman" w:hAnsi="Times New Roman"/>
                <w:color w:val="auto"/>
                <w:lang w:val="en-US" w:eastAsia="zh-CN"/>
              </w:rPr>
            </w:pPr>
            <w:r>
              <w:rPr>
                <w:rFonts w:hint="eastAsia" w:ascii="Times New Roman" w:hAnsi="Times New Roman"/>
                <w:color w:val="auto"/>
                <w:lang w:val="en-US" w:eastAsia="zh-CN"/>
              </w:rPr>
              <w:t>本项目位于福建省闽侯县南屿镇窗厦村新南大道176号第三代半导体数字产业园</w:t>
            </w:r>
            <w:r>
              <w:rPr>
                <w:rFonts w:hint="eastAsia"/>
                <w:color w:val="auto"/>
                <w:lang w:val="en-US" w:eastAsia="zh-CN"/>
              </w:rPr>
              <w:t>（</w:t>
            </w:r>
            <w:r>
              <w:rPr>
                <w:rFonts w:hint="eastAsia" w:ascii="Times New Roman" w:hAnsi="Times New Roman"/>
                <w:color w:val="auto"/>
                <w:lang w:val="en-US" w:eastAsia="zh-CN"/>
              </w:rPr>
              <w:t>二期</w:t>
            </w:r>
            <w:r>
              <w:rPr>
                <w:rFonts w:hint="eastAsia"/>
                <w:color w:val="auto"/>
                <w:lang w:val="en-US" w:eastAsia="zh-CN"/>
              </w:rPr>
              <w:t>）</w:t>
            </w:r>
            <w:r>
              <w:rPr>
                <w:rFonts w:hint="eastAsia" w:ascii="Times New Roman" w:hAnsi="Times New Roman"/>
                <w:color w:val="auto"/>
                <w:lang w:val="en-US" w:eastAsia="zh-CN"/>
              </w:rPr>
              <w:t>4号楼5层、6层、7层，项目为福州晶至光电科技有限公司租赁福州新南建设开发有限公司的厂房，该地为福州新南建设开发有限公司单独所有，福州新南建设开发有限公司以出让方式取得的国有建设用地使用权。该地块不动产权证号为：闽（2020）闽侯县（G）不动产权第0000962号，土地用途为工矿仓储用地－工业用地（计算机、通信和其他电子设备制造业）（详见附件），因此本项目符合用地规划。</w:t>
            </w:r>
          </w:p>
          <w:p w14:paraId="68B72E6C">
            <w:pPr>
              <w:pStyle w:val="3"/>
              <w:bidi w:val="0"/>
              <w:rPr>
                <w:rFonts w:hint="eastAsia" w:ascii="Times New Roman" w:hAnsi="Times New Roman" w:eastAsia="宋体" w:cs="Times New Roman"/>
                <w:b/>
                <w:bCs/>
                <w:color w:val="auto"/>
                <w:kern w:val="2"/>
                <w:sz w:val="28"/>
                <w:szCs w:val="30"/>
                <w:highlight w:val="none"/>
                <w:lang w:val="en-US" w:eastAsia="zh-CN" w:bidi="ar-SA"/>
              </w:rPr>
            </w:pPr>
            <w:bookmarkStart w:id="11" w:name="_Toc4802"/>
            <w:r>
              <w:rPr>
                <w:rFonts w:hint="eastAsia" w:ascii="Times New Roman" w:hAnsi="Times New Roman" w:eastAsia="宋体" w:cs="Times New Roman"/>
                <w:b/>
                <w:bCs/>
                <w:color w:val="auto"/>
                <w:kern w:val="2"/>
                <w:sz w:val="28"/>
                <w:szCs w:val="30"/>
                <w:highlight w:val="none"/>
                <w:lang w:val="en-US" w:eastAsia="zh-CN" w:bidi="ar-SA"/>
              </w:rPr>
              <w:t>1.4项目周边相容性符合性分析</w:t>
            </w:r>
            <w:bookmarkEnd w:id="11"/>
          </w:p>
          <w:p w14:paraId="16568DD7">
            <w:pPr>
              <w:pStyle w:val="25"/>
              <w:bidi w:val="0"/>
              <w:rPr>
                <w:rFonts w:hint="eastAsia" w:ascii="Times New Roman" w:hAnsi="Times New Roman"/>
                <w:color w:val="auto"/>
                <w:lang w:val="en-US" w:eastAsia="zh-CN"/>
              </w:rPr>
            </w:pPr>
            <w:r>
              <w:rPr>
                <w:rFonts w:hint="default" w:ascii="Times New Roman" w:hAnsi="Times New Roman"/>
                <w:color w:val="auto"/>
                <w:lang w:val="en-US" w:eastAsia="zh-CN"/>
              </w:rPr>
              <w:t>本项目位于</w:t>
            </w:r>
            <w:r>
              <w:rPr>
                <w:rFonts w:hint="eastAsia" w:ascii="Times New Roman" w:hAnsi="Times New Roman"/>
                <w:color w:val="auto"/>
                <w:lang w:val="en-US" w:eastAsia="zh-CN"/>
              </w:rPr>
              <w:t>福建省闽侯县南屿镇窗厦村新南大道176号第三代半导体数字产业园</w:t>
            </w:r>
            <w:r>
              <w:rPr>
                <w:rFonts w:hint="eastAsia"/>
                <w:color w:val="auto"/>
                <w:lang w:val="en-US" w:eastAsia="zh-CN"/>
              </w:rPr>
              <w:t>（</w:t>
            </w:r>
            <w:r>
              <w:rPr>
                <w:rFonts w:hint="eastAsia" w:ascii="Times New Roman" w:hAnsi="Times New Roman"/>
                <w:color w:val="auto"/>
                <w:lang w:val="en-US" w:eastAsia="zh-CN"/>
              </w:rPr>
              <w:t>二期</w:t>
            </w:r>
            <w:r>
              <w:rPr>
                <w:rFonts w:hint="eastAsia"/>
                <w:color w:val="auto"/>
                <w:lang w:val="en-US" w:eastAsia="zh-CN"/>
              </w:rPr>
              <w:t>）</w:t>
            </w:r>
            <w:r>
              <w:rPr>
                <w:rFonts w:hint="eastAsia" w:ascii="Times New Roman" w:hAnsi="Times New Roman"/>
                <w:color w:val="auto"/>
                <w:lang w:val="en-US" w:eastAsia="zh-CN"/>
              </w:rPr>
              <w:t>4号楼5层、6层、7层</w:t>
            </w:r>
            <w:r>
              <w:rPr>
                <w:rFonts w:hint="default" w:ascii="Times New Roman" w:hAnsi="Times New Roman"/>
                <w:color w:val="auto"/>
                <w:lang w:val="en-US" w:eastAsia="zh-CN"/>
              </w:rPr>
              <w:t>，</w:t>
            </w:r>
            <w:r>
              <w:rPr>
                <w:rFonts w:hint="eastAsia" w:ascii="Times New Roman" w:hAnsi="Times New Roman"/>
                <w:color w:val="auto"/>
                <w:lang w:val="en-US" w:eastAsia="zh-CN"/>
              </w:rPr>
              <w:t>项目四周均为正在建设的企业，项目运营过程中对周边敏感目标影响较小，建设单位在落实本报告提出的各项环保措施的基础上，对周围环境的影响可以控制在允许范围内。因此本项目与周边环境相容。</w:t>
            </w:r>
          </w:p>
          <w:p w14:paraId="68F0250E">
            <w:pPr>
              <w:pStyle w:val="3"/>
              <w:bidi w:val="0"/>
              <w:rPr>
                <w:rFonts w:hint="eastAsia" w:ascii="Times New Roman" w:hAnsi="Times New Roman" w:eastAsia="宋体" w:cs="Times New Roman"/>
                <w:b/>
                <w:bCs/>
                <w:color w:val="auto"/>
                <w:kern w:val="2"/>
                <w:sz w:val="28"/>
                <w:szCs w:val="30"/>
                <w:highlight w:val="none"/>
                <w:lang w:val="en-US" w:eastAsia="zh-CN" w:bidi="ar-SA"/>
              </w:rPr>
            </w:pPr>
            <w:bookmarkStart w:id="12" w:name="_Toc31830"/>
            <w:r>
              <w:rPr>
                <w:rFonts w:hint="eastAsia" w:ascii="Times New Roman" w:hAnsi="Times New Roman" w:eastAsia="宋体" w:cs="Times New Roman"/>
                <w:b/>
                <w:bCs/>
                <w:color w:val="auto"/>
                <w:kern w:val="2"/>
                <w:sz w:val="28"/>
                <w:szCs w:val="30"/>
                <w:highlight w:val="none"/>
                <w:lang w:val="en-US" w:eastAsia="zh-CN" w:bidi="ar-SA"/>
              </w:rPr>
              <w:t>1.5与福州市生态环境分区管控的要求符合性分析</w:t>
            </w:r>
            <w:bookmarkEnd w:id="12"/>
          </w:p>
          <w:p w14:paraId="6B22D7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根据</w:t>
            </w:r>
            <w:r>
              <w:rPr>
                <w:rFonts w:hint="eastAsia" w:ascii="Times New Roman" w:hAnsi="Times New Roman" w:eastAsia="宋体" w:cs="Times New Roman"/>
                <w:color w:val="auto"/>
                <w:kern w:val="0"/>
                <w:sz w:val="24"/>
                <w:szCs w:val="21"/>
                <w:highlight w:val="none"/>
                <w:lang w:val="en-US" w:eastAsia="zh-CN" w:bidi="ar-SA"/>
              </w:rPr>
              <w:t>《福州市生态环境局关于发布福州市2024年生态环境分区管控动态更新成果的通知》（榕环保综〔2025〕1号）</w:t>
            </w:r>
            <w:r>
              <w:rPr>
                <w:rFonts w:hint="default" w:ascii="Times New Roman" w:hAnsi="Times New Roman" w:eastAsia="宋体" w:cs="Times New Roman"/>
                <w:color w:val="auto"/>
                <w:kern w:val="0"/>
                <w:sz w:val="24"/>
                <w:szCs w:val="21"/>
                <w:highlight w:val="none"/>
                <w:lang w:val="en-US" w:eastAsia="zh-CN" w:bidi="ar-SA"/>
              </w:rPr>
              <w:t>相关内容，项目</w:t>
            </w:r>
            <w:r>
              <w:rPr>
                <w:rFonts w:hint="eastAsia" w:ascii="Times New Roman" w:hAnsi="Times New Roman" w:eastAsia="宋体" w:cs="Times New Roman"/>
                <w:color w:val="auto"/>
                <w:kern w:val="0"/>
                <w:sz w:val="24"/>
                <w:szCs w:val="21"/>
                <w:highlight w:val="none"/>
                <w:lang w:val="en-US" w:eastAsia="zh-CN" w:bidi="ar-SA"/>
              </w:rPr>
              <w:t>与福州市生态环境分区管控的要求符合性分析</w:t>
            </w:r>
            <w:r>
              <w:rPr>
                <w:rFonts w:hint="default" w:ascii="Times New Roman" w:hAnsi="Times New Roman" w:eastAsia="宋体" w:cs="Times New Roman"/>
                <w:color w:val="auto"/>
                <w:kern w:val="0"/>
                <w:sz w:val="24"/>
                <w:szCs w:val="21"/>
                <w:highlight w:val="none"/>
                <w:lang w:val="en-US" w:eastAsia="zh-CN" w:bidi="ar-SA"/>
              </w:rPr>
              <w:t>如下：</w:t>
            </w:r>
          </w:p>
          <w:p w14:paraId="5BBC9D7D">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eastAsia="宋体"/>
                <w:b w:val="0"/>
                <w:bCs w:val="0"/>
                <w:iCs w:val="0"/>
                <w:color w:val="auto"/>
                <w:sz w:val="24"/>
                <w:szCs w:val="24"/>
              </w:rPr>
            </w:pPr>
            <w:r>
              <w:rPr>
                <w:rFonts w:hint="eastAsia" w:ascii="Times New Roman" w:hAnsi="Times New Roman" w:eastAsia="宋体"/>
                <w:b w:val="0"/>
                <w:bCs w:val="0"/>
                <w:iCs w:val="0"/>
                <w:color w:val="auto"/>
                <w:sz w:val="24"/>
                <w:szCs w:val="24"/>
              </w:rPr>
              <w:t>（1）与</w:t>
            </w:r>
            <w:r>
              <w:rPr>
                <w:rFonts w:ascii="Times New Roman" w:hAnsi="Times New Roman" w:eastAsia="宋体"/>
                <w:b w:val="0"/>
                <w:bCs w:val="0"/>
                <w:iCs w:val="0"/>
                <w:color w:val="auto"/>
                <w:sz w:val="24"/>
                <w:szCs w:val="24"/>
              </w:rPr>
              <w:t>生态保护红线</w:t>
            </w:r>
            <w:r>
              <w:rPr>
                <w:rFonts w:hint="eastAsia" w:ascii="Times New Roman" w:hAnsi="Times New Roman" w:eastAsia="宋体"/>
                <w:b w:val="0"/>
                <w:bCs w:val="0"/>
                <w:iCs w:val="0"/>
                <w:color w:val="auto"/>
                <w:sz w:val="24"/>
                <w:szCs w:val="24"/>
              </w:rPr>
              <w:t>的符合性分析</w:t>
            </w:r>
          </w:p>
          <w:p w14:paraId="6CC96236">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eastAsia="宋体"/>
                <w:b w:val="0"/>
                <w:bCs w:val="0"/>
                <w:iCs w:val="0"/>
                <w:color w:val="auto"/>
                <w:sz w:val="24"/>
                <w:szCs w:val="24"/>
              </w:rPr>
            </w:pPr>
            <w:r>
              <w:rPr>
                <w:rFonts w:ascii="Times New Roman" w:hAnsi="Times New Roman" w:eastAsia="宋体"/>
                <w:b w:val="0"/>
                <w:bCs w:val="0"/>
                <w:iCs w:val="0"/>
                <w:color w:val="auto"/>
                <w:sz w:val="24"/>
                <w:szCs w:val="24"/>
              </w:rPr>
              <w:t>完整利用福建省</w:t>
            </w:r>
            <w:r>
              <w:rPr>
                <w:rFonts w:hint="eastAsia" w:ascii="Times New Roman" w:hAnsi="Times New Roman" w:eastAsia="宋体"/>
                <w:b w:val="0"/>
                <w:bCs w:val="0"/>
                <w:iCs w:val="0"/>
                <w:color w:val="auto"/>
                <w:sz w:val="24"/>
                <w:szCs w:val="24"/>
                <w:lang w:eastAsia="zh-CN"/>
              </w:rPr>
              <w:t>“</w:t>
            </w:r>
            <w:r>
              <w:rPr>
                <w:rFonts w:ascii="Times New Roman" w:hAnsi="Times New Roman" w:eastAsia="宋体"/>
                <w:b w:val="0"/>
                <w:bCs w:val="0"/>
                <w:iCs w:val="0"/>
                <w:color w:val="auto"/>
                <w:sz w:val="24"/>
                <w:szCs w:val="24"/>
              </w:rPr>
              <w:t>三区三线</w:t>
            </w:r>
            <w:r>
              <w:rPr>
                <w:rFonts w:hint="eastAsia" w:ascii="Times New Roman" w:hAnsi="Times New Roman" w:eastAsia="宋体"/>
                <w:b w:val="0"/>
                <w:bCs w:val="0"/>
                <w:iCs w:val="0"/>
                <w:color w:val="auto"/>
                <w:sz w:val="24"/>
                <w:szCs w:val="24"/>
                <w:lang w:eastAsia="zh-CN"/>
              </w:rPr>
              <w:t>”</w:t>
            </w:r>
            <w:r>
              <w:rPr>
                <w:rFonts w:ascii="Times New Roman" w:hAnsi="Times New Roman" w:eastAsia="宋体"/>
                <w:b w:val="0"/>
                <w:bCs w:val="0"/>
                <w:iCs w:val="0"/>
                <w:color w:val="auto"/>
                <w:sz w:val="24"/>
                <w:szCs w:val="24"/>
              </w:rPr>
              <w:t>生态保护红线划定成果，福州市生态保护红线划定面积为</w:t>
            </w:r>
            <w:r>
              <w:rPr>
                <w:rFonts w:hint="eastAsia" w:ascii="Times New Roman" w:hAnsi="Times New Roman" w:eastAsia="宋体"/>
                <w:b w:val="0"/>
                <w:bCs w:val="0"/>
                <w:iCs w:val="0"/>
                <w:color w:val="auto"/>
                <w:sz w:val="24"/>
                <w:szCs w:val="24"/>
                <w:lang w:eastAsia="zh-CN"/>
              </w:rPr>
              <w:t>50</w:t>
            </w:r>
            <w:r>
              <w:rPr>
                <w:rFonts w:ascii="Times New Roman" w:hAnsi="Times New Roman" w:eastAsia="宋体"/>
                <w:b w:val="0"/>
                <w:bCs w:val="0"/>
                <w:iCs w:val="0"/>
                <w:color w:val="auto"/>
                <w:sz w:val="24"/>
                <w:szCs w:val="24"/>
              </w:rPr>
              <w:t>82.05平方千米，其中陆域面积为2410.32平方千米，海域面积为2671.73平方千米。生态保护红线最终面积以省政府发布结果为准。</w:t>
            </w:r>
          </w:p>
          <w:p w14:paraId="60AADD4E">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ascii="Times New Roman" w:hAnsi="Times New Roman" w:eastAsia="宋体"/>
                <w:b w:val="0"/>
                <w:bCs w:val="0"/>
                <w:iCs w:val="0"/>
                <w:color w:val="auto"/>
                <w:kern w:val="0"/>
                <w:sz w:val="24"/>
                <w:szCs w:val="24"/>
              </w:rPr>
            </w:pPr>
            <w:r>
              <w:rPr>
                <w:rFonts w:ascii="Times New Roman" w:hAnsi="Times New Roman" w:eastAsia="宋体"/>
                <w:b w:val="0"/>
                <w:bCs w:val="0"/>
                <w:iCs w:val="0"/>
                <w:color w:val="auto"/>
                <w:kern w:val="0"/>
                <w:sz w:val="24"/>
                <w:szCs w:val="24"/>
              </w:rPr>
              <w:t>项目</w:t>
            </w:r>
            <w:r>
              <w:rPr>
                <w:rFonts w:hint="eastAsia" w:ascii="Times New Roman" w:hAnsi="Times New Roman" w:eastAsia="宋体"/>
                <w:b w:val="0"/>
                <w:bCs w:val="0"/>
                <w:iCs w:val="0"/>
                <w:color w:val="auto"/>
                <w:kern w:val="0"/>
                <w:sz w:val="24"/>
                <w:szCs w:val="24"/>
              </w:rPr>
              <w:t>位</w:t>
            </w:r>
            <w:r>
              <w:rPr>
                <w:rFonts w:hint="eastAsia" w:ascii="Times New Roman" w:hAnsi="Times New Roman" w:eastAsia="宋体" w:cs="Times New Roman"/>
                <w:b w:val="0"/>
                <w:bCs w:val="0"/>
                <w:iCs w:val="0"/>
                <w:color w:val="auto"/>
                <w:kern w:val="0"/>
                <w:sz w:val="24"/>
                <w:szCs w:val="24"/>
              </w:rPr>
              <w:t>于</w:t>
            </w:r>
            <w:r>
              <w:rPr>
                <w:rFonts w:hint="eastAsia" w:ascii="Times New Roman" w:hAnsi="Times New Roman" w:eastAsia="宋体" w:cs="Times New Roman"/>
                <w:b w:val="0"/>
                <w:bCs w:val="0"/>
                <w:iCs w:val="0"/>
                <w:color w:val="auto"/>
                <w:kern w:val="0"/>
                <w:sz w:val="24"/>
                <w:szCs w:val="24"/>
                <w:lang w:val="en-US" w:eastAsia="zh-CN"/>
              </w:rPr>
              <w:t>福建省闽侯县南屿镇窗厦村新南大道176号第三代半导体数字产业园</w:t>
            </w:r>
            <w:r>
              <w:rPr>
                <w:rFonts w:hint="eastAsia" w:cs="Times New Roman"/>
                <w:b w:val="0"/>
                <w:bCs w:val="0"/>
                <w:iCs w:val="0"/>
                <w:color w:val="auto"/>
                <w:kern w:val="0"/>
                <w:sz w:val="24"/>
                <w:szCs w:val="24"/>
                <w:lang w:val="en-US" w:eastAsia="zh-CN"/>
              </w:rPr>
              <w:t>（</w:t>
            </w:r>
            <w:r>
              <w:rPr>
                <w:rFonts w:hint="eastAsia" w:ascii="Times New Roman" w:hAnsi="Times New Roman" w:eastAsia="宋体" w:cs="Times New Roman"/>
                <w:b w:val="0"/>
                <w:bCs w:val="0"/>
                <w:iCs w:val="0"/>
                <w:color w:val="auto"/>
                <w:kern w:val="0"/>
                <w:sz w:val="24"/>
                <w:szCs w:val="24"/>
                <w:lang w:val="en-US" w:eastAsia="zh-CN"/>
              </w:rPr>
              <w:t>二期</w:t>
            </w:r>
            <w:r>
              <w:rPr>
                <w:rFonts w:hint="eastAsia" w:cs="Times New Roman"/>
                <w:b w:val="0"/>
                <w:bCs w:val="0"/>
                <w:iCs w:val="0"/>
                <w:color w:val="auto"/>
                <w:kern w:val="0"/>
                <w:sz w:val="24"/>
                <w:szCs w:val="24"/>
                <w:lang w:val="en-US" w:eastAsia="zh-CN"/>
              </w:rPr>
              <w:t>）</w:t>
            </w:r>
            <w:r>
              <w:rPr>
                <w:rFonts w:hint="eastAsia" w:ascii="Times New Roman" w:hAnsi="Times New Roman" w:eastAsia="宋体" w:cs="Times New Roman"/>
                <w:b w:val="0"/>
                <w:bCs w:val="0"/>
                <w:iCs w:val="0"/>
                <w:color w:val="auto"/>
                <w:kern w:val="0"/>
                <w:sz w:val="24"/>
                <w:szCs w:val="24"/>
                <w:lang w:val="en-US" w:eastAsia="zh-CN"/>
              </w:rPr>
              <w:t>4号楼5层、6层、7层</w:t>
            </w:r>
            <w:r>
              <w:rPr>
                <w:rFonts w:hint="eastAsia" w:ascii="Times New Roman" w:hAnsi="Times New Roman" w:eastAsia="宋体" w:cs="Times New Roman"/>
                <w:b w:val="0"/>
                <w:bCs w:val="0"/>
                <w:iCs w:val="0"/>
                <w:color w:val="auto"/>
                <w:kern w:val="0"/>
                <w:sz w:val="24"/>
                <w:szCs w:val="24"/>
              </w:rPr>
              <w:t>，所在区域属</w:t>
            </w:r>
            <w:r>
              <w:rPr>
                <w:rFonts w:ascii="Times New Roman" w:hAnsi="Times New Roman" w:eastAsia="宋体"/>
                <w:b w:val="0"/>
                <w:bCs w:val="0"/>
                <w:iCs w:val="0"/>
                <w:color w:val="auto"/>
                <w:kern w:val="0"/>
                <w:sz w:val="24"/>
                <w:szCs w:val="24"/>
              </w:rPr>
              <w:t>于</w:t>
            </w:r>
            <w:r>
              <w:rPr>
                <w:rFonts w:hint="eastAsia" w:ascii="Times New Roman" w:hAnsi="Times New Roman" w:eastAsia="宋体"/>
                <w:b w:val="0"/>
                <w:bCs w:val="0"/>
                <w:iCs w:val="0"/>
                <w:color w:val="auto"/>
                <w:kern w:val="0"/>
                <w:sz w:val="24"/>
                <w:szCs w:val="24"/>
              </w:rPr>
              <w:t>工业</w:t>
            </w:r>
            <w:r>
              <w:rPr>
                <w:rFonts w:ascii="Times New Roman" w:hAnsi="Times New Roman" w:eastAsia="宋体"/>
                <w:b w:val="0"/>
                <w:bCs w:val="0"/>
                <w:iCs w:val="0"/>
                <w:color w:val="auto"/>
                <w:kern w:val="0"/>
                <w:sz w:val="24"/>
                <w:szCs w:val="24"/>
              </w:rPr>
              <w:t>用地</w:t>
            </w:r>
            <w:r>
              <w:rPr>
                <w:rFonts w:hint="eastAsia" w:ascii="Times New Roman" w:hAnsi="Times New Roman" w:eastAsia="宋体"/>
                <w:b w:val="0"/>
                <w:bCs w:val="0"/>
                <w:iCs w:val="0"/>
                <w:color w:val="auto"/>
                <w:kern w:val="0"/>
                <w:sz w:val="24"/>
                <w:szCs w:val="24"/>
              </w:rPr>
              <w:t>。</w:t>
            </w:r>
            <w:r>
              <w:rPr>
                <w:rFonts w:ascii="Times New Roman" w:hAnsi="Times New Roman" w:eastAsia="宋体" w:cs="宋体"/>
                <w:b w:val="0"/>
                <w:bCs w:val="0"/>
                <w:iCs w:val="0"/>
                <w:color w:val="auto"/>
                <w:sz w:val="24"/>
                <w:szCs w:val="24"/>
              </w:rPr>
              <w:t>项目周边无国家公园、自然保护区、森林公园的生态保育区和核心景观区、风景名胜区的核心景区、地质公园的地质遗迹保护区、世界自然遗产的核心区和缓冲区、湿地公园的湿地保育区和恢复重建区、饮用水水源的一级保护区、水产种质资源保护区的核心区和其他需要特别保护或法律法规禁止开发建设的区域。</w:t>
            </w:r>
            <w:r>
              <w:rPr>
                <w:rFonts w:ascii="Times New Roman" w:hAnsi="Times New Roman" w:eastAsia="宋体"/>
                <w:b w:val="0"/>
                <w:bCs w:val="0"/>
                <w:iCs w:val="0"/>
                <w:color w:val="auto"/>
                <w:kern w:val="0"/>
                <w:sz w:val="24"/>
                <w:szCs w:val="24"/>
              </w:rPr>
              <w:t>因此，项目建设符合生态保护红线控制要求。</w:t>
            </w:r>
          </w:p>
          <w:p w14:paraId="22F95DFA">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eastAsia="宋体"/>
                <w:b w:val="0"/>
                <w:bCs w:val="0"/>
                <w:iCs w:val="0"/>
                <w:color w:val="auto"/>
                <w:sz w:val="24"/>
                <w:szCs w:val="24"/>
              </w:rPr>
            </w:pPr>
            <w:r>
              <w:rPr>
                <w:rFonts w:hint="eastAsia" w:ascii="Times New Roman" w:hAnsi="Times New Roman" w:eastAsia="宋体"/>
                <w:b w:val="0"/>
                <w:bCs w:val="0"/>
                <w:iCs w:val="0"/>
                <w:color w:val="auto"/>
                <w:sz w:val="24"/>
                <w:szCs w:val="24"/>
              </w:rPr>
              <w:t>（2）与</w:t>
            </w:r>
            <w:r>
              <w:rPr>
                <w:rFonts w:ascii="Times New Roman" w:hAnsi="Times New Roman" w:eastAsia="宋体"/>
                <w:b w:val="0"/>
                <w:bCs w:val="0"/>
                <w:iCs w:val="0"/>
                <w:color w:val="auto"/>
                <w:sz w:val="24"/>
                <w:szCs w:val="24"/>
              </w:rPr>
              <w:t>环境质量底线</w:t>
            </w:r>
            <w:r>
              <w:rPr>
                <w:rFonts w:hint="eastAsia" w:ascii="Times New Roman" w:hAnsi="Times New Roman" w:eastAsia="宋体"/>
                <w:b w:val="0"/>
                <w:bCs w:val="0"/>
                <w:iCs w:val="0"/>
                <w:color w:val="auto"/>
                <w:sz w:val="24"/>
                <w:szCs w:val="24"/>
              </w:rPr>
              <w:t>的符合性分析</w:t>
            </w:r>
          </w:p>
          <w:p w14:paraId="76A1EEC1">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eastAsia="宋体"/>
                <w:b w:val="0"/>
                <w:bCs w:val="0"/>
                <w:iCs w:val="0"/>
                <w:color w:val="auto"/>
                <w:sz w:val="24"/>
                <w:szCs w:val="24"/>
              </w:rPr>
            </w:pPr>
            <w:r>
              <w:rPr>
                <w:rFonts w:hint="eastAsia" w:ascii="Times New Roman" w:hAnsi="Times New Roman" w:eastAsia="宋体"/>
                <w:b w:val="0"/>
                <w:bCs w:val="0"/>
                <w:iCs w:val="0"/>
                <w:color w:val="auto"/>
                <w:sz w:val="24"/>
                <w:szCs w:val="24"/>
              </w:rPr>
              <w:t>①</w:t>
            </w:r>
            <w:r>
              <w:rPr>
                <w:rFonts w:ascii="Times New Roman" w:hAnsi="Times New Roman" w:eastAsia="宋体"/>
                <w:b w:val="0"/>
                <w:bCs w:val="0"/>
                <w:iCs w:val="0"/>
                <w:color w:val="auto"/>
                <w:sz w:val="24"/>
                <w:szCs w:val="24"/>
              </w:rPr>
              <w:t>水环境质量底线</w:t>
            </w:r>
          </w:p>
          <w:p w14:paraId="093B12CE">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eastAsia="宋体"/>
                <w:b w:val="0"/>
                <w:bCs w:val="0"/>
                <w:iCs w:val="0"/>
                <w:color w:val="auto"/>
                <w:sz w:val="24"/>
                <w:szCs w:val="24"/>
              </w:rPr>
            </w:pPr>
            <w:r>
              <w:rPr>
                <w:rFonts w:ascii="Times New Roman" w:hAnsi="Times New Roman" w:eastAsia="宋体"/>
                <w:b w:val="0"/>
                <w:bCs w:val="0"/>
                <w:iCs w:val="0"/>
                <w:color w:val="auto"/>
                <w:sz w:val="24"/>
                <w:szCs w:val="24"/>
              </w:rPr>
              <w:t>水环境质量底线目标为：到2025年，国省控断面水质优良（达到或优于Ⅲ类）比例总体达92.78%；县级以上集中式饮用水水源水质达标率达100%。到2035年，国省控断面水质优良（达到或优于Ⅲ类）比例总体达到100%；生态系统实现良性循环。</w:t>
            </w:r>
          </w:p>
          <w:p w14:paraId="31645E66">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eastAsia="宋体"/>
                <w:b w:val="0"/>
                <w:bCs w:val="0"/>
                <w:iCs w:val="0"/>
                <w:color w:val="auto"/>
                <w:sz w:val="24"/>
                <w:szCs w:val="24"/>
              </w:rPr>
            </w:pPr>
            <w:r>
              <w:rPr>
                <w:rFonts w:hint="eastAsia" w:ascii="Times New Roman" w:hAnsi="Times New Roman" w:eastAsia="宋体" w:cs="Times New Roman"/>
                <w:b w:val="0"/>
                <w:bCs w:val="0"/>
                <w:iCs w:val="0"/>
                <w:color w:val="auto"/>
                <w:sz w:val="24"/>
                <w:szCs w:val="24"/>
                <w:lang w:val="en-US" w:eastAsia="zh-CN"/>
              </w:rPr>
              <w:t>项目生产废水和生活污水通过各自的废水处理设施处理达标后</w:t>
            </w:r>
            <w:r>
              <w:rPr>
                <w:rFonts w:hint="default" w:ascii="Times New Roman" w:hAnsi="Times New Roman" w:eastAsia="宋体" w:cs="Times New Roman"/>
                <w:b w:val="0"/>
                <w:bCs w:val="0"/>
                <w:iCs w:val="0"/>
                <w:color w:val="auto"/>
                <w:sz w:val="24"/>
                <w:szCs w:val="24"/>
                <w:lang w:val="en-US" w:eastAsia="zh-CN"/>
              </w:rPr>
              <w:t>排入市政管网后纳入</w:t>
            </w:r>
            <w:r>
              <w:rPr>
                <w:rFonts w:hint="eastAsia" w:ascii="Times New Roman" w:hAnsi="Times New Roman" w:eastAsia="宋体" w:cs="Times New Roman"/>
                <w:b w:val="0"/>
                <w:bCs w:val="0"/>
                <w:iCs w:val="0"/>
                <w:color w:val="auto"/>
                <w:sz w:val="24"/>
                <w:szCs w:val="24"/>
                <w:lang w:val="en-US" w:eastAsia="zh-CN"/>
              </w:rPr>
              <w:t>大学城</w:t>
            </w:r>
            <w:r>
              <w:rPr>
                <w:rFonts w:hint="default" w:ascii="Times New Roman" w:hAnsi="Times New Roman" w:eastAsia="宋体" w:cs="Times New Roman"/>
                <w:b w:val="0"/>
                <w:bCs w:val="0"/>
                <w:iCs w:val="0"/>
                <w:color w:val="auto"/>
                <w:sz w:val="24"/>
                <w:szCs w:val="24"/>
                <w:lang w:val="en-US" w:eastAsia="zh-CN"/>
              </w:rPr>
              <w:t>污水处理厂</w:t>
            </w:r>
            <w:r>
              <w:rPr>
                <w:rFonts w:hint="eastAsia" w:ascii="Times New Roman" w:hAnsi="Times New Roman" w:eastAsia="宋体" w:cs="Times New Roman"/>
                <w:b w:val="0"/>
                <w:bCs w:val="0"/>
                <w:iCs w:val="0"/>
                <w:color w:val="auto"/>
                <w:sz w:val="24"/>
                <w:szCs w:val="24"/>
              </w:rPr>
              <w:t>，由大</w:t>
            </w:r>
            <w:r>
              <w:rPr>
                <w:rFonts w:hint="eastAsia" w:ascii="Times New Roman" w:hAnsi="Times New Roman" w:eastAsia="宋体"/>
                <w:b w:val="0"/>
                <w:bCs w:val="0"/>
                <w:iCs w:val="0"/>
                <w:color w:val="auto"/>
                <w:sz w:val="24"/>
                <w:szCs w:val="24"/>
              </w:rPr>
              <w:t>学城污水处理厂集中处理。</w:t>
            </w:r>
            <w:r>
              <w:rPr>
                <w:rFonts w:ascii="Times New Roman" w:hAnsi="Times New Roman" w:eastAsia="宋体"/>
                <w:b w:val="0"/>
                <w:bCs w:val="0"/>
                <w:iCs w:val="0"/>
                <w:color w:val="auto"/>
                <w:sz w:val="24"/>
                <w:szCs w:val="24"/>
              </w:rPr>
              <w:t>因此，项目建设不会突破区域水环境质量底线。</w:t>
            </w:r>
          </w:p>
          <w:p w14:paraId="1418CB46">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eastAsia="宋体"/>
                <w:b w:val="0"/>
                <w:bCs w:val="0"/>
                <w:iCs w:val="0"/>
                <w:color w:val="auto"/>
                <w:sz w:val="24"/>
                <w:szCs w:val="24"/>
              </w:rPr>
            </w:pPr>
            <w:r>
              <w:rPr>
                <w:rFonts w:hint="eastAsia" w:ascii="Times New Roman" w:hAnsi="Times New Roman" w:eastAsia="宋体"/>
                <w:b w:val="0"/>
                <w:bCs w:val="0"/>
                <w:iCs w:val="0"/>
                <w:color w:val="auto"/>
                <w:sz w:val="24"/>
                <w:szCs w:val="24"/>
              </w:rPr>
              <w:t>②</w:t>
            </w:r>
            <w:r>
              <w:rPr>
                <w:rFonts w:ascii="Times New Roman" w:hAnsi="Times New Roman" w:eastAsia="宋体"/>
                <w:b w:val="0"/>
                <w:bCs w:val="0"/>
                <w:iCs w:val="0"/>
                <w:color w:val="auto"/>
                <w:sz w:val="24"/>
                <w:szCs w:val="24"/>
              </w:rPr>
              <w:t>大气环境质量底线</w:t>
            </w:r>
          </w:p>
          <w:p w14:paraId="408A3B6F">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ascii="Times New Roman" w:hAnsi="Times New Roman" w:eastAsia="宋体"/>
                <w:b w:val="0"/>
                <w:bCs w:val="0"/>
                <w:iCs w:val="0"/>
                <w:color w:val="auto"/>
                <w:kern w:val="0"/>
                <w:sz w:val="24"/>
                <w:szCs w:val="24"/>
              </w:rPr>
            </w:pPr>
            <w:r>
              <w:rPr>
                <w:rFonts w:ascii="Times New Roman" w:hAnsi="Times New Roman" w:eastAsia="宋体"/>
                <w:b w:val="0"/>
                <w:bCs w:val="0"/>
                <w:iCs w:val="0"/>
                <w:color w:val="auto"/>
                <w:kern w:val="0"/>
                <w:sz w:val="24"/>
                <w:szCs w:val="24"/>
              </w:rPr>
              <w:t>到2025年，环境空气质量持续改善，细颗粒物（PM</w:t>
            </w:r>
            <w:r>
              <w:rPr>
                <w:rFonts w:ascii="Times New Roman" w:hAnsi="Times New Roman" w:eastAsia="宋体"/>
                <w:b w:val="0"/>
                <w:bCs w:val="0"/>
                <w:iCs w:val="0"/>
                <w:color w:val="auto"/>
                <w:kern w:val="0"/>
                <w:sz w:val="24"/>
                <w:szCs w:val="24"/>
                <w:vertAlign w:val="subscript"/>
              </w:rPr>
              <w:t>2.5</w:t>
            </w:r>
            <w:r>
              <w:rPr>
                <w:rFonts w:ascii="Times New Roman" w:hAnsi="Times New Roman" w:eastAsia="宋体"/>
                <w:b w:val="0"/>
                <w:bCs w:val="0"/>
                <w:iCs w:val="0"/>
                <w:color w:val="auto"/>
                <w:kern w:val="0"/>
                <w:sz w:val="24"/>
                <w:szCs w:val="24"/>
              </w:rPr>
              <w:t>）年均浓度降至18.6μg/m</w:t>
            </w:r>
            <w:r>
              <w:rPr>
                <w:rFonts w:ascii="Times New Roman" w:hAnsi="Times New Roman" w:eastAsia="宋体"/>
                <w:b w:val="0"/>
                <w:bCs w:val="0"/>
                <w:iCs w:val="0"/>
                <w:color w:val="auto"/>
                <w:kern w:val="0"/>
                <w:sz w:val="24"/>
                <w:szCs w:val="24"/>
                <w:vertAlign w:val="superscript"/>
              </w:rPr>
              <w:t>3</w:t>
            </w:r>
            <w:r>
              <w:rPr>
                <w:rFonts w:ascii="Times New Roman" w:hAnsi="Times New Roman" w:eastAsia="宋体"/>
                <w:b w:val="0"/>
                <w:bCs w:val="0"/>
                <w:iCs w:val="0"/>
                <w:color w:val="auto"/>
                <w:kern w:val="0"/>
                <w:sz w:val="24"/>
                <w:szCs w:val="24"/>
              </w:rPr>
              <w:t>。到2035年，县级城市细颗粒物（PM</w:t>
            </w:r>
            <w:r>
              <w:rPr>
                <w:rFonts w:ascii="Times New Roman" w:hAnsi="Times New Roman" w:eastAsia="宋体"/>
                <w:b w:val="0"/>
                <w:bCs w:val="0"/>
                <w:iCs w:val="0"/>
                <w:color w:val="auto"/>
                <w:kern w:val="0"/>
                <w:sz w:val="24"/>
                <w:szCs w:val="24"/>
                <w:vertAlign w:val="subscript"/>
              </w:rPr>
              <w:t>2.5</w:t>
            </w:r>
            <w:r>
              <w:rPr>
                <w:rFonts w:ascii="Times New Roman" w:hAnsi="Times New Roman" w:eastAsia="宋体"/>
                <w:b w:val="0"/>
                <w:bCs w:val="0"/>
                <w:iCs w:val="0"/>
                <w:color w:val="auto"/>
                <w:kern w:val="0"/>
                <w:sz w:val="24"/>
                <w:szCs w:val="24"/>
              </w:rPr>
              <w:t>）年均浓度小于15μg/m</w:t>
            </w:r>
            <w:r>
              <w:rPr>
                <w:rFonts w:ascii="Times New Roman" w:hAnsi="Times New Roman" w:eastAsia="宋体"/>
                <w:b w:val="0"/>
                <w:bCs w:val="0"/>
                <w:iCs w:val="0"/>
                <w:color w:val="auto"/>
                <w:kern w:val="0"/>
                <w:sz w:val="24"/>
                <w:szCs w:val="24"/>
                <w:vertAlign w:val="superscript"/>
              </w:rPr>
              <w:t>3</w:t>
            </w:r>
            <w:r>
              <w:rPr>
                <w:rFonts w:ascii="Times New Roman" w:hAnsi="Times New Roman" w:eastAsia="宋体"/>
                <w:b w:val="0"/>
                <w:bCs w:val="0"/>
                <w:iCs w:val="0"/>
                <w:color w:val="auto"/>
                <w:kern w:val="0"/>
                <w:sz w:val="24"/>
                <w:szCs w:val="24"/>
              </w:rPr>
              <w:t>，最终指标值以省下达指标为准。</w:t>
            </w:r>
          </w:p>
          <w:p w14:paraId="08463521">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eastAsia="宋体"/>
                <w:b w:val="0"/>
                <w:bCs w:val="0"/>
                <w:iCs w:val="0"/>
                <w:color w:val="auto"/>
                <w:sz w:val="24"/>
                <w:szCs w:val="24"/>
              </w:rPr>
            </w:pPr>
            <w:r>
              <w:rPr>
                <w:rFonts w:hint="eastAsia" w:ascii="Times New Roman" w:hAnsi="Times New Roman" w:eastAsia="宋体"/>
                <w:b w:val="0"/>
                <w:bCs w:val="0"/>
                <w:iCs w:val="0"/>
                <w:color w:val="auto"/>
                <w:sz w:val="24"/>
                <w:szCs w:val="24"/>
              </w:rPr>
              <w:t>项目生产过</w:t>
            </w:r>
            <w:r>
              <w:rPr>
                <w:rFonts w:hint="eastAsia" w:ascii="Times New Roman" w:hAnsi="Times New Roman" w:eastAsia="宋体"/>
                <w:b w:val="0"/>
                <w:bCs w:val="0"/>
                <w:iCs w:val="0"/>
                <w:color w:val="auto"/>
                <w:sz w:val="24"/>
                <w:szCs w:val="24"/>
                <w:lang w:eastAsia="zh-CN"/>
              </w:rPr>
              <w:t>程中</w:t>
            </w:r>
            <w:r>
              <w:rPr>
                <w:rFonts w:hint="eastAsia" w:ascii="Times New Roman" w:hAnsi="Times New Roman" w:eastAsia="宋体"/>
                <w:b w:val="0"/>
                <w:bCs w:val="0"/>
                <w:iCs w:val="0"/>
                <w:color w:val="auto"/>
                <w:sz w:val="24"/>
                <w:szCs w:val="24"/>
              </w:rPr>
              <w:t>产生废气均设置有相应的收集和处理措施，保证处理废气能够达到相应的排放标准后达标排放，</w:t>
            </w:r>
            <w:r>
              <w:rPr>
                <w:rFonts w:ascii="Times New Roman" w:hAnsi="Times New Roman" w:eastAsia="宋体"/>
                <w:b w:val="0"/>
                <w:bCs w:val="0"/>
                <w:iCs w:val="0"/>
                <w:color w:val="auto"/>
                <w:sz w:val="24"/>
                <w:szCs w:val="24"/>
              </w:rPr>
              <w:t>符合大气环境质量底线要求。</w:t>
            </w:r>
          </w:p>
          <w:p w14:paraId="028C5B2C">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eastAsia="宋体"/>
                <w:b w:val="0"/>
                <w:bCs w:val="0"/>
                <w:iCs w:val="0"/>
                <w:color w:val="auto"/>
                <w:sz w:val="24"/>
                <w:szCs w:val="24"/>
              </w:rPr>
            </w:pPr>
            <w:r>
              <w:rPr>
                <w:rFonts w:hint="eastAsia" w:ascii="Times New Roman" w:hAnsi="Times New Roman" w:eastAsia="宋体"/>
                <w:b w:val="0"/>
                <w:bCs w:val="0"/>
                <w:iCs w:val="0"/>
                <w:color w:val="auto"/>
                <w:sz w:val="24"/>
                <w:szCs w:val="24"/>
              </w:rPr>
              <w:t>③</w:t>
            </w:r>
            <w:r>
              <w:rPr>
                <w:rFonts w:ascii="Times New Roman" w:hAnsi="Times New Roman" w:eastAsia="宋体"/>
                <w:b w:val="0"/>
                <w:bCs w:val="0"/>
                <w:iCs w:val="0"/>
                <w:color w:val="auto"/>
                <w:sz w:val="24"/>
                <w:szCs w:val="24"/>
              </w:rPr>
              <w:t>土壤环境风险防控底线</w:t>
            </w:r>
          </w:p>
          <w:p w14:paraId="1761EF27">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eastAsia="宋体"/>
                <w:b w:val="0"/>
                <w:bCs w:val="0"/>
                <w:iCs w:val="0"/>
                <w:color w:val="auto"/>
                <w:sz w:val="24"/>
                <w:szCs w:val="24"/>
              </w:rPr>
            </w:pPr>
            <w:r>
              <w:rPr>
                <w:rFonts w:ascii="Times New Roman" w:hAnsi="Times New Roman" w:eastAsia="宋体"/>
                <w:b w:val="0"/>
                <w:bCs w:val="0"/>
                <w:iCs w:val="0"/>
                <w:color w:val="auto"/>
                <w:sz w:val="24"/>
                <w:szCs w:val="24"/>
              </w:rPr>
              <w:t>到2025年，受污染耕地安全利用率达到95%</w:t>
            </w:r>
            <w:r>
              <w:rPr>
                <w:rFonts w:hint="eastAsia" w:ascii="Times New Roman" w:hAnsi="Times New Roman" w:eastAsia="宋体"/>
                <w:b w:val="0"/>
                <w:bCs w:val="0"/>
                <w:iCs w:val="0"/>
                <w:color w:val="auto"/>
                <w:sz w:val="24"/>
                <w:szCs w:val="24"/>
              </w:rPr>
              <w:t>（</w:t>
            </w:r>
            <w:r>
              <w:rPr>
                <w:rFonts w:ascii="Times New Roman" w:hAnsi="Times New Roman" w:eastAsia="宋体"/>
                <w:b w:val="0"/>
                <w:bCs w:val="0"/>
                <w:iCs w:val="0"/>
                <w:color w:val="auto"/>
                <w:sz w:val="24"/>
                <w:szCs w:val="24"/>
              </w:rPr>
              <w:t>含</w:t>
            </w:r>
            <w:r>
              <w:rPr>
                <w:rFonts w:hint="eastAsia" w:ascii="Times New Roman" w:hAnsi="Times New Roman" w:eastAsia="宋体"/>
                <w:b w:val="0"/>
                <w:bCs w:val="0"/>
                <w:iCs w:val="0"/>
                <w:color w:val="auto"/>
                <w:sz w:val="24"/>
                <w:szCs w:val="24"/>
              </w:rPr>
              <w:t>）</w:t>
            </w:r>
            <w:r>
              <w:rPr>
                <w:rFonts w:ascii="Times New Roman" w:hAnsi="Times New Roman" w:eastAsia="宋体"/>
                <w:b w:val="0"/>
                <w:bCs w:val="0"/>
                <w:iCs w:val="0"/>
                <w:color w:val="auto"/>
                <w:sz w:val="24"/>
                <w:szCs w:val="24"/>
              </w:rPr>
              <w:t>以上，重点建设用地安全利用率得到有效保障，重点行业企业用地优先管控名录地块风险管控率达到95%</w:t>
            </w:r>
            <w:r>
              <w:rPr>
                <w:rFonts w:hint="eastAsia" w:ascii="Times New Roman" w:hAnsi="Times New Roman" w:eastAsia="宋体"/>
                <w:b w:val="0"/>
                <w:bCs w:val="0"/>
                <w:iCs w:val="0"/>
                <w:color w:val="auto"/>
                <w:sz w:val="24"/>
                <w:szCs w:val="24"/>
              </w:rPr>
              <w:t>（</w:t>
            </w:r>
            <w:r>
              <w:rPr>
                <w:rFonts w:ascii="Times New Roman" w:hAnsi="Times New Roman" w:eastAsia="宋体"/>
                <w:b w:val="0"/>
                <w:bCs w:val="0"/>
                <w:iCs w:val="0"/>
                <w:color w:val="auto"/>
                <w:sz w:val="24"/>
                <w:szCs w:val="24"/>
              </w:rPr>
              <w:t>含</w:t>
            </w:r>
            <w:r>
              <w:rPr>
                <w:rFonts w:hint="eastAsia" w:ascii="Times New Roman" w:hAnsi="Times New Roman" w:eastAsia="宋体"/>
                <w:b w:val="0"/>
                <w:bCs w:val="0"/>
                <w:iCs w:val="0"/>
                <w:color w:val="auto"/>
                <w:sz w:val="24"/>
                <w:szCs w:val="24"/>
              </w:rPr>
              <w:t>）</w:t>
            </w:r>
            <w:r>
              <w:rPr>
                <w:rFonts w:ascii="Times New Roman" w:hAnsi="Times New Roman" w:eastAsia="宋体"/>
                <w:b w:val="0"/>
                <w:bCs w:val="0"/>
                <w:iCs w:val="0"/>
                <w:color w:val="auto"/>
                <w:sz w:val="24"/>
                <w:szCs w:val="24"/>
              </w:rPr>
              <w:t>以上，开垦耕地土壤污染调查覆盖率达90%以上，畜禽粪污综合利用率预期达95%</w:t>
            </w:r>
            <w:r>
              <w:rPr>
                <w:rFonts w:hint="eastAsia" w:ascii="Times New Roman" w:hAnsi="Times New Roman" w:eastAsia="宋体"/>
                <w:b w:val="0"/>
                <w:bCs w:val="0"/>
                <w:iCs w:val="0"/>
                <w:color w:val="auto"/>
                <w:sz w:val="24"/>
                <w:szCs w:val="24"/>
              </w:rPr>
              <w:t>（</w:t>
            </w:r>
            <w:r>
              <w:rPr>
                <w:rFonts w:ascii="Times New Roman" w:hAnsi="Times New Roman" w:eastAsia="宋体"/>
                <w:b w:val="0"/>
                <w:bCs w:val="0"/>
                <w:iCs w:val="0"/>
                <w:color w:val="auto"/>
                <w:sz w:val="24"/>
                <w:szCs w:val="24"/>
              </w:rPr>
              <w:t>含</w:t>
            </w:r>
            <w:r>
              <w:rPr>
                <w:rFonts w:hint="eastAsia" w:ascii="Times New Roman" w:hAnsi="Times New Roman" w:eastAsia="宋体"/>
                <w:b w:val="0"/>
                <w:bCs w:val="0"/>
                <w:iCs w:val="0"/>
                <w:color w:val="auto"/>
                <w:sz w:val="24"/>
                <w:szCs w:val="24"/>
              </w:rPr>
              <w:t>）</w:t>
            </w:r>
            <w:r>
              <w:rPr>
                <w:rFonts w:ascii="Times New Roman" w:hAnsi="Times New Roman" w:eastAsia="宋体"/>
                <w:b w:val="0"/>
                <w:bCs w:val="0"/>
                <w:iCs w:val="0"/>
                <w:color w:val="auto"/>
                <w:sz w:val="24"/>
                <w:szCs w:val="24"/>
              </w:rPr>
              <w:t>以上。到2035年，全市土壤环境质量稳中向好，农用地和建设用地土壤环境得到有效保障，土壤环境风险得到全面管控。</w:t>
            </w:r>
          </w:p>
          <w:p w14:paraId="495437EE">
            <w:pPr>
              <w:keepNext w:val="0"/>
              <w:keepLines w:val="0"/>
              <w:pageBreakBefore w:val="0"/>
              <w:widowControl w:val="0"/>
              <w:kinsoku/>
              <w:wordWrap/>
              <w:overflowPunct/>
              <w:topLinePunct w:val="0"/>
              <w:bidi w:val="0"/>
              <w:spacing w:line="360" w:lineRule="auto"/>
              <w:ind w:firstLine="480" w:firstLineChars="200"/>
              <w:textAlignment w:val="auto"/>
              <w:rPr>
                <w:rFonts w:hint="eastAsia" w:ascii="Times New Roman" w:hAnsi="Times New Roman" w:eastAsia="宋体"/>
                <w:b w:val="0"/>
                <w:bCs w:val="0"/>
                <w:iCs w:val="0"/>
                <w:color w:val="auto"/>
                <w:sz w:val="24"/>
                <w:szCs w:val="24"/>
              </w:rPr>
            </w:pPr>
            <w:r>
              <w:rPr>
                <w:rFonts w:hint="eastAsia" w:ascii="Times New Roman" w:hAnsi="Times New Roman" w:eastAsia="宋体"/>
                <w:b w:val="0"/>
                <w:bCs w:val="0"/>
                <w:iCs w:val="0"/>
                <w:color w:val="auto"/>
                <w:sz w:val="24"/>
                <w:szCs w:val="24"/>
              </w:rPr>
              <w:t>项目</w:t>
            </w:r>
            <w:r>
              <w:rPr>
                <w:rFonts w:hint="eastAsia" w:ascii="Times New Roman" w:hAnsi="Times New Roman" w:eastAsia="宋体"/>
                <w:b w:val="0"/>
                <w:bCs w:val="0"/>
                <w:iCs w:val="0"/>
                <w:color w:val="auto"/>
                <w:sz w:val="24"/>
                <w:szCs w:val="24"/>
                <w:lang w:val="en-US" w:eastAsia="zh-CN"/>
              </w:rPr>
              <w:t>租赁闲置空置</w:t>
            </w:r>
            <w:r>
              <w:rPr>
                <w:rFonts w:hint="eastAsia" w:ascii="Times New Roman" w:hAnsi="Times New Roman" w:eastAsia="宋体"/>
                <w:b w:val="0"/>
                <w:bCs w:val="0"/>
                <w:iCs w:val="0"/>
                <w:color w:val="auto"/>
                <w:sz w:val="24"/>
                <w:szCs w:val="24"/>
              </w:rPr>
              <w:t>厂房进行生产，</w:t>
            </w:r>
            <w:r>
              <w:rPr>
                <w:rFonts w:ascii="Times New Roman" w:hAnsi="Times New Roman" w:eastAsia="宋体"/>
                <w:b w:val="0"/>
                <w:bCs w:val="0"/>
                <w:iCs w:val="0"/>
                <w:color w:val="auto"/>
                <w:sz w:val="24"/>
                <w:szCs w:val="24"/>
              </w:rPr>
              <w:t>用地属性</w:t>
            </w:r>
            <w:r>
              <w:rPr>
                <w:rFonts w:hint="eastAsia" w:ascii="Times New Roman" w:hAnsi="Times New Roman" w:eastAsia="宋体"/>
                <w:b w:val="0"/>
                <w:bCs w:val="0"/>
                <w:iCs w:val="0"/>
                <w:color w:val="auto"/>
                <w:sz w:val="24"/>
                <w:szCs w:val="24"/>
              </w:rPr>
              <w:t>为工业</w:t>
            </w:r>
            <w:r>
              <w:rPr>
                <w:rFonts w:ascii="Times New Roman" w:hAnsi="Times New Roman" w:eastAsia="宋体"/>
                <w:b w:val="0"/>
                <w:bCs w:val="0"/>
                <w:iCs w:val="0"/>
                <w:color w:val="auto"/>
                <w:sz w:val="24"/>
                <w:szCs w:val="24"/>
              </w:rPr>
              <w:t>用地，场地为已平整并硬化后的场地，</w:t>
            </w:r>
            <w:r>
              <w:rPr>
                <w:rFonts w:hint="eastAsia" w:ascii="Times New Roman" w:hAnsi="Times New Roman" w:eastAsia="宋体"/>
                <w:b w:val="0"/>
                <w:bCs w:val="0"/>
                <w:iCs w:val="0"/>
                <w:color w:val="auto"/>
                <w:sz w:val="24"/>
                <w:szCs w:val="24"/>
              </w:rPr>
              <w:t>生产过</w:t>
            </w:r>
            <w:r>
              <w:rPr>
                <w:rFonts w:hint="eastAsia" w:ascii="Times New Roman" w:hAnsi="Times New Roman" w:eastAsia="宋体"/>
                <w:b w:val="0"/>
                <w:bCs w:val="0"/>
                <w:iCs w:val="0"/>
                <w:color w:val="auto"/>
                <w:sz w:val="24"/>
                <w:szCs w:val="24"/>
                <w:lang w:eastAsia="zh-CN"/>
              </w:rPr>
              <w:t>程中</w:t>
            </w:r>
            <w:r>
              <w:rPr>
                <w:rFonts w:hint="eastAsia" w:ascii="Times New Roman" w:hAnsi="Times New Roman" w:eastAsia="宋体"/>
                <w:b w:val="0"/>
                <w:bCs w:val="0"/>
                <w:iCs w:val="0"/>
                <w:color w:val="auto"/>
                <w:sz w:val="24"/>
                <w:szCs w:val="24"/>
              </w:rPr>
              <w:t>不排放持久性污染物，</w:t>
            </w:r>
            <w:r>
              <w:rPr>
                <w:rFonts w:ascii="Times New Roman" w:hAnsi="Times New Roman" w:eastAsia="宋体"/>
                <w:b w:val="0"/>
                <w:bCs w:val="0"/>
                <w:iCs w:val="0"/>
                <w:color w:val="auto"/>
                <w:sz w:val="24"/>
                <w:szCs w:val="24"/>
              </w:rPr>
              <w:t>不存在土壤环境风险，符合土壤环境风险防控底线要求。</w:t>
            </w:r>
          </w:p>
          <w:p w14:paraId="66892953">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eastAsia="宋体"/>
                <w:b w:val="0"/>
                <w:bCs w:val="0"/>
                <w:iCs w:val="0"/>
                <w:color w:val="auto"/>
                <w:sz w:val="24"/>
                <w:szCs w:val="24"/>
              </w:rPr>
            </w:pPr>
            <w:r>
              <w:rPr>
                <w:rFonts w:ascii="Times New Roman" w:hAnsi="Times New Roman" w:eastAsia="宋体"/>
                <w:b w:val="0"/>
                <w:bCs w:val="0"/>
                <w:iCs w:val="0"/>
                <w:color w:val="auto"/>
                <w:sz w:val="24"/>
                <w:szCs w:val="24"/>
              </w:rPr>
              <w:t>综合分析，项目建设不会突破当地环境质量底线。</w:t>
            </w:r>
          </w:p>
          <w:p w14:paraId="30E14ED6">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eastAsia="宋体"/>
                <w:b w:val="0"/>
                <w:bCs w:val="0"/>
                <w:iCs w:val="0"/>
                <w:color w:val="auto"/>
                <w:sz w:val="24"/>
                <w:szCs w:val="24"/>
              </w:rPr>
            </w:pPr>
            <w:r>
              <w:rPr>
                <w:rFonts w:hint="eastAsia" w:ascii="Times New Roman" w:hAnsi="Times New Roman" w:eastAsia="宋体"/>
                <w:b w:val="0"/>
                <w:bCs w:val="0"/>
                <w:iCs w:val="0"/>
                <w:color w:val="auto"/>
                <w:sz w:val="24"/>
                <w:szCs w:val="24"/>
              </w:rPr>
              <w:t>（3）与</w:t>
            </w:r>
            <w:r>
              <w:rPr>
                <w:rFonts w:ascii="Times New Roman" w:hAnsi="Times New Roman" w:eastAsia="宋体"/>
                <w:b w:val="0"/>
                <w:bCs w:val="0"/>
                <w:iCs w:val="0"/>
                <w:color w:val="auto"/>
                <w:sz w:val="24"/>
                <w:szCs w:val="24"/>
              </w:rPr>
              <w:t>资源利用上线</w:t>
            </w:r>
            <w:r>
              <w:rPr>
                <w:rFonts w:hint="eastAsia" w:ascii="Times New Roman" w:hAnsi="Times New Roman" w:eastAsia="宋体"/>
                <w:b w:val="0"/>
                <w:bCs w:val="0"/>
                <w:iCs w:val="0"/>
                <w:color w:val="auto"/>
                <w:sz w:val="24"/>
                <w:szCs w:val="24"/>
              </w:rPr>
              <w:t>的符合性分析</w:t>
            </w:r>
          </w:p>
          <w:p w14:paraId="1C357ED7">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eastAsia="宋体"/>
                <w:b w:val="0"/>
                <w:bCs w:val="0"/>
                <w:iCs w:val="0"/>
                <w:color w:val="auto"/>
                <w:sz w:val="24"/>
                <w:szCs w:val="24"/>
              </w:rPr>
            </w:pPr>
            <w:r>
              <w:rPr>
                <w:rFonts w:hint="eastAsia" w:ascii="Times New Roman" w:hAnsi="Times New Roman" w:eastAsia="宋体"/>
                <w:b w:val="0"/>
                <w:bCs w:val="0"/>
                <w:iCs w:val="0"/>
                <w:color w:val="auto"/>
                <w:sz w:val="24"/>
                <w:szCs w:val="24"/>
              </w:rPr>
              <w:t>①</w:t>
            </w:r>
            <w:r>
              <w:rPr>
                <w:rFonts w:ascii="Times New Roman" w:hAnsi="Times New Roman" w:eastAsia="宋体"/>
                <w:b w:val="0"/>
                <w:bCs w:val="0"/>
                <w:iCs w:val="0"/>
                <w:color w:val="auto"/>
                <w:sz w:val="24"/>
                <w:szCs w:val="24"/>
              </w:rPr>
              <w:t>水资源利用</w:t>
            </w:r>
            <w:r>
              <w:rPr>
                <w:rFonts w:hint="eastAsia"/>
                <w:b w:val="0"/>
                <w:bCs w:val="0"/>
                <w:iCs w:val="0"/>
                <w:color w:val="auto"/>
                <w:sz w:val="24"/>
                <w:szCs w:val="24"/>
                <w:lang w:eastAsia="zh-CN"/>
              </w:rPr>
              <w:t>上限</w:t>
            </w:r>
          </w:p>
          <w:p w14:paraId="6917AD9C">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eastAsia="宋体"/>
                <w:b w:val="0"/>
                <w:bCs w:val="0"/>
                <w:iCs w:val="0"/>
                <w:color w:val="auto"/>
                <w:sz w:val="24"/>
                <w:szCs w:val="24"/>
              </w:rPr>
            </w:pPr>
            <w:r>
              <w:rPr>
                <w:rFonts w:ascii="Times New Roman" w:hAnsi="Times New Roman" w:eastAsia="宋体"/>
                <w:b w:val="0"/>
                <w:bCs w:val="0"/>
                <w:iCs w:val="0"/>
                <w:color w:val="auto"/>
                <w:sz w:val="24"/>
                <w:szCs w:val="24"/>
              </w:rPr>
              <w:t>到2025年，全市总用水量目标值为28亿立方米，万元工业增加值用水量达到12立方米、万元GDP用水量达到19立方米、</w:t>
            </w:r>
            <w:r>
              <w:rPr>
                <w:rFonts w:hint="eastAsia"/>
                <w:b w:val="0"/>
                <w:bCs w:val="0"/>
                <w:iCs w:val="0"/>
                <w:color w:val="auto"/>
                <w:sz w:val="24"/>
                <w:szCs w:val="24"/>
                <w:lang w:eastAsia="zh-CN"/>
              </w:rPr>
              <w:t>农田灌溉水有效利用系数</w:t>
            </w:r>
            <w:r>
              <w:rPr>
                <w:rFonts w:ascii="Times New Roman" w:hAnsi="Times New Roman" w:eastAsia="宋体"/>
                <w:b w:val="0"/>
                <w:bCs w:val="0"/>
                <w:iCs w:val="0"/>
                <w:color w:val="auto"/>
                <w:sz w:val="24"/>
                <w:szCs w:val="24"/>
              </w:rPr>
              <w:t>达到0.586。2035年指标以省人民政府下达为准。</w:t>
            </w:r>
          </w:p>
          <w:p w14:paraId="1127D9CC">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eastAsia="宋体"/>
                <w:b w:val="0"/>
                <w:bCs w:val="0"/>
                <w:iCs w:val="0"/>
                <w:color w:val="auto"/>
                <w:sz w:val="24"/>
                <w:szCs w:val="24"/>
              </w:rPr>
            </w:pPr>
            <w:r>
              <w:rPr>
                <w:rFonts w:ascii="Times New Roman" w:hAnsi="Times New Roman" w:eastAsia="宋体"/>
                <w:b w:val="0"/>
                <w:bCs w:val="0"/>
                <w:iCs w:val="0"/>
                <w:color w:val="auto"/>
                <w:sz w:val="24"/>
                <w:szCs w:val="24"/>
              </w:rPr>
              <w:t>项目运营期用水来源于市政给水，与福州市水资源利用上线管控要求相符。</w:t>
            </w:r>
          </w:p>
          <w:p w14:paraId="093D19A7">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eastAsia="宋体"/>
                <w:b w:val="0"/>
                <w:bCs w:val="0"/>
                <w:iCs w:val="0"/>
                <w:color w:val="auto"/>
                <w:sz w:val="24"/>
                <w:szCs w:val="24"/>
              </w:rPr>
            </w:pPr>
            <w:r>
              <w:rPr>
                <w:rFonts w:hint="eastAsia" w:ascii="Times New Roman" w:hAnsi="Times New Roman" w:eastAsia="宋体"/>
                <w:b w:val="0"/>
                <w:bCs w:val="0"/>
                <w:iCs w:val="0"/>
                <w:color w:val="auto"/>
                <w:sz w:val="24"/>
                <w:szCs w:val="24"/>
              </w:rPr>
              <w:t>②</w:t>
            </w:r>
            <w:r>
              <w:rPr>
                <w:rFonts w:ascii="Times New Roman" w:hAnsi="Times New Roman" w:eastAsia="宋体"/>
                <w:b w:val="0"/>
                <w:bCs w:val="0"/>
                <w:iCs w:val="0"/>
                <w:color w:val="auto"/>
                <w:sz w:val="24"/>
                <w:szCs w:val="24"/>
              </w:rPr>
              <w:t>土地资源利用上线</w:t>
            </w:r>
          </w:p>
          <w:p w14:paraId="1AC30B79">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eastAsia="宋体"/>
                <w:b w:val="0"/>
                <w:bCs w:val="0"/>
                <w:iCs w:val="0"/>
                <w:color w:val="auto"/>
                <w:sz w:val="24"/>
                <w:szCs w:val="24"/>
              </w:rPr>
            </w:pPr>
            <w:r>
              <w:rPr>
                <w:rFonts w:ascii="Times New Roman" w:hAnsi="Times New Roman" w:eastAsia="宋体"/>
                <w:b w:val="0"/>
                <w:bCs w:val="0"/>
                <w:iCs w:val="0"/>
                <w:color w:val="auto"/>
                <w:sz w:val="24"/>
                <w:szCs w:val="24"/>
              </w:rPr>
              <w:t>到2025年，耕地保有量达到947.53平方千米，基本农田保护面积达到844.82平方千米。2035年指标与2025年保持一致。</w:t>
            </w:r>
          </w:p>
          <w:p w14:paraId="24DF86EE">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eastAsia="宋体"/>
                <w:b w:val="0"/>
                <w:bCs w:val="0"/>
                <w:iCs w:val="0"/>
                <w:color w:val="auto"/>
                <w:sz w:val="24"/>
                <w:szCs w:val="24"/>
              </w:rPr>
            </w:pPr>
            <w:r>
              <w:rPr>
                <w:rFonts w:ascii="Times New Roman" w:hAnsi="Times New Roman" w:eastAsia="宋体"/>
                <w:b w:val="0"/>
                <w:bCs w:val="0"/>
                <w:iCs w:val="0"/>
                <w:color w:val="auto"/>
                <w:sz w:val="24"/>
                <w:szCs w:val="24"/>
              </w:rPr>
              <w:t>根据《</w:t>
            </w:r>
            <w:r>
              <w:rPr>
                <w:rFonts w:hint="eastAsia" w:ascii="Times New Roman" w:hAnsi="Times New Roman" w:eastAsia="宋体"/>
                <w:b w:val="0"/>
                <w:bCs w:val="0"/>
                <w:iCs w:val="0"/>
                <w:color w:val="auto"/>
                <w:sz w:val="24"/>
                <w:szCs w:val="24"/>
              </w:rPr>
              <w:t>福州市生态环境局关于发布福州市2024年生态环境分区管控动态更新成果的通知</w:t>
            </w:r>
            <w:r>
              <w:rPr>
                <w:rFonts w:ascii="Times New Roman" w:hAnsi="Times New Roman" w:eastAsia="宋体"/>
                <w:b w:val="0"/>
                <w:bCs w:val="0"/>
                <w:iCs w:val="0"/>
                <w:color w:val="auto"/>
                <w:sz w:val="24"/>
                <w:szCs w:val="24"/>
              </w:rPr>
              <w:t>》</w:t>
            </w:r>
            <w:r>
              <w:rPr>
                <w:rFonts w:hint="eastAsia" w:ascii="Times New Roman" w:hAnsi="Times New Roman" w:eastAsia="宋体"/>
                <w:b w:val="0"/>
                <w:bCs w:val="0"/>
                <w:iCs w:val="0"/>
                <w:color w:val="auto"/>
                <w:sz w:val="24"/>
                <w:szCs w:val="24"/>
                <w:lang w:bidi="ar"/>
              </w:rPr>
              <w:t>（榕</w:t>
            </w:r>
            <w:r>
              <w:rPr>
                <w:rFonts w:hint="eastAsia" w:ascii="Times New Roman" w:hAnsi="Times New Roman" w:eastAsia="宋体"/>
                <w:b w:val="0"/>
                <w:bCs w:val="0"/>
                <w:iCs w:val="0"/>
                <w:color w:val="auto"/>
                <w:sz w:val="24"/>
                <w:szCs w:val="24"/>
                <w:lang w:val="en-US" w:eastAsia="zh-CN" w:bidi="ar"/>
              </w:rPr>
              <w:t>环保综</w:t>
            </w:r>
            <w:r>
              <w:rPr>
                <w:rFonts w:hint="eastAsia" w:ascii="Times New Roman" w:hAnsi="Times New Roman" w:eastAsia="宋体"/>
                <w:b w:val="0"/>
                <w:bCs w:val="0"/>
                <w:iCs w:val="0"/>
                <w:color w:val="auto"/>
                <w:sz w:val="24"/>
                <w:szCs w:val="24"/>
                <w:lang w:bidi="ar"/>
              </w:rPr>
              <w:t>〔202</w:t>
            </w:r>
            <w:r>
              <w:rPr>
                <w:rFonts w:hint="eastAsia" w:ascii="Times New Roman" w:hAnsi="Times New Roman" w:eastAsia="宋体"/>
                <w:b w:val="0"/>
                <w:bCs w:val="0"/>
                <w:iCs w:val="0"/>
                <w:color w:val="auto"/>
                <w:sz w:val="24"/>
                <w:szCs w:val="24"/>
                <w:lang w:val="en-US" w:eastAsia="zh-CN" w:bidi="ar"/>
              </w:rPr>
              <w:t>5</w:t>
            </w:r>
            <w:r>
              <w:rPr>
                <w:rFonts w:hint="eastAsia" w:ascii="Times New Roman" w:hAnsi="Times New Roman" w:eastAsia="宋体"/>
                <w:b w:val="0"/>
                <w:bCs w:val="0"/>
                <w:iCs w:val="0"/>
                <w:color w:val="auto"/>
                <w:sz w:val="24"/>
                <w:szCs w:val="24"/>
                <w:lang w:bidi="ar"/>
              </w:rPr>
              <w:t>〕</w:t>
            </w:r>
            <w:r>
              <w:rPr>
                <w:rFonts w:hint="eastAsia" w:ascii="Times New Roman" w:hAnsi="Times New Roman" w:eastAsia="宋体"/>
                <w:b w:val="0"/>
                <w:bCs w:val="0"/>
                <w:iCs w:val="0"/>
                <w:color w:val="auto"/>
                <w:sz w:val="24"/>
                <w:szCs w:val="24"/>
                <w:lang w:val="en-US" w:eastAsia="zh-CN" w:bidi="ar"/>
              </w:rPr>
              <w:t>1</w:t>
            </w:r>
            <w:r>
              <w:rPr>
                <w:rFonts w:hint="eastAsia" w:ascii="Times New Roman" w:hAnsi="Times New Roman" w:eastAsia="宋体"/>
                <w:b w:val="0"/>
                <w:bCs w:val="0"/>
                <w:iCs w:val="0"/>
                <w:color w:val="auto"/>
                <w:sz w:val="24"/>
                <w:szCs w:val="24"/>
                <w:lang w:bidi="ar"/>
              </w:rPr>
              <w:t>号）</w:t>
            </w:r>
            <w:r>
              <w:rPr>
                <w:rFonts w:ascii="Times New Roman" w:hAnsi="Times New Roman" w:eastAsia="宋体"/>
                <w:b w:val="0"/>
                <w:bCs w:val="0"/>
                <w:iCs w:val="0"/>
                <w:color w:val="auto"/>
                <w:sz w:val="24"/>
                <w:szCs w:val="24"/>
              </w:rPr>
              <w:t>，衔接《福州市国土空间总体规划》（2021-2035），项目用地性质为</w:t>
            </w:r>
            <w:r>
              <w:rPr>
                <w:rFonts w:hint="eastAsia" w:ascii="Times New Roman" w:hAnsi="Times New Roman" w:eastAsia="宋体"/>
                <w:b w:val="0"/>
                <w:bCs w:val="0"/>
                <w:iCs w:val="0"/>
                <w:color w:val="auto"/>
                <w:sz w:val="24"/>
                <w:szCs w:val="24"/>
              </w:rPr>
              <w:t>工业</w:t>
            </w:r>
            <w:r>
              <w:rPr>
                <w:rFonts w:ascii="Times New Roman" w:hAnsi="Times New Roman" w:eastAsia="宋体"/>
                <w:b w:val="0"/>
                <w:bCs w:val="0"/>
                <w:iCs w:val="0"/>
                <w:color w:val="auto"/>
                <w:sz w:val="24"/>
                <w:szCs w:val="24"/>
              </w:rPr>
              <w:t>用地，与城市总体规划相符，项目符合土地资源利用上线管控要求。</w:t>
            </w:r>
          </w:p>
          <w:p w14:paraId="3526526B">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eastAsia="宋体"/>
                <w:b w:val="0"/>
                <w:bCs w:val="0"/>
                <w:iCs w:val="0"/>
                <w:color w:val="auto"/>
                <w:sz w:val="24"/>
                <w:szCs w:val="24"/>
              </w:rPr>
            </w:pPr>
            <w:r>
              <w:rPr>
                <w:rFonts w:hint="eastAsia" w:ascii="Times New Roman" w:hAnsi="Times New Roman" w:eastAsia="宋体"/>
                <w:b w:val="0"/>
                <w:bCs w:val="0"/>
                <w:iCs w:val="0"/>
                <w:color w:val="auto"/>
                <w:sz w:val="24"/>
                <w:szCs w:val="24"/>
              </w:rPr>
              <w:t>③</w:t>
            </w:r>
            <w:r>
              <w:rPr>
                <w:rFonts w:ascii="Times New Roman" w:hAnsi="Times New Roman" w:eastAsia="宋体"/>
                <w:b w:val="0"/>
                <w:bCs w:val="0"/>
                <w:iCs w:val="0"/>
                <w:color w:val="auto"/>
                <w:sz w:val="24"/>
                <w:szCs w:val="24"/>
              </w:rPr>
              <w:t>能源资源利用上线</w:t>
            </w:r>
          </w:p>
          <w:p w14:paraId="013CEF1A">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eastAsia="宋体"/>
                <w:b w:val="0"/>
                <w:bCs w:val="0"/>
                <w:iCs w:val="0"/>
                <w:color w:val="auto"/>
                <w:sz w:val="24"/>
                <w:szCs w:val="24"/>
              </w:rPr>
            </w:pPr>
            <w:r>
              <w:rPr>
                <w:rFonts w:ascii="Times New Roman" w:hAnsi="Times New Roman" w:eastAsia="宋体"/>
                <w:b w:val="0"/>
                <w:bCs w:val="0"/>
                <w:iCs w:val="0"/>
                <w:color w:val="auto"/>
                <w:sz w:val="24"/>
                <w:szCs w:val="24"/>
              </w:rPr>
              <w:t>到2025年，单位地区生产总值二氧化碳排</w:t>
            </w:r>
            <w:r>
              <w:rPr>
                <w:rFonts w:ascii="Times New Roman" w:hAnsi="Times New Roman" w:eastAsia="宋体"/>
                <w:b w:val="0"/>
                <w:bCs w:val="0"/>
                <w:iCs w:val="0"/>
                <w:color w:val="auto"/>
                <w:sz w:val="24"/>
                <w:szCs w:val="24"/>
                <w:highlight w:val="none"/>
              </w:rPr>
              <w:t>放降低</w:t>
            </w:r>
            <w:r>
              <w:rPr>
                <w:rFonts w:hint="eastAsia" w:ascii="Times New Roman" w:hAnsi="Times New Roman" w:eastAsia="宋体"/>
                <w:b w:val="0"/>
                <w:bCs w:val="0"/>
                <w:iCs w:val="0"/>
                <w:color w:val="auto"/>
                <w:sz w:val="24"/>
                <w:szCs w:val="24"/>
                <w:highlight w:val="none"/>
                <w:lang w:val="en-US" w:eastAsia="zh-CN"/>
              </w:rPr>
              <w:t>了</w:t>
            </w:r>
            <w:r>
              <w:rPr>
                <w:rFonts w:ascii="Times New Roman" w:hAnsi="Times New Roman" w:eastAsia="宋体"/>
                <w:b w:val="0"/>
                <w:bCs w:val="0"/>
                <w:iCs w:val="0"/>
                <w:color w:val="auto"/>
                <w:sz w:val="24"/>
                <w:szCs w:val="24"/>
                <w:highlight w:val="none"/>
              </w:rPr>
              <w:t>1</w:t>
            </w:r>
            <w:r>
              <w:rPr>
                <w:rFonts w:ascii="Times New Roman" w:hAnsi="Times New Roman" w:eastAsia="宋体"/>
                <w:b w:val="0"/>
                <w:bCs w:val="0"/>
                <w:iCs w:val="0"/>
                <w:color w:val="auto"/>
                <w:sz w:val="24"/>
                <w:szCs w:val="24"/>
              </w:rPr>
              <w:t>9.5%，单位地区生产总值能源消</w:t>
            </w:r>
            <w:r>
              <w:rPr>
                <w:rFonts w:ascii="Times New Roman" w:hAnsi="Times New Roman" w:eastAsia="宋体"/>
                <w:b w:val="0"/>
                <w:bCs w:val="0"/>
                <w:iCs w:val="0"/>
                <w:color w:val="auto"/>
                <w:sz w:val="24"/>
                <w:szCs w:val="24"/>
                <w:highlight w:val="none"/>
              </w:rPr>
              <w:t>耗降低</w:t>
            </w:r>
            <w:r>
              <w:rPr>
                <w:rFonts w:hint="eastAsia" w:ascii="Times New Roman" w:hAnsi="Times New Roman" w:eastAsia="宋体"/>
                <w:b w:val="0"/>
                <w:bCs w:val="0"/>
                <w:iCs w:val="0"/>
                <w:color w:val="auto"/>
                <w:sz w:val="24"/>
                <w:szCs w:val="24"/>
                <w:highlight w:val="none"/>
                <w:lang w:val="en-US" w:eastAsia="zh-CN"/>
              </w:rPr>
              <w:t>了</w:t>
            </w:r>
            <w:r>
              <w:rPr>
                <w:rFonts w:ascii="Times New Roman" w:hAnsi="Times New Roman" w:eastAsia="宋体"/>
                <w:b w:val="0"/>
                <w:bCs w:val="0"/>
                <w:iCs w:val="0"/>
                <w:color w:val="auto"/>
                <w:sz w:val="24"/>
                <w:szCs w:val="24"/>
                <w:highlight w:val="none"/>
              </w:rPr>
              <w:t>14%，</w:t>
            </w:r>
            <w:r>
              <w:rPr>
                <w:rFonts w:ascii="Times New Roman" w:hAnsi="Times New Roman" w:eastAsia="宋体"/>
                <w:b w:val="0"/>
                <w:bCs w:val="0"/>
                <w:iCs w:val="0"/>
                <w:color w:val="auto"/>
                <w:sz w:val="24"/>
                <w:szCs w:val="24"/>
              </w:rPr>
              <w:t>非化石能源占一次能源消费比例达到32%。2035年指标以省人民政府下达为准。</w:t>
            </w:r>
          </w:p>
          <w:p w14:paraId="0F4903B9">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eastAsia="宋体"/>
                <w:b w:val="0"/>
                <w:bCs w:val="0"/>
                <w:iCs w:val="0"/>
                <w:color w:val="auto"/>
                <w:sz w:val="24"/>
                <w:szCs w:val="24"/>
              </w:rPr>
            </w:pPr>
            <w:r>
              <w:rPr>
                <w:rFonts w:ascii="Times New Roman" w:hAnsi="Times New Roman" w:eastAsia="宋体"/>
                <w:b w:val="0"/>
                <w:bCs w:val="0"/>
                <w:iCs w:val="0"/>
                <w:color w:val="auto"/>
                <w:sz w:val="24"/>
                <w:szCs w:val="24"/>
              </w:rPr>
              <w:t>项目用水、用电为区域集中供应，项目运行过程通过内部管理、设备选择、原辅材料的选用和管理、废物回收利用、污染治理等多方面采取合理可行的防治措施，以</w:t>
            </w:r>
            <w:r>
              <w:rPr>
                <w:rFonts w:hint="eastAsia" w:ascii="Times New Roman" w:hAnsi="Times New Roman" w:eastAsia="宋体"/>
                <w:b w:val="0"/>
                <w:bCs w:val="0"/>
                <w:iCs w:val="0"/>
                <w:color w:val="auto"/>
                <w:sz w:val="24"/>
                <w:szCs w:val="24"/>
                <w:lang w:eastAsia="zh-CN"/>
              </w:rPr>
              <w:t>“</w:t>
            </w:r>
            <w:r>
              <w:rPr>
                <w:rFonts w:ascii="Times New Roman" w:hAnsi="Times New Roman" w:eastAsia="宋体"/>
                <w:b w:val="0"/>
                <w:bCs w:val="0"/>
                <w:iCs w:val="0"/>
                <w:color w:val="auto"/>
                <w:sz w:val="24"/>
                <w:szCs w:val="24"/>
              </w:rPr>
              <w:t>节能、降耗、减污</w:t>
            </w:r>
            <w:r>
              <w:rPr>
                <w:rFonts w:hint="eastAsia" w:ascii="Times New Roman" w:hAnsi="Times New Roman" w:eastAsia="宋体"/>
                <w:b w:val="0"/>
                <w:bCs w:val="0"/>
                <w:iCs w:val="0"/>
                <w:color w:val="auto"/>
                <w:sz w:val="24"/>
                <w:szCs w:val="24"/>
                <w:lang w:eastAsia="zh-CN"/>
              </w:rPr>
              <w:t>”</w:t>
            </w:r>
            <w:r>
              <w:rPr>
                <w:rFonts w:ascii="Times New Roman" w:hAnsi="Times New Roman" w:eastAsia="宋体"/>
                <w:b w:val="0"/>
                <w:bCs w:val="0"/>
                <w:iCs w:val="0"/>
                <w:color w:val="auto"/>
                <w:sz w:val="24"/>
                <w:szCs w:val="24"/>
              </w:rPr>
              <w:t>为目标，有效</w:t>
            </w:r>
            <w:r>
              <w:rPr>
                <w:rFonts w:hint="eastAsia" w:ascii="Times New Roman" w:hAnsi="Times New Roman" w:eastAsia="宋体"/>
                <w:b w:val="0"/>
                <w:bCs w:val="0"/>
                <w:iCs w:val="0"/>
                <w:color w:val="auto"/>
                <w:sz w:val="24"/>
                <w:szCs w:val="24"/>
              </w:rPr>
              <w:t>地</w:t>
            </w:r>
            <w:r>
              <w:rPr>
                <w:rFonts w:ascii="Times New Roman" w:hAnsi="Times New Roman" w:eastAsia="宋体"/>
                <w:b w:val="0"/>
                <w:bCs w:val="0"/>
                <w:iCs w:val="0"/>
                <w:color w:val="auto"/>
                <w:sz w:val="24"/>
                <w:szCs w:val="24"/>
              </w:rPr>
              <w:t>控制污染。项目的水、电等资源利用与福州市能源资源利用上线要求相符。</w:t>
            </w:r>
          </w:p>
          <w:p w14:paraId="56F83F5D">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eastAsia="宋体"/>
                <w:b w:val="0"/>
                <w:bCs w:val="0"/>
                <w:iCs w:val="0"/>
                <w:color w:val="auto"/>
                <w:sz w:val="24"/>
                <w:szCs w:val="24"/>
              </w:rPr>
            </w:pPr>
            <w:r>
              <w:rPr>
                <w:rFonts w:hint="eastAsia" w:ascii="Times New Roman" w:hAnsi="Times New Roman" w:eastAsia="宋体"/>
                <w:b w:val="0"/>
                <w:bCs w:val="0"/>
                <w:iCs w:val="0"/>
                <w:color w:val="auto"/>
                <w:sz w:val="24"/>
                <w:szCs w:val="24"/>
              </w:rPr>
              <w:t>（4）</w:t>
            </w:r>
            <w:r>
              <w:rPr>
                <w:rFonts w:ascii="Times New Roman" w:hAnsi="Times New Roman" w:eastAsia="宋体"/>
                <w:b w:val="0"/>
                <w:bCs w:val="0"/>
                <w:iCs w:val="0"/>
                <w:color w:val="auto"/>
                <w:sz w:val="24"/>
                <w:szCs w:val="24"/>
              </w:rPr>
              <w:t>生态环境准入清单</w:t>
            </w:r>
          </w:p>
          <w:p w14:paraId="2D5E4287">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eastAsia="宋体"/>
                <w:b w:val="0"/>
                <w:bCs w:val="0"/>
                <w:iCs w:val="0"/>
                <w:color w:val="auto"/>
                <w:sz w:val="24"/>
                <w:szCs w:val="24"/>
                <w:highlight w:val="none"/>
              </w:rPr>
            </w:pPr>
            <w:r>
              <w:rPr>
                <w:rFonts w:ascii="Times New Roman" w:hAnsi="Times New Roman" w:eastAsia="宋体"/>
                <w:b w:val="0"/>
                <w:bCs w:val="0"/>
                <w:iCs w:val="0"/>
                <w:color w:val="auto"/>
                <w:sz w:val="24"/>
                <w:szCs w:val="24"/>
              </w:rPr>
              <w:t>项目未列入《福建省第一批国家重点生态功能区县（市）产业准入负面清单（试行）》，</w:t>
            </w:r>
            <w:r>
              <w:rPr>
                <w:rFonts w:ascii="Times New Roman" w:hAnsi="Times New Roman" w:eastAsia="宋体"/>
                <w:b w:val="0"/>
                <w:bCs w:val="0"/>
                <w:iCs w:val="0"/>
                <w:color w:val="auto"/>
                <w:sz w:val="24"/>
                <w:szCs w:val="24"/>
                <w:highlight w:val="none"/>
              </w:rPr>
              <w:t>未列入《市场准入负面清单（20</w:t>
            </w:r>
            <w:r>
              <w:rPr>
                <w:rFonts w:hint="eastAsia" w:ascii="Times New Roman" w:hAnsi="Times New Roman" w:eastAsia="宋体"/>
                <w:b w:val="0"/>
                <w:bCs w:val="0"/>
                <w:iCs w:val="0"/>
                <w:color w:val="auto"/>
                <w:sz w:val="24"/>
                <w:szCs w:val="24"/>
                <w:highlight w:val="none"/>
                <w:lang w:val="en-US" w:eastAsia="zh-CN"/>
              </w:rPr>
              <w:t>25</w:t>
            </w:r>
            <w:r>
              <w:rPr>
                <w:rFonts w:ascii="Times New Roman" w:hAnsi="Times New Roman" w:eastAsia="宋体"/>
                <w:b w:val="0"/>
                <w:bCs w:val="0"/>
                <w:iCs w:val="0"/>
                <w:color w:val="auto"/>
                <w:sz w:val="24"/>
                <w:szCs w:val="24"/>
                <w:highlight w:val="none"/>
              </w:rPr>
              <w:t>年版）》禁止准入类。</w:t>
            </w:r>
          </w:p>
          <w:p w14:paraId="11669A9E">
            <w:pPr>
              <w:pStyle w:val="25"/>
              <w:bidi w:val="0"/>
              <w:rPr>
                <w:rFonts w:hint="default" w:ascii="Times New Roman" w:hAnsi="Times New Roman" w:eastAsia="宋体"/>
                <w:color w:val="auto"/>
                <w:sz w:val="24"/>
                <w:lang w:val="en-US" w:eastAsia="zh-CN"/>
              </w:rPr>
            </w:pPr>
            <w:r>
              <w:rPr>
                <w:rFonts w:hint="default" w:ascii="Times New Roman" w:hAnsi="Times New Roman" w:eastAsia="宋体"/>
                <w:color w:val="auto"/>
                <w:sz w:val="24"/>
                <w:lang w:val="en-US" w:eastAsia="zh-CN"/>
              </w:rPr>
              <w:t>①</w:t>
            </w:r>
            <w:r>
              <w:rPr>
                <w:rFonts w:hint="default" w:ascii="Times New Roman" w:hAnsi="Times New Roman"/>
                <w:color w:val="auto"/>
                <w:lang w:val="en-US" w:eastAsia="zh-CN"/>
              </w:rPr>
              <w:t>与全省生态环境总体准入要求的</w:t>
            </w:r>
            <w:r>
              <w:rPr>
                <w:rFonts w:hint="default" w:ascii="Times New Roman" w:hAnsi="Times New Roman" w:eastAsia="宋体"/>
                <w:color w:val="auto"/>
                <w:sz w:val="24"/>
                <w:lang w:val="en-US" w:eastAsia="zh-CN"/>
              </w:rPr>
              <w:t>符合性分析</w:t>
            </w:r>
          </w:p>
          <w:p w14:paraId="118E7ABA">
            <w:pPr>
              <w:pStyle w:val="25"/>
              <w:bidi w:val="0"/>
              <w:rPr>
                <w:rFonts w:hint="eastAsia" w:ascii="Times New Roman" w:hAnsi="Times New Roman" w:eastAsia="宋体"/>
                <w:color w:val="auto"/>
                <w:sz w:val="24"/>
                <w:lang w:val="en-US" w:eastAsia="zh-CN"/>
              </w:rPr>
            </w:pPr>
            <w:r>
              <w:rPr>
                <w:rFonts w:ascii="Times New Roman" w:hAnsi="Times New Roman" w:eastAsia="宋体"/>
                <w:b w:val="0"/>
                <w:bCs w:val="0"/>
                <w:iCs w:val="0"/>
                <w:color w:val="auto"/>
                <w:sz w:val="24"/>
                <w:szCs w:val="24"/>
              </w:rPr>
              <w:t>符合性分析</w:t>
            </w:r>
            <w:r>
              <w:rPr>
                <w:rFonts w:hint="default" w:ascii="Times New Roman" w:hAnsi="Times New Roman" w:eastAsia="宋体"/>
                <w:color w:val="auto"/>
                <w:sz w:val="24"/>
                <w:lang w:val="en-US" w:eastAsia="zh-CN"/>
              </w:rPr>
              <w:t>具体见表</w:t>
            </w:r>
            <w:r>
              <w:rPr>
                <w:rFonts w:hint="eastAsia" w:ascii="Times New Roman" w:hAnsi="Times New Roman" w:eastAsia="宋体"/>
                <w:color w:val="auto"/>
                <w:sz w:val="24"/>
                <w:lang w:val="en-US" w:eastAsia="zh-CN"/>
              </w:rPr>
              <w:t>1.5-1。</w:t>
            </w:r>
          </w:p>
          <w:p w14:paraId="11ADE1D6">
            <w:pPr>
              <w:pStyle w:val="24"/>
              <w:bidi w:val="0"/>
              <w:rPr>
                <w:rFonts w:hint="default" w:ascii="Times New Roman" w:hAnsi="Times New Roman"/>
                <w:color w:val="auto"/>
                <w:lang w:val="en-US" w:eastAsia="zh-CN"/>
              </w:rPr>
            </w:pPr>
            <w:r>
              <w:rPr>
                <w:rFonts w:hint="default" w:ascii="Times New Roman" w:hAnsi="Times New Roman"/>
                <w:color w:val="auto"/>
                <w:lang w:val="en-US" w:eastAsia="zh-CN"/>
              </w:rPr>
              <w:t>表1.</w:t>
            </w:r>
            <w:r>
              <w:rPr>
                <w:rFonts w:hint="eastAsia" w:ascii="Times New Roman" w:hAnsi="Times New Roman"/>
                <w:color w:val="auto"/>
                <w:lang w:val="en-US" w:eastAsia="zh-CN"/>
              </w:rPr>
              <w:t>5</w:t>
            </w:r>
            <w:r>
              <w:rPr>
                <w:rFonts w:hint="default" w:ascii="Times New Roman" w:hAnsi="Times New Roman"/>
                <w:color w:val="auto"/>
                <w:lang w:val="en-US" w:eastAsia="zh-CN"/>
              </w:rPr>
              <w:t>-1  与全省生态环境总体准入要求的符合性分析</w:t>
            </w:r>
          </w:p>
          <w:tbl>
            <w:tblPr>
              <w:tblStyle w:val="18"/>
              <w:tblW w:w="4998"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686"/>
              <w:gridCol w:w="618"/>
              <w:gridCol w:w="4237"/>
              <w:gridCol w:w="1746"/>
              <w:gridCol w:w="674"/>
            </w:tblGrid>
            <w:tr w14:paraId="22C7FE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31" w:type="pct"/>
                  <w:tcBorders>
                    <w:tl2br w:val="nil"/>
                    <w:tr2bl w:val="nil"/>
                  </w:tcBorders>
                  <w:noWrap w:val="0"/>
                  <w:vAlign w:val="center"/>
                </w:tcPr>
                <w:p w14:paraId="1C40649B">
                  <w:pPr>
                    <w:pStyle w:val="28"/>
                    <w:bidi w:val="0"/>
                    <w:rPr>
                      <w:rFonts w:hint="default" w:ascii="Times New Roman" w:hAnsi="Times New Roman" w:eastAsia="宋体"/>
                      <w:b/>
                      <w:bCs/>
                      <w:color w:val="auto"/>
                      <w:sz w:val="21"/>
                      <w:szCs w:val="21"/>
                      <w:lang w:val="en-US" w:eastAsia="zh-CN"/>
                    </w:rPr>
                  </w:pPr>
                  <w:r>
                    <w:rPr>
                      <w:rFonts w:hint="default" w:ascii="Times New Roman" w:hAnsi="Times New Roman" w:eastAsia="宋体"/>
                      <w:b/>
                      <w:bCs/>
                      <w:color w:val="auto"/>
                      <w:sz w:val="21"/>
                      <w:szCs w:val="21"/>
                      <w:lang w:val="en-US" w:eastAsia="zh-CN"/>
                    </w:rPr>
                    <w:t>适用范围</w:t>
                  </w:r>
                </w:p>
              </w:tc>
              <w:tc>
                <w:tcPr>
                  <w:tcW w:w="3048" w:type="pct"/>
                  <w:gridSpan w:val="2"/>
                  <w:tcBorders>
                    <w:tl2br w:val="nil"/>
                    <w:tr2bl w:val="nil"/>
                  </w:tcBorders>
                  <w:noWrap w:val="0"/>
                  <w:vAlign w:val="center"/>
                </w:tcPr>
                <w:p w14:paraId="512E87CC">
                  <w:pPr>
                    <w:pStyle w:val="28"/>
                    <w:bidi w:val="0"/>
                    <w:rPr>
                      <w:rFonts w:hint="default" w:ascii="Times New Roman" w:hAnsi="Times New Roman" w:eastAsia="宋体"/>
                      <w:b/>
                      <w:bCs/>
                      <w:color w:val="auto"/>
                      <w:sz w:val="21"/>
                      <w:szCs w:val="21"/>
                      <w:lang w:val="en-US" w:eastAsia="zh-CN"/>
                    </w:rPr>
                  </w:pPr>
                  <w:r>
                    <w:rPr>
                      <w:rFonts w:hint="default" w:ascii="Times New Roman" w:hAnsi="Times New Roman" w:eastAsia="宋体"/>
                      <w:b/>
                      <w:bCs/>
                      <w:color w:val="auto"/>
                      <w:sz w:val="21"/>
                      <w:szCs w:val="21"/>
                      <w:lang w:val="en-US" w:eastAsia="zh-CN"/>
                    </w:rPr>
                    <w:t>准入要求</w:t>
                  </w:r>
                </w:p>
              </w:tc>
              <w:tc>
                <w:tcPr>
                  <w:tcW w:w="1096" w:type="pct"/>
                  <w:tcBorders>
                    <w:tl2br w:val="nil"/>
                    <w:tr2bl w:val="nil"/>
                  </w:tcBorders>
                  <w:noWrap w:val="0"/>
                  <w:vAlign w:val="center"/>
                </w:tcPr>
                <w:p w14:paraId="604EB6FE">
                  <w:pPr>
                    <w:pStyle w:val="28"/>
                    <w:bidi w:val="0"/>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本项目情况</w:t>
                  </w:r>
                </w:p>
              </w:tc>
              <w:tc>
                <w:tcPr>
                  <w:tcW w:w="423" w:type="pct"/>
                  <w:tcBorders>
                    <w:tl2br w:val="nil"/>
                    <w:tr2bl w:val="nil"/>
                  </w:tcBorders>
                  <w:noWrap w:val="0"/>
                  <w:vAlign w:val="center"/>
                </w:tcPr>
                <w:p w14:paraId="3F5716B9">
                  <w:pPr>
                    <w:pStyle w:val="28"/>
                    <w:bidi w:val="0"/>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符合性分析</w:t>
                  </w:r>
                </w:p>
              </w:tc>
            </w:tr>
            <w:tr w14:paraId="105693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31" w:type="pct"/>
                  <w:vMerge w:val="restart"/>
                  <w:tcBorders>
                    <w:tl2br w:val="nil"/>
                    <w:tr2bl w:val="nil"/>
                  </w:tcBorders>
                  <w:noWrap w:val="0"/>
                  <w:vAlign w:val="center"/>
                </w:tcPr>
                <w:p w14:paraId="7531E2FD">
                  <w:pPr>
                    <w:pStyle w:val="28"/>
                    <w:bidi w:val="0"/>
                    <w:rPr>
                      <w:rFonts w:hint="default" w:ascii="Times New Roman" w:hAnsi="Times New Roman" w:eastAsia="宋体"/>
                      <w:color w:val="auto"/>
                      <w:sz w:val="21"/>
                      <w:szCs w:val="21"/>
                      <w:lang w:val="en-US" w:eastAsia="zh-CN"/>
                    </w:rPr>
                  </w:pPr>
                  <w:r>
                    <w:rPr>
                      <w:rFonts w:hint="default" w:ascii="Times New Roman" w:hAnsi="Times New Roman" w:eastAsia="宋体"/>
                      <w:color w:val="auto"/>
                      <w:sz w:val="21"/>
                      <w:szCs w:val="21"/>
                      <w:lang w:val="en-US" w:eastAsia="zh-CN"/>
                    </w:rPr>
                    <w:t>全省陆域</w:t>
                  </w:r>
                </w:p>
              </w:tc>
              <w:tc>
                <w:tcPr>
                  <w:tcW w:w="388" w:type="pct"/>
                  <w:tcBorders>
                    <w:tl2br w:val="nil"/>
                    <w:tr2bl w:val="nil"/>
                  </w:tcBorders>
                  <w:noWrap w:val="0"/>
                  <w:vAlign w:val="center"/>
                </w:tcPr>
                <w:p w14:paraId="2570CBA2">
                  <w:pPr>
                    <w:pStyle w:val="28"/>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空间布局约束</w:t>
                  </w:r>
                </w:p>
              </w:tc>
              <w:tc>
                <w:tcPr>
                  <w:tcW w:w="2659" w:type="pct"/>
                  <w:tcBorders>
                    <w:tl2br w:val="nil"/>
                    <w:tr2bl w:val="nil"/>
                  </w:tcBorders>
                  <w:noWrap w:val="0"/>
                  <w:vAlign w:val="center"/>
                </w:tcPr>
                <w:p w14:paraId="5E3B11FD">
                  <w:pPr>
                    <w:pStyle w:val="28"/>
                    <w:bidi w:val="0"/>
                    <w:rPr>
                      <w:rFonts w:hint="default" w:ascii="Times New Roman" w:hAnsi="Times New Roman" w:eastAsia="宋体"/>
                      <w:color w:val="auto"/>
                      <w:sz w:val="21"/>
                      <w:szCs w:val="21"/>
                      <w:lang w:val="en-US" w:eastAsia="zh-CN"/>
                    </w:rPr>
                  </w:pPr>
                  <w:r>
                    <w:rPr>
                      <w:rFonts w:hint="eastAsia" w:ascii="Times New Roman" w:hAnsi="Times New Roman"/>
                      <w:color w:val="auto"/>
                      <w:sz w:val="21"/>
                      <w:szCs w:val="21"/>
                      <w:lang w:val="en-US" w:eastAsia="zh-CN"/>
                    </w:rPr>
                    <w:t>1.</w:t>
                  </w:r>
                  <w:r>
                    <w:rPr>
                      <w:rFonts w:hint="default" w:ascii="Times New Roman" w:hAnsi="Times New Roman" w:eastAsia="宋体"/>
                      <w:color w:val="auto"/>
                      <w:sz w:val="21"/>
                      <w:szCs w:val="21"/>
                      <w:lang w:val="en-US" w:eastAsia="zh-CN"/>
                    </w:rPr>
                    <w:t>石化、汽车、船舶、冶金、水泥、制浆造纸、印染等重点产业，要符合全省规划布局要求。</w:t>
                  </w:r>
                </w:p>
                <w:p w14:paraId="148E5C5D">
                  <w:pPr>
                    <w:pStyle w:val="28"/>
                    <w:bidi w:val="0"/>
                    <w:rPr>
                      <w:rFonts w:hint="default" w:ascii="Times New Roman" w:hAnsi="Times New Roman" w:eastAsia="宋体"/>
                      <w:color w:val="auto"/>
                      <w:sz w:val="21"/>
                      <w:szCs w:val="21"/>
                      <w:lang w:val="en-US" w:eastAsia="zh-CN"/>
                    </w:rPr>
                  </w:pPr>
                  <w:r>
                    <w:rPr>
                      <w:rFonts w:hint="eastAsia" w:ascii="Times New Roman" w:hAnsi="Times New Roman"/>
                      <w:color w:val="auto"/>
                      <w:sz w:val="21"/>
                      <w:szCs w:val="21"/>
                      <w:lang w:val="en-US" w:eastAsia="zh-CN"/>
                    </w:rPr>
                    <w:t>2.</w:t>
                  </w:r>
                  <w:r>
                    <w:rPr>
                      <w:rFonts w:hint="default" w:ascii="Times New Roman" w:hAnsi="Times New Roman" w:eastAsia="宋体"/>
                      <w:color w:val="auto"/>
                      <w:sz w:val="21"/>
                      <w:szCs w:val="21"/>
                      <w:lang w:val="en-US" w:eastAsia="zh-CN"/>
                    </w:rPr>
                    <w:t>严控钢铁、水泥、平板玻璃等产能过剩行业新增产能，新增产能应实施产能等量或减量置换。</w:t>
                  </w:r>
                </w:p>
                <w:p w14:paraId="6A902FDC">
                  <w:pPr>
                    <w:pStyle w:val="28"/>
                    <w:bidi w:val="0"/>
                    <w:rPr>
                      <w:rFonts w:hint="default" w:ascii="Times New Roman" w:hAnsi="Times New Roman" w:eastAsia="宋体"/>
                      <w:color w:val="auto"/>
                      <w:sz w:val="21"/>
                      <w:szCs w:val="21"/>
                      <w:lang w:val="en-US" w:eastAsia="zh-CN"/>
                    </w:rPr>
                  </w:pPr>
                  <w:r>
                    <w:rPr>
                      <w:rFonts w:hint="eastAsia" w:ascii="Times New Roman" w:hAnsi="Times New Roman"/>
                      <w:color w:val="auto"/>
                      <w:sz w:val="21"/>
                      <w:szCs w:val="21"/>
                      <w:lang w:val="en-US" w:eastAsia="zh-CN"/>
                    </w:rPr>
                    <w:t>3.</w:t>
                  </w:r>
                  <w:r>
                    <w:rPr>
                      <w:rFonts w:hint="default" w:ascii="Times New Roman" w:hAnsi="Times New Roman" w:eastAsia="宋体"/>
                      <w:color w:val="auto"/>
                      <w:sz w:val="21"/>
                      <w:szCs w:val="21"/>
                      <w:lang w:val="en-US" w:eastAsia="zh-CN"/>
                    </w:rPr>
                    <w:t>除列入国家规划的大型煤电和符合相关要求的等容量替代项目，以及以供热为主的热电联产项目外，原则上不再建设新的煤电项目。</w:t>
                  </w:r>
                </w:p>
                <w:p w14:paraId="7FC6DF04">
                  <w:pPr>
                    <w:pStyle w:val="28"/>
                    <w:bidi w:val="0"/>
                    <w:rPr>
                      <w:rFonts w:hint="default" w:ascii="Times New Roman" w:hAnsi="Times New Roman" w:eastAsia="宋体"/>
                      <w:color w:val="auto"/>
                      <w:sz w:val="21"/>
                      <w:szCs w:val="21"/>
                      <w:lang w:val="en-US" w:eastAsia="zh-CN"/>
                    </w:rPr>
                  </w:pPr>
                  <w:r>
                    <w:rPr>
                      <w:rFonts w:hint="eastAsia" w:ascii="Times New Roman" w:hAnsi="Times New Roman"/>
                      <w:color w:val="auto"/>
                      <w:sz w:val="21"/>
                      <w:szCs w:val="21"/>
                      <w:lang w:val="en-US" w:eastAsia="zh-CN"/>
                    </w:rPr>
                    <w:t>4.</w:t>
                  </w:r>
                  <w:r>
                    <w:rPr>
                      <w:rFonts w:hint="default" w:ascii="Times New Roman" w:hAnsi="Times New Roman" w:eastAsia="宋体"/>
                      <w:color w:val="auto"/>
                      <w:sz w:val="21"/>
                      <w:szCs w:val="21"/>
                      <w:lang w:val="en-US" w:eastAsia="zh-CN"/>
                    </w:rPr>
                    <w:t>氟化工产业应集中布局在《关于促进我省氟化工产业绿色高效发展的若干意见》中确定的园区，在上述园区之外不再新建氟化工项目，园区之外现有氟化工项目不再扩大规模。</w:t>
                  </w:r>
                </w:p>
                <w:p w14:paraId="7F2AAB41">
                  <w:pPr>
                    <w:pStyle w:val="28"/>
                    <w:bidi w:val="0"/>
                    <w:rPr>
                      <w:rFonts w:hint="default" w:ascii="Times New Roman" w:hAnsi="Times New Roman" w:eastAsia="宋体"/>
                      <w:color w:val="auto"/>
                      <w:sz w:val="21"/>
                      <w:szCs w:val="21"/>
                      <w:lang w:val="en-US" w:eastAsia="zh-CN"/>
                    </w:rPr>
                  </w:pPr>
                  <w:r>
                    <w:rPr>
                      <w:rFonts w:hint="eastAsia" w:ascii="Times New Roman" w:hAnsi="Times New Roman"/>
                      <w:color w:val="auto"/>
                      <w:sz w:val="21"/>
                      <w:szCs w:val="21"/>
                      <w:lang w:val="en-US" w:eastAsia="zh-CN"/>
                    </w:rPr>
                    <w:t>5.</w:t>
                  </w:r>
                  <w:r>
                    <w:rPr>
                      <w:rFonts w:hint="default" w:ascii="Times New Roman" w:hAnsi="Times New Roman" w:eastAsia="宋体"/>
                      <w:color w:val="auto"/>
                      <w:sz w:val="21"/>
                      <w:szCs w:val="21"/>
                      <w:lang w:val="en-US" w:eastAsia="zh-CN"/>
                    </w:rPr>
                    <w:t>禁止在水环境质量不能稳定达标的区域内，建设新增相应不达标污染物指标排放量的工业项目。</w:t>
                  </w:r>
                </w:p>
              </w:tc>
              <w:tc>
                <w:tcPr>
                  <w:tcW w:w="1096" w:type="pct"/>
                  <w:tcBorders>
                    <w:tl2br w:val="nil"/>
                    <w:tr2bl w:val="nil"/>
                  </w:tcBorders>
                  <w:noWrap w:val="0"/>
                  <w:vAlign w:val="center"/>
                </w:tcPr>
                <w:p w14:paraId="73CA8CBD">
                  <w:pPr>
                    <w:pStyle w:val="28"/>
                    <w:bidi w:val="0"/>
                    <w:rPr>
                      <w:rFonts w:hint="default" w:ascii="Times New Roman" w:hAnsi="Times New Roman" w:eastAsia="宋体"/>
                      <w:color w:val="auto"/>
                      <w:sz w:val="21"/>
                      <w:szCs w:val="21"/>
                      <w:lang w:val="en-US" w:eastAsia="zh-CN"/>
                    </w:rPr>
                  </w:pPr>
                  <w:r>
                    <w:rPr>
                      <w:rFonts w:hint="default" w:ascii="Times New Roman" w:hAnsi="Times New Roman" w:eastAsia="宋体"/>
                      <w:color w:val="auto"/>
                      <w:sz w:val="21"/>
                      <w:szCs w:val="21"/>
                      <w:lang w:val="en-US" w:eastAsia="zh-CN"/>
                    </w:rPr>
                    <w:t>本项目不为石化、汽车船舶、冶金、水泥、制浆造纸、印染等重点产业；本项目不为钢铁、水泥、平板玻璃等产能过剩行业；本项目不再建设新的煤电项目；本项目不为氟化工产业；本项目在水环境质量能稳定达标的区域</w:t>
                  </w:r>
                </w:p>
              </w:tc>
              <w:tc>
                <w:tcPr>
                  <w:tcW w:w="423" w:type="pct"/>
                  <w:tcBorders>
                    <w:tl2br w:val="nil"/>
                    <w:tr2bl w:val="nil"/>
                  </w:tcBorders>
                  <w:noWrap w:val="0"/>
                  <w:vAlign w:val="center"/>
                </w:tcPr>
                <w:p w14:paraId="70003D1C">
                  <w:pPr>
                    <w:pStyle w:val="28"/>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符合</w:t>
                  </w:r>
                </w:p>
              </w:tc>
            </w:tr>
            <w:tr w14:paraId="41C2ED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61" w:hRule="atLeast"/>
              </w:trPr>
              <w:tc>
                <w:tcPr>
                  <w:tcW w:w="431" w:type="pct"/>
                  <w:vMerge w:val="continue"/>
                  <w:tcBorders>
                    <w:tl2br w:val="nil"/>
                    <w:tr2bl w:val="nil"/>
                  </w:tcBorders>
                  <w:noWrap w:val="0"/>
                  <w:vAlign w:val="center"/>
                </w:tcPr>
                <w:p w14:paraId="5CE7CD9A">
                  <w:pPr>
                    <w:pStyle w:val="28"/>
                    <w:bidi w:val="0"/>
                    <w:rPr>
                      <w:rFonts w:hint="default" w:ascii="Times New Roman" w:hAnsi="Times New Roman" w:eastAsia="宋体"/>
                      <w:color w:val="auto"/>
                      <w:sz w:val="21"/>
                      <w:szCs w:val="21"/>
                      <w:lang w:val="en-US" w:eastAsia="zh-CN"/>
                    </w:rPr>
                  </w:pPr>
                </w:p>
              </w:tc>
              <w:tc>
                <w:tcPr>
                  <w:tcW w:w="388" w:type="pct"/>
                  <w:tcBorders>
                    <w:tl2br w:val="nil"/>
                    <w:tr2bl w:val="nil"/>
                  </w:tcBorders>
                  <w:noWrap w:val="0"/>
                  <w:vAlign w:val="center"/>
                </w:tcPr>
                <w:p w14:paraId="0AD20992">
                  <w:pPr>
                    <w:pStyle w:val="28"/>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污染物排放管控</w:t>
                  </w:r>
                </w:p>
              </w:tc>
              <w:tc>
                <w:tcPr>
                  <w:tcW w:w="2659" w:type="pct"/>
                  <w:tcBorders>
                    <w:tl2br w:val="nil"/>
                    <w:tr2bl w:val="nil"/>
                  </w:tcBorders>
                  <w:noWrap w:val="0"/>
                  <w:vAlign w:val="center"/>
                </w:tcPr>
                <w:p w14:paraId="76BEB346">
                  <w:pPr>
                    <w:pStyle w:val="28"/>
                    <w:bidi w:val="0"/>
                    <w:rPr>
                      <w:rFonts w:hint="default" w:ascii="Times New Roman" w:hAnsi="Times New Roman" w:eastAsia="宋体"/>
                      <w:color w:val="auto"/>
                      <w:sz w:val="21"/>
                      <w:szCs w:val="21"/>
                      <w:lang w:val="en-US" w:eastAsia="zh-CN"/>
                    </w:rPr>
                  </w:pPr>
                  <w:r>
                    <w:rPr>
                      <w:rFonts w:hint="eastAsia" w:ascii="Times New Roman" w:hAnsi="Times New Roman"/>
                      <w:color w:val="auto"/>
                      <w:sz w:val="21"/>
                      <w:szCs w:val="21"/>
                      <w:lang w:val="en-US" w:eastAsia="zh-CN"/>
                    </w:rPr>
                    <w:t>1.</w:t>
                  </w:r>
                  <w:r>
                    <w:rPr>
                      <w:rFonts w:hint="default" w:ascii="Times New Roman" w:hAnsi="Times New Roman" w:eastAsia="宋体"/>
                      <w:color w:val="auto"/>
                      <w:sz w:val="21"/>
                      <w:szCs w:val="21"/>
                      <w:lang w:val="en-US" w:eastAsia="zh-CN"/>
                    </w:rPr>
                    <w:t>建设项目新增的主要污染物排放量应按要求实行等量或倍量替代。涉及总磷排放的建设项目应按照要求实行总磷排放量倍量或等量削减替代。涉及重金属重点行业建设项目新增的重点重金属污染物应按要求实行</w:t>
                  </w:r>
                  <w:r>
                    <w:rPr>
                      <w:rFonts w:hint="eastAsia" w:ascii="Times New Roman" w:hAnsi="Times New Roman" w:eastAsia="宋体"/>
                      <w:color w:val="auto"/>
                      <w:sz w:val="21"/>
                      <w:szCs w:val="21"/>
                      <w:lang w:val="en-US" w:eastAsia="zh-CN"/>
                    </w:rPr>
                    <w:t>“</w:t>
                  </w:r>
                  <w:r>
                    <w:rPr>
                      <w:rFonts w:hint="default" w:ascii="Times New Roman" w:hAnsi="Times New Roman" w:eastAsia="宋体"/>
                      <w:color w:val="auto"/>
                      <w:sz w:val="21"/>
                      <w:szCs w:val="21"/>
                      <w:lang w:val="en-US" w:eastAsia="zh-CN"/>
                    </w:rPr>
                    <w:t>减量置换</w:t>
                  </w:r>
                  <w:r>
                    <w:rPr>
                      <w:rFonts w:hint="eastAsia" w:ascii="Times New Roman" w:hAnsi="Times New Roman" w:eastAsia="宋体"/>
                      <w:color w:val="auto"/>
                      <w:sz w:val="21"/>
                      <w:szCs w:val="21"/>
                      <w:lang w:val="en-US" w:eastAsia="zh-CN"/>
                    </w:rPr>
                    <w:t>”</w:t>
                  </w:r>
                  <w:r>
                    <w:rPr>
                      <w:rFonts w:hint="default" w:ascii="Times New Roman" w:hAnsi="Times New Roman" w:eastAsia="宋体"/>
                      <w:color w:val="auto"/>
                      <w:sz w:val="21"/>
                      <w:szCs w:val="21"/>
                      <w:lang w:val="en-US" w:eastAsia="zh-CN"/>
                    </w:rPr>
                    <w:t>或等量替换。涉新增VOCs排放项目，VOCs排放实行区域内等量替代。福州、厦门、漳州、泉州、莆田、宁德等6个重点控制区可实施倍量替代。</w:t>
                  </w:r>
                </w:p>
                <w:p w14:paraId="20C4D07F">
                  <w:pPr>
                    <w:pStyle w:val="28"/>
                    <w:bidi w:val="0"/>
                    <w:rPr>
                      <w:rFonts w:hint="default" w:ascii="Times New Roman" w:hAnsi="Times New Roman" w:eastAsia="宋体"/>
                      <w:color w:val="auto"/>
                      <w:sz w:val="21"/>
                      <w:szCs w:val="21"/>
                      <w:lang w:val="en-US" w:eastAsia="zh-CN"/>
                    </w:rPr>
                  </w:pPr>
                  <w:r>
                    <w:rPr>
                      <w:rFonts w:hint="eastAsia" w:ascii="Times New Roman" w:hAnsi="Times New Roman"/>
                      <w:color w:val="auto"/>
                      <w:sz w:val="21"/>
                      <w:szCs w:val="21"/>
                      <w:lang w:val="en-US" w:eastAsia="zh-CN"/>
                    </w:rPr>
                    <w:t>2.</w:t>
                  </w:r>
                  <w:r>
                    <w:rPr>
                      <w:rFonts w:hint="default" w:ascii="Times New Roman" w:hAnsi="Times New Roman" w:eastAsia="宋体"/>
                      <w:color w:val="auto"/>
                      <w:sz w:val="21"/>
                      <w:szCs w:val="21"/>
                      <w:lang w:val="en-US" w:eastAsia="zh-CN"/>
                    </w:rPr>
                    <w:t>新建水泥、有色金属项目应执行大气污染物特别排放限值，钢铁项目应执行超低排放指标要求，火电项目应达到超低排放限值。</w:t>
                  </w:r>
                </w:p>
                <w:p w14:paraId="4A7D5DB1">
                  <w:pPr>
                    <w:pStyle w:val="28"/>
                    <w:bidi w:val="0"/>
                    <w:rPr>
                      <w:rFonts w:hint="default" w:ascii="Times New Roman" w:hAnsi="Times New Roman" w:eastAsia="宋体"/>
                      <w:color w:val="auto"/>
                      <w:sz w:val="21"/>
                      <w:szCs w:val="21"/>
                      <w:lang w:val="en-US" w:eastAsia="zh-CN"/>
                    </w:rPr>
                  </w:pPr>
                  <w:r>
                    <w:rPr>
                      <w:rFonts w:hint="eastAsia" w:ascii="Times New Roman" w:hAnsi="Times New Roman"/>
                      <w:color w:val="auto"/>
                      <w:sz w:val="21"/>
                      <w:szCs w:val="21"/>
                      <w:lang w:val="en-US" w:eastAsia="zh-CN"/>
                    </w:rPr>
                    <w:t>3.</w:t>
                  </w:r>
                  <w:r>
                    <w:rPr>
                      <w:rFonts w:hint="default" w:ascii="Times New Roman" w:hAnsi="Times New Roman" w:eastAsia="宋体"/>
                      <w:color w:val="auto"/>
                      <w:sz w:val="21"/>
                      <w:szCs w:val="21"/>
                      <w:lang w:val="en-US" w:eastAsia="zh-CN"/>
                    </w:rPr>
                    <w:t>尾水排入近岸海域汇水区域、</w:t>
                  </w:r>
                  <w:r>
                    <w:rPr>
                      <w:rFonts w:hint="eastAsia" w:ascii="Times New Roman" w:hAnsi="Times New Roman" w:eastAsia="宋体"/>
                      <w:color w:val="auto"/>
                      <w:sz w:val="21"/>
                      <w:szCs w:val="21"/>
                      <w:lang w:val="en-US" w:eastAsia="zh-CN"/>
                    </w:rPr>
                    <w:t>“</w:t>
                  </w:r>
                  <w:r>
                    <w:rPr>
                      <w:rFonts w:hint="default" w:ascii="Times New Roman" w:hAnsi="Times New Roman" w:eastAsia="宋体"/>
                      <w:color w:val="auto"/>
                      <w:sz w:val="21"/>
                      <w:szCs w:val="21"/>
                      <w:lang w:val="en-US" w:eastAsia="zh-CN"/>
                    </w:rPr>
                    <w:t>六江两溪</w:t>
                  </w:r>
                  <w:r>
                    <w:rPr>
                      <w:rFonts w:hint="eastAsia" w:ascii="Times New Roman" w:hAnsi="Times New Roman" w:eastAsia="宋体"/>
                      <w:color w:val="auto"/>
                      <w:sz w:val="21"/>
                      <w:szCs w:val="21"/>
                      <w:lang w:val="en-US" w:eastAsia="zh-CN"/>
                    </w:rPr>
                    <w:t>”</w:t>
                  </w:r>
                  <w:r>
                    <w:rPr>
                      <w:rFonts w:hint="default" w:ascii="Times New Roman" w:hAnsi="Times New Roman" w:eastAsia="宋体"/>
                      <w:color w:val="auto"/>
                      <w:sz w:val="21"/>
                      <w:szCs w:val="21"/>
                      <w:lang w:val="en-US" w:eastAsia="zh-CN"/>
                    </w:rPr>
                    <w:t>流域以及湖泊、水库等封闭、半封闭水域的城镇污水处理设施执行不低于一级A排放标准。</w:t>
                  </w:r>
                </w:p>
              </w:tc>
              <w:tc>
                <w:tcPr>
                  <w:tcW w:w="1096" w:type="pct"/>
                  <w:tcBorders>
                    <w:tl2br w:val="nil"/>
                    <w:tr2bl w:val="nil"/>
                  </w:tcBorders>
                  <w:noWrap w:val="0"/>
                  <w:vAlign w:val="center"/>
                </w:tcPr>
                <w:p w14:paraId="2EEEC5A3">
                  <w:pPr>
                    <w:pStyle w:val="28"/>
                    <w:bidi w:val="0"/>
                    <w:rPr>
                      <w:rFonts w:hint="default" w:ascii="Times New Roman" w:hAnsi="Times New Roman" w:eastAsia="宋体"/>
                      <w:color w:val="auto"/>
                      <w:sz w:val="21"/>
                      <w:szCs w:val="21"/>
                      <w:lang w:val="en-US" w:eastAsia="zh-CN"/>
                    </w:rPr>
                  </w:pPr>
                  <w:r>
                    <w:rPr>
                      <w:rFonts w:hint="default" w:ascii="Times New Roman" w:hAnsi="Times New Roman" w:eastAsia="宋体"/>
                      <w:color w:val="auto"/>
                      <w:sz w:val="21"/>
                      <w:szCs w:val="21"/>
                      <w:lang w:val="en-US" w:eastAsia="zh-CN"/>
                    </w:rPr>
                    <w:t>本项目不涉及总磷的排放；本项目不涉及重金属重点行业；本项目涉及VOCs排放，VOCs排放实行区域内</w:t>
                  </w:r>
                  <w:r>
                    <w:rPr>
                      <w:rFonts w:hint="eastAsia" w:ascii="Times New Roman" w:hAnsi="Times New Roman"/>
                      <w:color w:val="auto"/>
                      <w:sz w:val="21"/>
                      <w:szCs w:val="21"/>
                      <w:lang w:val="en-US" w:eastAsia="zh-CN"/>
                    </w:rPr>
                    <w:t>倍</w:t>
                  </w:r>
                  <w:r>
                    <w:rPr>
                      <w:rFonts w:hint="default" w:ascii="Times New Roman" w:hAnsi="Times New Roman" w:eastAsia="宋体"/>
                      <w:color w:val="auto"/>
                      <w:sz w:val="21"/>
                      <w:szCs w:val="21"/>
                      <w:lang w:val="en-US" w:eastAsia="zh-CN"/>
                    </w:rPr>
                    <w:t>量替代；本项目不为水泥、有色金属、火电项目；大学城污水处理厂尾水排放执行《城镇污水处理厂污染物排放标准》（GB18918-2002）及其修改单表1的一级A标准</w:t>
                  </w:r>
                </w:p>
              </w:tc>
              <w:tc>
                <w:tcPr>
                  <w:tcW w:w="423" w:type="pct"/>
                  <w:tcBorders>
                    <w:tl2br w:val="nil"/>
                    <w:tr2bl w:val="nil"/>
                  </w:tcBorders>
                  <w:noWrap w:val="0"/>
                  <w:vAlign w:val="center"/>
                </w:tcPr>
                <w:p w14:paraId="045517BB">
                  <w:pPr>
                    <w:pStyle w:val="28"/>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符合</w:t>
                  </w:r>
                </w:p>
              </w:tc>
            </w:tr>
          </w:tbl>
          <w:p w14:paraId="43B9793E">
            <w:pPr>
              <w:pStyle w:val="25"/>
              <w:bidi w:val="0"/>
              <w:rPr>
                <w:rFonts w:hint="default" w:ascii="Times New Roman" w:hAnsi="Times New Roman"/>
                <w:color w:val="auto"/>
                <w:lang w:val="en-US" w:eastAsia="zh-CN"/>
              </w:rPr>
            </w:pPr>
            <w:r>
              <w:rPr>
                <w:rFonts w:hint="default" w:ascii="Times New Roman" w:hAnsi="Times New Roman"/>
                <w:color w:val="auto"/>
                <w:lang w:val="en-US" w:eastAsia="zh-CN"/>
              </w:rPr>
              <w:t>根据上述分析，本项目与全省生态环境总体准入要求的</w:t>
            </w:r>
            <w:r>
              <w:rPr>
                <w:rFonts w:hint="default" w:ascii="Times New Roman" w:hAnsi="Times New Roman" w:eastAsia="宋体"/>
                <w:color w:val="auto"/>
                <w:sz w:val="24"/>
                <w:lang w:val="en-US" w:eastAsia="zh-CN"/>
              </w:rPr>
              <w:t>符合性分析</w:t>
            </w:r>
            <w:r>
              <w:rPr>
                <w:rFonts w:hint="default" w:ascii="Times New Roman" w:hAnsi="Times New Roman"/>
                <w:color w:val="auto"/>
                <w:lang w:val="en-US" w:eastAsia="zh-CN"/>
              </w:rPr>
              <w:t>中的相关规定是符合的。</w:t>
            </w:r>
          </w:p>
          <w:p w14:paraId="5345ED09">
            <w:pPr>
              <w:pStyle w:val="25"/>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olor w:val="auto"/>
                <w:highlight w:val="none"/>
                <w:lang w:val="en-US" w:eastAsia="zh-CN"/>
              </w:rPr>
            </w:pPr>
            <w:r>
              <w:rPr>
                <w:rFonts w:hint="default" w:ascii="Times New Roman" w:hAnsi="Times New Roman"/>
                <w:color w:val="auto"/>
                <w:highlight w:val="none"/>
                <w:lang w:val="en-US" w:eastAsia="zh-CN"/>
              </w:rPr>
              <w:t>②与《福州市生态环境分区管控方案（2023年更新）》符合性分析</w:t>
            </w:r>
          </w:p>
          <w:p w14:paraId="30AC9691">
            <w:pPr>
              <w:pStyle w:val="25"/>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olor w:val="auto"/>
                <w:lang w:val="en-US" w:eastAsia="zh-CN"/>
              </w:rPr>
            </w:pPr>
            <w:r>
              <w:rPr>
                <w:rFonts w:hint="default" w:ascii="Times New Roman" w:hAnsi="Times New Roman"/>
                <w:color w:val="auto"/>
                <w:highlight w:val="none"/>
                <w:lang w:val="en-US" w:eastAsia="zh-CN"/>
              </w:rPr>
              <w:t>根据《福州市人民政府办公厅关于印发</w:t>
            </w:r>
            <w:r>
              <w:rPr>
                <w:rFonts w:hint="eastAsia" w:ascii="Times New Roman" w:hAnsi="Times New Roman"/>
                <w:color w:val="auto"/>
                <w:highlight w:val="none"/>
                <w:lang w:val="en-US" w:eastAsia="zh-CN"/>
              </w:rPr>
              <w:t>〈</w:t>
            </w:r>
            <w:r>
              <w:rPr>
                <w:rFonts w:hint="default" w:ascii="Times New Roman" w:hAnsi="Times New Roman"/>
                <w:color w:val="auto"/>
                <w:highlight w:val="none"/>
                <w:lang w:val="en-US" w:eastAsia="zh-CN"/>
              </w:rPr>
              <w:t>福州市生态环境分区管控方案（2023年更新）</w:t>
            </w:r>
            <w:r>
              <w:rPr>
                <w:rFonts w:hint="eastAsia" w:ascii="Times New Roman" w:hAnsi="Times New Roman"/>
                <w:color w:val="auto"/>
                <w:highlight w:val="none"/>
                <w:lang w:val="en-US" w:eastAsia="zh-CN"/>
              </w:rPr>
              <w:t>〉的通知》</w:t>
            </w:r>
            <w:r>
              <w:rPr>
                <w:rFonts w:hint="default" w:ascii="Times New Roman" w:hAnsi="Times New Roman"/>
                <w:color w:val="auto"/>
                <w:highlight w:val="none"/>
                <w:lang w:val="en-US" w:eastAsia="zh-CN"/>
              </w:rPr>
              <w:t>（榕政办规〔2024〕20号）相关要求分析</w:t>
            </w:r>
            <w:r>
              <w:rPr>
                <w:rFonts w:hint="default" w:ascii="Times New Roman" w:hAnsi="Times New Roman"/>
                <w:color w:val="auto"/>
                <w:lang w:val="en-US" w:eastAsia="zh-CN"/>
              </w:rPr>
              <w:t>，本项目位于</w:t>
            </w:r>
            <w:r>
              <w:rPr>
                <w:rFonts w:hint="eastAsia" w:ascii="Times New Roman" w:hAnsi="Times New Roman"/>
                <w:color w:val="auto"/>
                <w:lang w:val="en-US" w:eastAsia="zh-CN"/>
              </w:rPr>
              <w:t>福建省闽侯县南屿镇窗厦村新南大道176号第三代半导体数字产业园</w:t>
            </w:r>
            <w:r>
              <w:rPr>
                <w:rFonts w:hint="eastAsia"/>
                <w:color w:val="auto"/>
                <w:lang w:val="en-US" w:eastAsia="zh-CN"/>
              </w:rPr>
              <w:t>（</w:t>
            </w:r>
            <w:r>
              <w:rPr>
                <w:rFonts w:hint="eastAsia" w:ascii="Times New Roman" w:hAnsi="Times New Roman"/>
                <w:color w:val="auto"/>
                <w:lang w:val="en-US" w:eastAsia="zh-CN"/>
              </w:rPr>
              <w:t>二期</w:t>
            </w:r>
            <w:r>
              <w:rPr>
                <w:rFonts w:hint="eastAsia"/>
                <w:color w:val="auto"/>
                <w:lang w:val="en-US" w:eastAsia="zh-CN"/>
              </w:rPr>
              <w:t>）</w:t>
            </w:r>
            <w:r>
              <w:rPr>
                <w:rFonts w:hint="eastAsia" w:ascii="Times New Roman" w:hAnsi="Times New Roman"/>
                <w:color w:val="auto"/>
                <w:lang w:val="en-US" w:eastAsia="zh-CN"/>
              </w:rPr>
              <w:t>4号楼5层、6层、7层</w:t>
            </w:r>
            <w:r>
              <w:rPr>
                <w:rFonts w:hint="default" w:ascii="Times New Roman" w:hAnsi="Times New Roman"/>
                <w:color w:val="auto"/>
                <w:lang w:val="en-US" w:eastAsia="zh-CN"/>
              </w:rPr>
              <w:t>，属于</w:t>
            </w:r>
            <w:r>
              <w:rPr>
                <w:rFonts w:hint="eastAsia" w:ascii="Times New Roman" w:hAnsi="Times New Roman"/>
                <w:color w:val="auto"/>
                <w:lang w:val="en-US" w:eastAsia="zh-CN"/>
              </w:rPr>
              <w:t>福州市生物医药和机电产业园（ZH35012120002），为重点管控单元</w:t>
            </w:r>
            <w:r>
              <w:rPr>
                <w:rFonts w:hint="default" w:ascii="Times New Roman" w:hAnsi="Times New Roman"/>
                <w:color w:val="auto"/>
                <w:lang w:val="en-US" w:eastAsia="zh-CN"/>
              </w:rPr>
              <w:t>。具体见表1.</w:t>
            </w:r>
            <w:r>
              <w:rPr>
                <w:rFonts w:hint="eastAsia" w:ascii="Times New Roman" w:hAnsi="Times New Roman"/>
                <w:color w:val="auto"/>
                <w:lang w:val="en-US" w:eastAsia="zh-CN"/>
              </w:rPr>
              <w:t>5</w:t>
            </w:r>
            <w:r>
              <w:rPr>
                <w:rFonts w:hint="default" w:ascii="Times New Roman" w:hAnsi="Times New Roman"/>
                <w:color w:val="auto"/>
                <w:lang w:val="en-US" w:eastAsia="zh-CN"/>
              </w:rPr>
              <w:t>-2、1.</w:t>
            </w:r>
            <w:r>
              <w:rPr>
                <w:rFonts w:hint="eastAsia" w:ascii="Times New Roman" w:hAnsi="Times New Roman"/>
                <w:color w:val="auto"/>
                <w:lang w:val="en-US" w:eastAsia="zh-CN"/>
              </w:rPr>
              <w:t>5</w:t>
            </w:r>
            <w:r>
              <w:rPr>
                <w:rFonts w:hint="default" w:ascii="Times New Roman" w:hAnsi="Times New Roman"/>
                <w:color w:val="auto"/>
                <w:lang w:val="en-US" w:eastAsia="zh-CN"/>
              </w:rPr>
              <w:t>-3。</w:t>
            </w:r>
          </w:p>
          <w:p w14:paraId="37140434">
            <w:pPr>
              <w:pStyle w:val="24"/>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表1.</w:t>
            </w:r>
            <w:r>
              <w:rPr>
                <w:rFonts w:hint="eastAsia" w:ascii="Times New Roman" w:hAnsi="Times New Roman" w:eastAsia="宋体" w:cs="Times New Roman"/>
                <w:color w:val="auto"/>
                <w:lang w:val="en-US" w:eastAsia="zh-CN"/>
              </w:rPr>
              <w:t>5-2  本项目</w:t>
            </w:r>
            <w:r>
              <w:rPr>
                <w:rFonts w:hint="default" w:ascii="Times New Roman" w:hAnsi="Times New Roman" w:eastAsia="宋体" w:cs="Times New Roman"/>
                <w:color w:val="auto"/>
                <w:lang w:val="en-US" w:eastAsia="zh-CN"/>
              </w:rPr>
              <w:t>与福州市</w:t>
            </w:r>
            <w:r>
              <w:rPr>
                <w:rFonts w:hint="eastAsia" w:ascii="Times New Roman" w:hAnsi="Times New Roman" w:eastAsia="宋体" w:cs="Times New Roman"/>
                <w:color w:val="auto"/>
                <w:lang w:val="en-US" w:eastAsia="zh-CN"/>
              </w:rPr>
              <w:t>生态环境整体准入要求符合性分析</w:t>
            </w:r>
          </w:p>
          <w:tbl>
            <w:tblPr>
              <w:tblStyle w:val="17"/>
              <w:tblpPr w:leftFromText="180" w:rightFromText="180" w:vertAnchor="text" w:horzAnchor="page" w:tblpX="95" w:tblpY="372"/>
              <w:tblOverlap w:val="never"/>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736"/>
              <w:gridCol w:w="4453"/>
              <w:gridCol w:w="1286"/>
              <w:gridCol w:w="750"/>
            </w:tblGrid>
            <w:tr w14:paraId="7B00B1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62" w:type="pct"/>
                  <w:tcBorders>
                    <w:tl2br w:val="nil"/>
                    <w:tr2bl w:val="nil"/>
                  </w:tcBorders>
                  <w:noWrap w:val="0"/>
                  <w:vAlign w:val="center"/>
                </w:tcPr>
                <w:p w14:paraId="5B7EA6F8">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适用范围</w:t>
                  </w:r>
                </w:p>
              </w:tc>
              <w:tc>
                <w:tcPr>
                  <w:tcW w:w="462" w:type="pct"/>
                  <w:tcBorders>
                    <w:tl2br w:val="nil"/>
                    <w:tr2bl w:val="nil"/>
                  </w:tcBorders>
                  <w:noWrap w:val="0"/>
                  <w:vAlign w:val="center"/>
                </w:tcPr>
                <w:p w14:paraId="77749934">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类别</w:t>
                  </w:r>
                </w:p>
              </w:tc>
              <w:tc>
                <w:tcPr>
                  <w:tcW w:w="2795" w:type="pct"/>
                  <w:tcBorders>
                    <w:tl2br w:val="nil"/>
                    <w:tr2bl w:val="nil"/>
                  </w:tcBorders>
                  <w:noWrap w:val="0"/>
                  <w:vAlign w:val="center"/>
                </w:tcPr>
                <w:p w14:paraId="1C13775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准入要求</w:t>
                  </w:r>
                </w:p>
              </w:tc>
              <w:tc>
                <w:tcPr>
                  <w:tcW w:w="807" w:type="pct"/>
                  <w:tcBorders>
                    <w:tl2br w:val="nil"/>
                    <w:tr2bl w:val="nil"/>
                  </w:tcBorders>
                  <w:noWrap w:val="0"/>
                  <w:vAlign w:val="center"/>
                </w:tcPr>
                <w:p w14:paraId="401C26CB">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本项目情况</w:t>
                  </w:r>
                </w:p>
              </w:tc>
              <w:tc>
                <w:tcPr>
                  <w:tcW w:w="471" w:type="pct"/>
                  <w:tcBorders>
                    <w:tl2br w:val="nil"/>
                    <w:tr2bl w:val="nil"/>
                  </w:tcBorders>
                  <w:noWrap w:val="0"/>
                  <w:vAlign w:val="center"/>
                </w:tcPr>
                <w:p w14:paraId="7BC9893D">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符合性</w:t>
                  </w:r>
                </w:p>
              </w:tc>
            </w:tr>
            <w:tr w14:paraId="092168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62" w:type="pct"/>
                  <w:vMerge w:val="restart"/>
                  <w:tcBorders>
                    <w:tl2br w:val="nil"/>
                    <w:tr2bl w:val="nil"/>
                  </w:tcBorders>
                  <w:noWrap w:val="0"/>
                  <w:vAlign w:val="center"/>
                </w:tcPr>
                <w:p w14:paraId="6DE6DD1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福州市陆域</w:t>
                  </w:r>
                </w:p>
              </w:tc>
              <w:tc>
                <w:tcPr>
                  <w:tcW w:w="462" w:type="pct"/>
                  <w:tcBorders>
                    <w:tl2br w:val="nil"/>
                    <w:tr2bl w:val="nil"/>
                  </w:tcBorders>
                  <w:noWrap w:val="0"/>
                  <w:vAlign w:val="center"/>
                </w:tcPr>
                <w:p w14:paraId="53168CD2">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空间布局约束</w:t>
                  </w:r>
                </w:p>
              </w:tc>
              <w:tc>
                <w:tcPr>
                  <w:tcW w:w="2795" w:type="pct"/>
                  <w:tcBorders>
                    <w:tl2br w:val="nil"/>
                    <w:tr2bl w:val="nil"/>
                  </w:tcBorders>
                  <w:noWrap w:val="0"/>
                  <w:vAlign w:val="center"/>
                </w:tcPr>
                <w:p w14:paraId="3E50DCA5">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1.福州市石化中上游项目重点在江阴化工新材料专区、连江可门化工新材料产业园布局。</w:t>
                  </w:r>
                </w:p>
                <w:p w14:paraId="30FBA7D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2.鼓楼区内福州高新技术产业开发区洪山片禁止生产型企业的引入；仓山区内福州高新技术产业开发区仓山片不再新增生物医药原料药制造类企业。</w:t>
                  </w:r>
                </w:p>
                <w:p w14:paraId="280E569E">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3.罗源县内福州台商投资区松山片区禁止引进、建设集中电镀、制浆、医药、农药、酿造等重污染项目；连江县内福州台商投资区大官坂片区不再扩大聚酰胺一体化项目规模。</w:t>
                  </w:r>
                </w:p>
                <w:p w14:paraId="5B4C9ED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4.禁止在闽江马尾罗星塔以上流域范围新、扩建制革项目，严控新（扩）建植物制浆、印染、合成革及人造革、电镀项目。</w:t>
                  </w:r>
                </w:p>
                <w:p w14:paraId="4777AE98">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5.禁止在通风廊道和主导风向的上风向布局大气重污染企业，逐步将大气重污染企业和环境风险企业搬出城市建成区和生态保护红线范围。</w:t>
                  </w:r>
                </w:p>
              </w:tc>
              <w:tc>
                <w:tcPr>
                  <w:tcW w:w="807" w:type="pct"/>
                  <w:tcBorders>
                    <w:tl2br w:val="nil"/>
                    <w:tr2bl w:val="nil"/>
                  </w:tcBorders>
                  <w:noWrap w:val="0"/>
                  <w:vAlign w:val="center"/>
                </w:tcPr>
                <w:p w14:paraId="4481266B">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eastAsia="zh-CN"/>
                    </w:rPr>
                  </w:pPr>
                  <w:r>
                    <w:rPr>
                      <w:rFonts w:ascii="Times New Roman" w:hAnsi="Times New Roman" w:eastAsia="宋体"/>
                      <w:color w:val="auto"/>
                      <w:sz w:val="21"/>
                      <w:szCs w:val="21"/>
                      <w:lang w:val="en-US" w:eastAsia="zh-CN"/>
                    </w:rPr>
                    <w:t>本项目不涉及以上空间布局约束</w:t>
                  </w:r>
                  <w:r>
                    <w:rPr>
                      <w:rFonts w:hint="eastAsia" w:ascii="Times New Roman" w:hAnsi="Times New Roman" w:eastAsia="宋体"/>
                      <w:color w:val="auto"/>
                      <w:sz w:val="21"/>
                      <w:szCs w:val="21"/>
                      <w:lang w:val="en-US" w:eastAsia="zh-CN"/>
                    </w:rPr>
                    <w:t>。</w:t>
                  </w:r>
                </w:p>
              </w:tc>
              <w:tc>
                <w:tcPr>
                  <w:tcW w:w="471" w:type="pct"/>
                  <w:tcBorders>
                    <w:tl2br w:val="nil"/>
                    <w:tr2bl w:val="nil"/>
                  </w:tcBorders>
                  <w:noWrap w:val="0"/>
                  <w:vAlign w:val="center"/>
                </w:tcPr>
                <w:p w14:paraId="2C26A945">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符合</w:t>
                  </w:r>
                </w:p>
              </w:tc>
            </w:tr>
            <w:tr w14:paraId="05397C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62" w:type="pct"/>
                  <w:vMerge w:val="continue"/>
                  <w:tcBorders>
                    <w:tl2br w:val="nil"/>
                    <w:tr2bl w:val="nil"/>
                  </w:tcBorders>
                  <w:noWrap w:val="0"/>
                  <w:vAlign w:val="center"/>
                </w:tcPr>
                <w:p w14:paraId="1F7EB917">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s="Times New Roman"/>
                      <w:color w:val="auto"/>
                      <w:sz w:val="21"/>
                      <w:szCs w:val="21"/>
                      <w:lang w:val="en-US" w:eastAsia="zh-CN"/>
                    </w:rPr>
                  </w:pPr>
                </w:p>
              </w:tc>
              <w:tc>
                <w:tcPr>
                  <w:tcW w:w="462" w:type="pct"/>
                  <w:tcBorders>
                    <w:tl2br w:val="nil"/>
                    <w:tr2bl w:val="nil"/>
                  </w:tcBorders>
                  <w:noWrap w:val="0"/>
                  <w:vAlign w:val="center"/>
                </w:tcPr>
                <w:p w14:paraId="1FD161C8">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污染物排放管控</w:t>
                  </w:r>
                </w:p>
              </w:tc>
              <w:tc>
                <w:tcPr>
                  <w:tcW w:w="2795" w:type="pct"/>
                  <w:tcBorders>
                    <w:tl2br w:val="nil"/>
                    <w:tr2bl w:val="nil"/>
                  </w:tcBorders>
                  <w:noWrap w:val="0"/>
                  <w:vAlign w:val="center"/>
                </w:tcPr>
                <w:p w14:paraId="299332B5">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建设规划部门划定的县级以上城市建成区及福州市环境总体规划（2013-2030）划定的大气环境二级管控区的大气污染型工业企业（现阶段指排放二氧化硫、氮氧化物的工业企业，但不含使用天然气、液化石油气等作为燃料的非火电锅炉和工业炉窑排放二氧化硫、氮氧化物的工业企业）新增大气污染物排放量，按不低于1.5倍交易。</w:t>
                  </w:r>
                </w:p>
                <w:p w14:paraId="5AA765F2">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2.省级（含）以上工业园区外的工业企业新增主要污染物排放量（不含使用天然气、液化石油气等作为燃料的非火电锅炉和工业炉窑的工业企业新增的二氧化硫、氮氧化物排放量），按不低于1.2倍交易。</w:t>
                  </w:r>
                </w:p>
                <w:p w14:paraId="0AB90F21">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3.涉新增VOCs排放项目，VOCs排放实行区域内倍量替代。</w:t>
                  </w:r>
                </w:p>
                <w:p w14:paraId="612B180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严格控制新建、改建、扩建钢铁、水泥、平板玻璃、有色金属冶炼、化工等工业项目。新建钢铁、火电、水泥、有色项目应当执行大气污染物特别排放限值。重点控制区新建化工、石化及燃煤锅炉项目应当执行大气污染物特别排放限值。</w:t>
                  </w:r>
                </w:p>
                <w:p w14:paraId="55069FB9">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5.氟化工、印染、电镀等行业企业实行水污染物特别排放限值。</w:t>
                  </w:r>
                </w:p>
              </w:tc>
              <w:tc>
                <w:tcPr>
                  <w:tcW w:w="807" w:type="pct"/>
                  <w:tcBorders>
                    <w:tl2br w:val="nil"/>
                    <w:tr2bl w:val="nil"/>
                  </w:tcBorders>
                  <w:noWrap w:val="0"/>
                  <w:vAlign w:val="center"/>
                </w:tcPr>
                <w:p w14:paraId="069E56A5">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本项目</w:t>
                  </w:r>
                  <w:r>
                    <w:rPr>
                      <w:rFonts w:ascii="Times New Roman" w:hAnsi="Times New Roman" w:eastAsia="宋体"/>
                      <w:color w:val="auto"/>
                      <w:sz w:val="21"/>
                      <w:szCs w:val="21"/>
                      <w:lang w:val="en-US" w:eastAsia="zh-CN"/>
                    </w:rPr>
                    <w:t>涉及VOCs排放，</w:t>
                  </w:r>
                  <w:r>
                    <w:rPr>
                      <w:rFonts w:hint="eastAsia" w:ascii="Times New Roman" w:hAnsi="Times New Roman" w:eastAsia="宋体"/>
                      <w:color w:val="auto"/>
                      <w:sz w:val="21"/>
                      <w:szCs w:val="21"/>
                      <w:lang w:val="en-US" w:eastAsia="zh-CN"/>
                    </w:rPr>
                    <w:t>VOCs排放实行区域内倍量替代。</w:t>
                  </w:r>
                </w:p>
              </w:tc>
              <w:tc>
                <w:tcPr>
                  <w:tcW w:w="471" w:type="pct"/>
                  <w:tcBorders>
                    <w:tl2br w:val="nil"/>
                    <w:tr2bl w:val="nil"/>
                  </w:tcBorders>
                  <w:noWrap w:val="0"/>
                  <w:vAlign w:val="center"/>
                </w:tcPr>
                <w:p w14:paraId="03E4E5D4">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符合</w:t>
                  </w:r>
                </w:p>
              </w:tc>
            </w:tr>
          </w:tbl>
          <w:p w14:paraId="42F52387">
            <w:pPr>
              <w:pStyle w:val="24"/>
              <w:bidi w:val="0"/>
              <w:rPr>
                <w:rFonts w:hint="eastAsia" w:ascii="Times New Roman" w:hAnsi="Times New Roman"/>
                <w:color w:val="auto"/>
                <w:lang w:val="en-US" w:eastAsia="zh-CN"/>
              </w:rPr>
            </w:pPr>
          </w:p>
          <w:p w14:paraId="000BA198">
            <w:pPr>
              <w:pStyle w:val="24"/>
              <w:bidi w:val="0"/>
              <w:rPr>
                <w:rFonts w:hint="default" w:ascii="Times New Roman" w:hAnsi="Times New Roman"/>
                <w:color w:val="auto"/>
                <w:vertAlign w:val="baseline"/>
                <w:lang w:val="en-US" w:eastAsia="zh-CN"/>
              </w:rPr>
            </w:pPr>
            <w:r>
              <w:rPr>
                <w:rFonts w:hint="eastAsia" w:ascii="Times New Roman" w:hAnsi="Times New Roman"/>
                <w:color w:val="auto"/>
                <w:lang w:val="en-US" w:eastAsia="zh-CN"/>
              </w:rPr>
              <w:t>表1.5-3  本项目与福州市生物医药和机电产业园管控要求符合性分析</w:t>
            </w:r>
          </w:p>
          <w:tbl>
            <w:tblPr>
              <w:tblStyle w:val="1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440"/>
              <w:gridCol w:w="834"/>
              <w:gridCol w:w="670"/>
              <w:gridCol w:w="560"/>
              <w:gridCol w:w="3072"/>
              <w:gridCol w:w="1385"/>
            </w:tblGrid>
            <w:tr w14:paraId="2119D5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20" w:hRule="atLeast"/>
              </w:trPr>
              <w:tc>
                <w:tcPr>
                  <w:tcW w:w="353" w:type="pct"/>
                  <w:tcBorders>
                    <w:tl2br w:val="nil"/>
                    <w:tr2bl w:val="nil"/>
                  </w:tcBorders>
                  <w:noWrap w:val="0"/>
                  <w:vAlign w:val="center"/>
                </w:tcPr>
                <w:p w14:paraId="3F4D2376">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b/>
                      <w:bCs/>
                      <w:color w:val="auto"/>
                      <w:lang w:val="en-US" w:eastAsia="zh-CN"/>
                    </w:rPr>
                  </w:pPr>
                  <w:r>
                    <w:rPr>
                      <w:rFonts w:hint="eastAsia" w:ascii="Times New Roman" w:hAnsi="Times New Roman" w:eastAsia="宋体"/>
                      <w:b/>
                      <w:bCs/>
                      <w:color w:val="auto"/>
                      <w:lang w:val="en-US" w:eastAsia="zh-CN"/>
                    </w:rPr>
                    <w:t>环境管控单元编码</w:t>
                  </w:r>
                </w:p>
              </w:tc>
              <w:tc>
                <w:tcPr>
                  <w:tcW w:w="634" w:type="pct"/>
                  <w:tcBorders>
                    <w:tl2br w:val="nil"/>
                    <w:tr2bl w:val="nil"/>
                  </w:tcBorders>
                  <w:noWrap w:val="0"/>
                  <w:vAlign w:val="center"/>
                </w:tcPr>
                <w:p w14:paraId="13A13581">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b/>
                      <w:bCs/>
                      <w:color w:val="auto"/>
                      <w:lang w:val="en-US" w:eastAsia="zh-CN"/>
                    </w:rPr>
                  </w:pPr>
                  <w:r>
                    <w:rPr>
                      <w:rFonts w:hint="eastAsia" w:ascii="Times New Roman" w:hAnsi="Times New Roman" w:eastAsia="宋体"/>
                      <w:b/>
                      <w:bCs/>
                      <w:color w:val="auto"/>
                      <w:lang w:val="en-US" w:eastAsia="zh-CN"/>
                    </w:rPr>
                    <w:t>环境管控单元名称</w:t>
                  </w:r>
                </w:p>
              </w:tc>
              <w:tc>
                <w:tcPr>
                  <w:tcW w:w="531" w:type="pct"/>
                  <w:tcBorders>
                    <w:tl2br w:val="nil"/>
                    <w:tr2bl w:val="nil"/>
                  </w:tcBorders>
                  <w:noWrap w:val="0"/>
                  <w:vAlign w:val="center"/>
                </w:tcPr>
                <w:p w14:paraId="0D759D22">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b/>
                      <w:bCs/>
                      <w:color w:val="auto"/>
                      <w:lang w:val="en-US" w:eastAsia="zh-CN"/>
                    </w:rPr>
                  </w:pPr>
                  <w:r>
                    <w:rPr>
                      <w:rFonts w:hint="eastAsia" w:ascii="Times New Roman" w:hAnsi="Times New Roman" w:eastAsia="宋体"/>
                      <w:b/>
                      <w:bCs/>
                      <w:color w:val="auto"/>
                      <w:lang w:val="en-US" w:eastAsia="zh-CN"/>
                    </w:rPr>
                    <w:t>管控单元类别</w:t>
                  </w:r>
                </w:p>
              </w:tc>
              <w:tc>
                <w:tcPr>
                  <w:tcW w:w="2500" w:type="pct"/>
                  <w:gridSpan w:val="2"/>
                  <w:tcBorders>
                    <w:tl2br w:val="nil"/>
                    <w:tr2bl w:val="nil"/>
                  </w:tcBorders>
                  <w:noWrap w:val="0"/>
                  <w:vAlign w:val="center"/>
                </w:tcPr>
                <w:p w14:paraId="4790E2EC">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b/>
                      <w:bCs/>
                      <w:color w:val="auto"/>
                      <w:lang w:val="en-US" w:eastAsia="zh-CN"/>
                    </w:rPr>
                  </w:pPr>
                  <w:r>
                    <w:rPr>
                      <w:rFonts w:hint="eastAsia" w:ascii="Times New Roman" w:hAnsi="Times New Roman" w:eastAsia="宋体"/>
                      <w:b/>
                      <w:bCs/>
                      <w:color w:val="auto"/>
                      <w:lang w:val="en-US" w:eastAsia="zh-CN"/>
                    </w:rPr>
                    <w:t>管控要求</w:t>
                  </w:r>
                </w:p>
              </w:tc>
              <w:tc>
                <w:tcPr>
                  <w:tcW w:w="979" w:type="pct"/>
                  <w:tcBorders>
                    <w:tl2br w:val="nil"/>
                    <w:tr2bl w:val="nil"/>
                  </w:tcBorders>
                  <w:noWrap w:val="0"/>
                  <w:vAlign w:val="center"/>
                </w:tcPr>
                <w:p w14:paraId="7C7E9975">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b/>
                      <w:bCs/>
                      <w:color w:val="auto"/>
                      <w:lang w:val="en-US" w:eastAsia="zh-CN"/>
                    </w:rPr>
                  </w:pPr>
                  <w:r>
                    <w:rPr>
                      <w:rFonts w:hint="eastAsia" w:ascii="Times New Roman" w:hAnsi="Times New Roman" w:eastAsia="宋体"/>
                      <w:b/>
                      <w:bCs/>
                      <w:color w:val="auto"/>
                      <w:lang w:val="en-US" w:eastAsia="zh-CN"/>
                    </w:rPr>
                    <w:t>符合性</w:t>
                  </w:r>
                </w:p>
              </w:tc>
            </w:tr>
            <w:tr w14:paraId="618360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38" w:hRule="atLeast"/>
              </w:trPr>
              <w:tc>
                <w:tcPr>
                  <w:tcW w:w="353" w:type="pct"/>
                  <w:vMerge w:val="restart"/>
                  <w:tcBorders>
                    <w:tl2br w:val="nil"/>
                    <w:tr2bl w:val="nil"/>
                  </w:tcBorders>
                  <w:noWrap w:val="0"/>
                  <w:vAlign w:val="center"/>
                </w:tcPr>
                <w:p w14:paraId="0CC4B855">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ZH35012120002</w:t>
                  </w:r>
                </w:p>
              </w:tc>
              <w:tc>
                <w:tcPr>
                  <w:tcW w:w="634" w:type="pct"/>
                  <w:vMerge w:val="restart"/>
                  <w:tcBorders>
                    <w:tl2br w:val="nil"/>
                    <w:tr2bl w:val="nil"/>
                  </w:tcBorders>
                  <w:noWrap w:val="0"/>
                  <w:vAlign w:val="center"/>
                </w:tcPr>
                <w:p w14:paraId="0F94926F">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福州市生物医药和机电产业园</w:t>
                  </w:r>
                </w:p>
              </w:tc>
              <w:tc>
                <w:tcPr>
                  <w:tcW w:w="531" w:type="pct"/>
                  <w:vMerge w:val="restart"/>
                  <w:tcBorders>
                    <w:tl2br w:val="nil"/>
                    <w:tr2bl w:val="nil"/>
                  </w:tcBorders>
                  <w:noWrap w:val="0"/>
                  <w:vAlign w:val="center"/>
                </w:tcPr>
                <w:p w14:paraId="684BD88D">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重点管控单元</w:t>
                  </w:r>
                </w:p>
              </w:tc>
              <w:tc>
                <w:tcPr>
                  <w:tcW w:w="462" w:type="pct"/>
                  <w:tcBorders>
                    <w:tl2br w:val="nil"/>
                    <w:tr2bl w:val="nil"/>
                  </w:tcBorders>
                  <w:noWrap w:val="0"/>
                  <w:vAlign w:val="center"/>
                </w:tcPr>
                <w:p w14:paraId="4551BCE6">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空间布局约束</w:t>
                  </w:r>
                </w:p>
              </w:tc>
              <w:tc>
                <w:tcPr>
                  <w:tcW w:w="2038" w:type="pct"/>
                  <w:tcBorders>
                    <w:tl2br w:val="nil"/>
                    <w:tr2bl w:val="nil"/>
                  </w:tcBorders>
                  <w:noWrap w:val="0"/>
                  <w:vAlign w:val="center"/>
                </w:tcPr>
                <w:p w14:paraId="35EFC5AE">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1.除配套的久策气体项目和国电金山分布式能源站项目外，禁止其他化工和能源项目入园。</w:t>
                  </w:r>
                </w:p>
                <w:p w14:paraId="352EFFB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2.生物医药产业限制产生恶臭的行业入驻；禁止引入水污染严重型产业。</w:t>
                  </w:r>
                </w:p>
                <w:p w14:paraId="4FCF842F">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3.居住用地周边禁止布局潜在废气扰民的建设项目。</w:t>
                  </w:r>
                </w:p>
              </w:tc>
              <w:tc>
                <w:tcPr>
                  <w:tcW w:w="979" w:type="pct"/>
                  <w:tcBorders>
                    <w:tl2br w:val="nil"/>
                    <w:tr2bl w:val="nil"/>
                  </w:tcBorders>
                  <w:noWrap w:val="0"/>
                  <w:vAlign w:val="center"/>
                </w:tcPr>
                <w:p w14:paraId="700F472C">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本项目不涉及化工、能源、水污染重型、潜在废气扰民</w:t>
                  </w:r>
                  <w:r>
                    <w:rPr>
                      <w:rFonts w:hint="eastAsia" w:ascii="Times New Roman" w:hAnsi="Times New Roman"/>
                      <w:color w:val="auto"/>
                      <w:lang w:val="en-US" w:eastAsia="zh-CN"/>
                    </w:rPr>
                    <w:t>；不属于生物医药行业。</w:t>
                  </w:r>
                  <w:r>
                    <w:rPr>
                      <w:rFonts w:hint="eastAsia" w:ascii="Times New Roman" w:hAnsi="Times New Roman" w:eastAsia="宋体"/>
                      <w:color w:val="auto"/>
                      <w:lang w:val="en-US" w:eastAsia="zh-CN"/>
                    </w:rPr>
                    <w:t>符合</w:t>
                  </w:r>
                </w:p>
              </w:tc>
            </w:tr>
            <w:tr w14:paraId="3167C3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53" w:type="pct"/>
                  <w:vMerge w:val="continue"/>
                  <w:tcBorders>
                    <w:tl2br w:val="nil"/>
                    <w:tr2bl w:val="nil"/>
                  </w:tcBorders>
                  <w:noWrap w:val="0"/>
                  <w:vAlign w:val="center"/>
                </w:tcPr>
                <w:p w14:paraId="550D9687">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p>
              </w:tc>
              <w:tc>
                <w:tcPr>
                  <w:tcW w:w="634" w:type="pct"/>
                  <w:vMerge w:val="continue"/>
                  <w:tcBorders>
                    <w:tl2br w:val="nil"/>
                    <w:tr2bl w:val="nil"/>
                  </w:tcBorders>
                  <w:noWrap w:val="0"/>
                  <w:vAlign w:val="center"/>
                </w:tcPr>
                <w:p w14:paraId="57DB660C">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p>
              </w:tc>
              <w:tc>
                <w:tcPr>
                  <w:tcW w:w="531" w:type="pct"/>
                  <w:vMerge w:val="continue"/>
                  <w:tcBorders>
                    <w:tl2br w:val="nil"/>
                    <w:tr2bl w:val="nil"/>
                  </w:tcBorders>
                  <w:noWrap w:val="0"/>
                  <w:vAlign w:val="center"/>
                </w:tcPr>
                <w:p w14:paraId="7EA7475E">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p>
              </w:tc>
              <w:tc>
                <w:tcPr>
                  <w:tcW w:w="462" w:type="pct"/>
                  <w:tcBorders>
                    <w:tl2br w:val="nil"/>
                    <w:tr2bl w:val="nil"/>
                  </w:tcBorders>
                  <w:noWrap w:val="0"/>
                  <w:vAlign w:val="center"/>
                </w:tcPr>
                <w:p w14:paraId="0C8BC3D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污染物排放管控</w:t>
                  </w:r>
                </w:p>
              </w:tc>
              <w:tc>
                <w:tcPr>
                  <w:tcW w:w="2038" w:type="pct"/>
                  <w:tcBorders>
                    <w:tl2br w:val="nil"/>
                    <w:tr2bl w:val="nil"/>
                  </w:tcBorders>
                  <w:noWrap w:val="0"/>
                  <w:vAlign w:val="center"/>
                </w:tcPr>
                <w:p w14:paraId="152955B3">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涉新增VOCs排放项目，VOCs排放实行区域内倍量替代。</w:t>
                  </w:r>
                </w:p>
              </w:tc>
              <w:tc>
                <w:tcPr>
                  <w:tcW w:w="979" w:type="pct"/>
                  <w:tcBorders>
                    <w:tl2br w:val="nil"/>
                    <w:tr2bl w:val="nil"/>
                  </w:tcBorders>
                  <w:noWrap w:val="0"/>
                  <w:vAlign w:val="center"/>
                </w:tcPr>
                <w:p w14:paraId="4DDBF786">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本项目涉及VOCs排放，实行区域内倍量替代。符合</w:t>
                  </w:r>
                </w:p>
              </w:tc>
            </w:tr>
            <w:tr w14:paraId="32D837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8" w:hRule="atLeast"/>
              </w:trPr>
              <w:tc>
                <w:tcPr>
                  <w:tcW w:w="353" w:type="pct"/>
                  <w:vMerge w:val="continue"/>
                  <w:tcBorders>
                    <w:tl2br w:val="nil"/>
                    <w:tr2bl w:val="nil"/>
                  </w:tcBorders>
                  <w:noWrap w:val="0"/>
                  <w:vAlign w:val="center"/>
                </w:tcPr>
                <w:p w14:paraId="7B13772C">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p>
              </w:tc>
              <w:tc>
                <w:tcPr>
                  <w:tcW w:w="634" w:type="pct"/>
                  <w:vMerge w:val="continue"/>
                  <w:tcBorders>
                    <w:tl2br w:val="nil"/>
                    <w:tr2bl w:val="nil"/>
                  </w:tcBorders>
                  <w:noWrap w:val="0"/>
                  <w:vAlign w:val="center"/>
                </w:tcPr>
                <w:p w14:paraId="0E62E504">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p>
              </w:tc>
              <w:tc>
                <w:tcPr>
                  <w:tcW w:w="531" w:type="pct"/>
                  <w:vMerge w:val="continue"/>
                  <w:tcBorders>
                    <w:tl2br w:val="nil"/>
                    <w:tr2bl w:val="nil"/>
                  </w:tcBorders>
                  <w:noWrap w:val="0"/>
                  <w:vAlign w:val="center"/>
                </w:tcPr>
                <w:p w14:paraId="5D93311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p>
              </w:tc>
              <w:tc>
                <w:tcPr>
                  <w:tcW w:w="462" w:type="pct"/>
                  <w:tcBorders>
                    <w:tl2br w:val="nil"/>
                    <w:tr2bl w:val="nil"/>
                  </w:tcBorders>
                  <w:noWrap w:val="0"/>
                  <w:vAlign w:val="center"/>
                </w:tcPr>
                <w:p w14:paraId="6428F2A9">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环境风险防控</w:t>
                  </w:r>
                </w:p>
              </w:tc>
              <w:tc>
                <w:tcPr>
                  <w:tcW w:w="2038" w:type="pct"/>
                  <w:tcBorders>
                    <w:tl2br w:val="nil"/>
                    <w:tr2bl w:val="nil"/>
                  </w:tcBorders>
                  <w:noWrap w:val="0"/>
                  <w:vAlign w:val="center"/>
                </w:tcPr>
                <w:p w14:paraId="318ACB64">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1.建立健全环境风险防控体系，制定环境风险应急预案，建设事故应急池，成立应急组织机构，防止在处理安全生产事故过程中产生的可能严重污染水体的消防废水、废液直接排入水体。</w:t>
                  </w:r>
                </w:p>
                <w:p w14:paraId="29B19D74">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2.应采取有效措施防止园区建设对区域地下水、土壤造成污染。</w:t>
                  </w:r>
                </w:p>
              </w:tc>
              <w:tc>
                <w:tcPr>
                  <w:tcW w:w="979" w:type="pct"/>
                  <w:tcBorders>
                    <w:tl2br w:val="nil"/>
                    <w:tr2bl w:val="nil"/>
                  </w:tcBorders>
                  <w:noWrap w:val="0"/>
                  <w:vAlign w:val="center"/>
                </w:tcPr>
                <w:p w14:paraId="0A384CD2">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r>
                    <w:rPr>
                      <w:rFonts w:hint="eastAsia" w:ascii="Times New Roman" w:hAnsi="Times New Roman" w:eastAsia="宋体"/>
                      <w:color w:val="auto"/>
                      <w:lang w:val="en-US" w:eastAsia="zh-CN"/>
                    </w:rPr>
                    <w:t>建立风险防控体系，采取有效措施防止园区建设对区域地下水、突然造成污染。符合</w:t>
                  </w:r>
                </w:p>
              </w:tc>
            </w:tr>
          </w:tbl>
          <w:p w14:paraId="6C6F1B00">
            <w:pPr>
              <w:pStyle w:val="3"/>
              <w:bidi w:val="0"/>
              <w:rPr>
                <w:rFonts w:hint="eastAsia" w:ascii="Times New Roman" w:hAnsi="Times New Roman" w:eastAsia="宋体" w:cs="Times New Roman"/>
                <w:b/>
                <w:bCs/>
                <w:color w:val="auto"/>
                <w:kern w:val="2"/>
                <w:sz w:val="28"/>
                <w:szCs w:val="30"/>
                <w:highlight w:val="none"/>
                <w:lang w:val="en-US" w:eastAsia="zh-CN" w:bidi="ar-SA"/>
              </w:rPr>
            </w:pPr>
            <w:bookmarkStart w:id="13" w:name="_Toc6301"/>
            <w:r>
              <w:rPr>
                <w:rFonts w:hint="eastAsia" w:ascii="Times New Roman" w:hAnsi="Times New Roman" w:eastAsia="宋体" w:cs="Times New Roman"/>
                <w:b/>
                <w:bCs/>
                <w:color w:val="auto"/>
                <w:kern w:val="2"/>
                <w:sz w:val="28"/>
                <w:szCs w:val="30"/>
                <w:highlight w:val="none"/>
                <w:lang w:val="en-US" w:eastAsia="zh-CN" w:bidi="ar-SA"/>
              </w:rPr>
              <w:t>1.6与挥发性有机物污染防治相关政策符合性分析</w:t>
            </w:r>
            <w:bookmarkEnd w:id="13"/>
          </w:p>
          <w:p w14:paraId="057F25A7">
            <w:pPr>
              <w:pStyle w:val="4"/>
              <w:bidi w:val="0"/>
              <w:rPr>
                <w:rFonts w:hint="eastAsia" w:ascii="Times New Roman" w:hAnsi="Times New Roman"/>
                <w:color w:val="auto"/>
                <w:lang w:val="en-US" w:eastAsia="zh-CN"/>
              </w:rPr>
            </w:pPr>
            <w:bookmarkStart w:id="14" w:name="_Toc12592"/>
            <w:r>
              <w:rPr>
                <w:rFonts w:hint="eastAsia" w:ascii="Times New Roman" w:hAnsi="Times New Roman"/>
                <w:color w:val="auto"/>
                <w:lang w:val="en-US" w:eastAsia="zh-CN"/>
              </w:rPr>
              <w:t>1.6.1与《重点行业挥发性有机物综合治理方案》（环大气〔2019〕53号）的符合性分析</w:t>
            </w:r>
            <w:bookmarkEnd w:id="14"/>
          </w:p>
          <w:p w14:paraId="3B0E100A">
            <w:pPr>
              <w:pStyle w:val="24"/>
              <w:bidi w:val="0"/>
              <w:rPr>
                <w:rFonts w:hint="eastAsia" w:ascii="Times New Roman" w:hAnsi="Times New Roman"/>
                <w:color w:val="auto"/>
                <w:lang w:val="en-US" w:eastAsia="zh-CN"/>
              </w:rPr>
            </w:pPr>
            <w:r>
              <w:rPr>
                <w:rFonts w:ascii="Times New Roman" w:hAnsi="Times New Roman"/>
                <w:color w:val="auto"/>
                <w:lang w:val="en-US" w:eastAsia="zh-CN"/>
              </w:rPr>
              <w:t>表1</w:t>
            </w:r>
            <w:r>
              <w:rPr>
                <w:rFonts w:hint="eastAsia" w:ascii="Times New Roman" w:hAnsi="Times New Roman"/>
                <w:color w:val="auto"/>
                <w:lang w:val="en-US" w:eastAsia="zh-CN"/>
              </w:rPr>
              <w:t>.6-1  本项目</w:t>
            </w:r>
            <w:r>
              <w:rPr>
                <w:rFonts w:ascii="Times New Roman" w:hAnsi="Times New Roman"/>
                <w:color w:val="auto"/>
                <w:lang w:val="en-US" w:eastAsia="zh-CN"/>
              </w:rPr>
              <w:t>与</w:t>
            </w:r>
            <w:r>
              <w:rPr>
                <w:rFonts w:hint="eastAsia" w:ascii="Times New Roman" w:hAnsi="Times New Roman"/>
                <w:color w:val="auto"/>
                <w:lang w:val="en-US" w:eastAsia="zh-CN"/>
              </w:rPr>
              <w:t>《重点行业挥发性有机物综合治理方案》（环大气〔2019〕53号）的</w:t>
            </w:r>
            <w:r>
              <w:rPr>
                <w:rFonts w:ascii="Times New Roman" w:hAnsi="Times New Roman"/>
                <w:color w:val="auto"/>
                <w:lang w:val="en-US" w:eastAsia="zh-CN"/>
              </w:rPr>
              <w:t>符合性分析</w:t>
            </w:r>
          </w:p>
          <w:tbl>
            <w:tblPr>
              <w:tblStyle w:val="17"/>
              <w:tblW w:w="7878"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891"/>
              <w:gridCol w:w="4297"/>
              <w:gridCol w:w="1944"/>
              <w:gridCol w:w="746"/>
            </w:tblGrid>
            <w:tr w14:paraId="66B09A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891" w:type="dxa"/>
                  <w:tcBorders>
                    <w:tl2br w:val="nil"/>
                    <w:tr2bl w:val="nil"/>
                  </w:tcBorders>
                  <w:noWrap w:val="0"/>
                  <w:vAlign w:val="center"/>
                </w:tcPr>
                <w:p w14:paraId="78A7C6FB">
                  <w:pPr>
                    <w:pStyle w:val="28"/>
                    <w:bidi w:val="0"/>
                    <w:rPr>
                      <w:rFonts w:hint="eastAsia" w:ascii="Times New Roman" w:hAnsi="Times New Roman"/>
                      <w:b/>
                      <w:bCs/>
                      <w:color w:val="auto"/>
                      <w:lang w:val="en-US" w:eastAsia="zh-CN"/>
                    </w:rPr>
                  </w:pPr>
                  <w:r>
                    <w:rPr>
                      <w:rFonts w:hint="eastAsia" w:ascii="Times New Roman" w:hAnsi="Times New Roman"/>
                      <w:b/>
                      <w:bCs/>
                      <w:color w:val="auto"/>
                      <w:lang w:val="en-US" w:eastAsia="zh-CN"/>
                    </w:rPr>
                    <w:t>源项</w:t>
                  </w:r>
                </w:p>
              </w:tc>
              <w:tc>
                <w:tcPr>
                  <w:tcW w:w="4297" w:type="dxa"/>
                  <w:tcBorders>
                    <w:tl2br w:val="nil"/>
                    <w:tr2bl w:val="nil"/>
                  </w:tcBorders>
                  <w:noWrap w:val="0"/>
                  <w:vAlign w:val="center"/>
                </w:tcPr>
                <w:p w14:paraId="78C52CEB">
                  <w:pPr>
                    <w:pStyle w:val="28"/>
                    <w:bidi w:val="0"/>
                    <w:rPr>
                      <w:rFonts w:hint="default" w:ascii="Times New Roman" w:hAnsi="Times New Roman"/>
                      <w:b/>
                      <w:bCs/>
                      <w:color w:val="auto"/>
                      <w:lang w:val="en-US" w:eastAsia="zh-CN"/>
                    </w:rPr>
                  </w:pPr>
                  <w:r>
                    <w:rPr>
                      <w:rFonts w:hint="eastAsia" w:ascii="Times New Roman" w:hAnsi="Times New Roman"/>
                      <w:b/>
                      <w:bCs/>
                      <w:color w:val="auto"/>
                      <w:lang w:val="en-US" w:eastAsia="zh-CN"/>
                    </w:rPr>
                    <w:t>检查要点</w:t>
                  </w:r>
                </w:p>
              </w:tc>
              <w:tc>
                <w:tcPr>
                  <w:tcW w:w="1944" w:type="dxa"/>
                  <w:tcBorders>
                    <w:tl2br w:val="nil"/>
                    <w:tr2bl w:val="nil"/>
                  </w:tcBorders>
                  <w:noWrap w:val="0"/>
                  <w:vAlign w:val="center"/>
                </w:tcPr>
                <w:p w14:paraId="698A50BD">
                  <w:pPr>
                    <w:pStyle w:val="28"/>
                    <w:bidi w:val="0"/>
                    <w:rPr>
                      <w:rFonts w:hint="eastAsia" w:ascii="Times New Roman" w:hAnsi="Times New Roman"/>
                      <w:b/>
                      <w:bCs/>
                      <w:color w:val="auto"/>
                      <w:lang w:val="en-US" w:eastAsia="zh-CN"/>
                    </w:rPr>
                  </w:pPr>
                  <w:r>
                    <w:rPr>
                      <w:rFonts w:hint="eastAsia" w:ascii="Times New Roman" w:hAnsi="Times New Roman"/>
                      <w:b/>
                      <w:bCs/>
                      <w:color w:val="auto"/>
                      <w:lang w:val="en-US" w:eastAsia="zh-CN"/>
                    </w:rPr>
                    <w:t>本项目情况</w:t>
                  </w:r>
                </w:p>
              </w:tc>
              <w:tc>
                <w:tcPr>
                  <w:tcW w:w="746" w:type="dxa"/>
                  <w:tcBorders>
                    <w:tl2br w:val="nil"/>
                    <w:tr2bl w:val="nil"/>
                  </w:tcBorders>
                  <w:noWrap w:val="0"/>
                  <w:vAlign w:val="center"/>
                </w:tcPr>
                <w:p w14:paraId="32AE0EB7">
                  <w:pPr>
                    <w:pStyle w:val="28"/>
                    <w:bidi w:val="0"/>
                    <w:rPr>
                      <w:rFonts w:hint="eastAsia" w:ascii="Times New Roman" w:hAnsi="Times New Roman"/>
                      <w:b/>
                      <w:bCs/>
                      <w:color w:val="auto"/>
                      <w:lang w:val="en-US" w:eastAsia="zh-CN"/>
                    </w:rPr>
                  </w:pPr>
                  <w:r>
                    <w:rPr>
                      <w:rFonts w:hint="eastAsia" w:ascii="Times New Roman" w:hAnsi="Times New Roman"/>
                      <w:b/>
                      <w:bCs/>
                      <w:color w:val="auto"/>
                      <w:lang w:val="en-US" w:eastAsia="zh-CN"/>
                    </w:rPr>
                    <w:t>符合性</w:t>
                  </w:r>
                </w:p>
              </w:tc>
            </w:tr>
            <w:tr w14:paraId="1FD189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66" w:hRule="atLeast"/>
              </w:trPr>
              <w:tc>
                <w:tcPr>
                  <w:tcW w:w="891" w:type="dxa"/>
                  <w:tcBorders>
                    <w:tl2br w:val="nil"/>
                    <w:tr2bl w:val="nil"/>
                  </w:tcBorders>
                  <w:noWrap w:val="0"/>
                  <w:vAlign w:val="center"/>
                </w:tcPr>
                <w:p w14:paraId="06C1D63C">
                  <w:pPr>
                    <w:pStyle w:val="28"/>
                    <w:bidi w:val="0"/>
                    <w:rPr>
                      <w:rFonts w:hint="eastAsia" w:ascii="Times New Roman" w:hAnsi="Times New Roman"/>
                      <w:color w:val="auto"/>
                      <w:lang w:val="en-US" w:eastAsia="zh-CN"/>
                    </w:rPr>
                  </w:pPr>
                  <w:r>
                    <w:rPr>
                      <w:rFonts w:hint="eastAsia" w:ascii="Times New Roman" w:hAnsi="Times New Roman"/>
                      <w:color w:val="auto"/>
                      <w:lang w:val="en-US" w:eastAsia="zh-CN"/>
                    </w:rPr>
                    <w:t>VOCs物料储存</w:t>
                  </w:r>
                </w:p>
              </w:tc>
              <w:tc>
                <w:tcPr>
                  <w:tcW w:w="4297" w:type="dxa"/>
                  <w:tcBorders>
                    <w:tl2br w:val="nil"/>
                    <w:tr2bl w:val="nil"/>
                  </w:tcBorders>
                  <w:noWrap w:val="0"/>
                  <w:vAlign w:val="center"/>
                </w:tcPr>
                <w:p w14:paraId="623B3648">
                  <w:pPr>
                    <w:pStyle w:val="28"/>
                    <w:bidi w:val="0"/>
                    <w:rPr>
                      <w:rFonts w:hint="eastAsia" w:ascii="Times New Roman" w:hAnsi="Times New Roman"/>
                      <w:color w:val="auto"/>
                      <w:lang w:val="en-US" w:eastAsia="zh-CN"/>
                    </w:rPr>
                  </w:pPr>
                  <w:r>
                    <w:rPr>
                      <w:rFonts w:hint="eastAsia" w:ascii="Times New Roman" w:hAnsi="Times New Roman"/>
                      <w:color w:val="auto"/>
                      <w:lang w:val="en-US" w:eastAsia="zh-CN"/>
                    </w:rPr>
                    <w:t>1.容器或包装袋在非取用状态时是否加盖、封口，保持密闭；盛装过VOCs物料的废包装容器是否加盖密闭。</w:t>
                  </w:r>
                </w:p>
                <w:p w14:paraId="0FB29A1A">
                  <w:pPr>
                    <w:pStyle w:val="28"/>
                    <w:bidi w:val="0"/>
                    <w:rPr>
                      <w:rFonts w:hint="eastAsia" w:ascii="Times New Roman" w:hAnsi="Times New Roman"/>
                      <w:color w:val="auto"/>
                      <w:lang w:val="en-US" w:eastAsia="zh-CN"/>
                    </w:rPr>
                  </w:pPr>
                  <w:r>
                    <w:rPr>
                      <w:rFonts w:hint="eastAsia" w:ascii="Times New Roman" w:hAnsi="Times New Roman"/>
                      <w:color w:val="auto"/>
                      <w:lang w:val="en-US" w:eastAsia="zh-CN"/>
                    </w:rPr>
                    <w:t>2.容器或包装袋是否存放于室内，或存放于设置有雨棚、遮阳和防渗设施的专用场地。</w:t>
                  </w:r>
                </w:p>
              </w:tc>
              <w:tc>
                <w:tcPr>
                  <w:tcW w:w="1944" w:type="dxa"/>
                  <w:tcBorders>
                    <w:tl2br w:val="nil"/>
                    <w:tr2bl w:val="nil"/>
                  </w:tcBorders>
                  <w:noWrap w:val="0"/>
                  <w:vAlign w:val="center"/>
                </w:tcPr>
                <w:p w14:paraId="72E0169E">
                  <w:pPr>
                    <w:pStyle w:val="28"/>
                    <w:bidi w:val="0"/>
                    <w:rPr>
                      <w:rFonts w:hint="default" w:ascii="Times New Roman" w:hAnsi="Times New Roman"/>
                      <w:color w:val="auto"/>
                      <w:lang w:val="en-US" w:eastAsia="zh-CN"/>
                    </w:rPr>
                  </w:pPr>
                  <w:r>
                    <w:rPr>
                      <w:rFonts w:hint="eastAsia" w:ascii="Times New Roman" w:hAnsi="Times New Roman"/>
                      <w:color w:val="auto"/>
                      <w:lang w:val="en-US" w:eastAsia="zh-CN"/>
                    </w:rPr>
                    <w:t>VOCs物料放在有加盖、封口的容器内，保持密闭；容器放于室内</w:t>
                  </w:r>
                </w:p>
              </w:tc>
              <w:tc>
                <w:tcPr>
                  <w:tcW w:w="746" w:type="dxa"/>
                  <w:tcBorders>
                    <w:tl2br w:val="nil"/>
                    <w:tr2bl w:val="nil"/>
                  </w:tcBorders>
                  <w:noWrap w:val="0"/>
                  <w:vAlign w:val="center"/>
                </w:tcPr>
                <w:p w14:paraId="4528BEE9">
                  <w:pPr>
                    <w:pStyle w:val="28"/>
                    <w:bidi w:val="0"/>
                    <w:rPr>
                      <w:rFonts w:hint="eastAsia" w:ascii="Times New Roman" w:hAnsi="Times New Roman"/>
                      <w:color w:val="auto"/>
                      <w:lang w:val="en-US" w:eastAsia="zh-CN"/>
                    </w:rPr>
                  </w:pPr>
                  <w:r>
                    <w:rPr>
                      <w:rFonts w:hint="eastAsia" w:ascii="Times New Roman" w:hAnsi="Times New Roman"/>
                      <w:color w:val="auto"/>
                      <w:lang w:val="en-US" w:eastAsia="zh-CN"/>
                    </w:rPr>
                    <w:t>符合</w:t>
                  </w:r>
                </w:p>
              </w:tc>
            </w:tr>
            <w:tr w14:paraId="00D524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229" w:hRule="atLeast"/>
              </w:trPr>
              <w:tc>
                <w:tcPr>
                  <w:tcW w:w="891" w:type="dxa"/>
                  <w:tcBorders>
                    <w:tl2br w:val="nil"/>
                    <w:tr2bl w:val="nil"/>
                  </w:tcBorders>
                  <w:noWrap w:val="0"/>
                  <w:vAlign w:val="center"/>
                </w:tcPr>
                <w:p w14:paraId="1B10C2C3">
                  <w:pPr>
                    <w:pStyle w:val="28"/>
                    <w:bidi w:val="0"/>
                    <w:rPr>
                      <w:rFonts w:hint="eastAsia" w:ascii="Times New Roman" w:hAnsi="Times New Roman"/>
                      <w:color w:val="auto"/>
                      <w:lang w:val="en-US" w:eastAsia="zh-CN"/>
                    </w:rPr>
                  </w:pPr>
                  <w:r>
                    <w:rPr>
                      <w:rFonts w:hint="eastAsia" w:ascii="Times New Roman" w:hAnsi="Times New Roman"/>
                      <w:color w:val="auto"/>
                      <w:lang w:val="en-US" w:eastAsia="zh-CN"/>
                    </w:rPr>
                    <w:t>有组织VOCs排放</w:t>
                  </w:r>
                </w:p>
              </w:tc>
              <w:tc>
                <w:tcPr>
                  <w:tcW w:w="4297" w:type="dxa"/>
                  <w:tcBorders>
                    <w:tl2br w:val="nil"/>
                    <w:tr2bl w:val="nil"/>
                  </w:tcBorders>
                  <w:noWrap w:val="0"/>
                  <w:vAlign w:val="center"/>
                </w:tcPr>
                <w:p w14:paraId="59C33A41">
                  <w:pPr>
                    <w:pStyle w:val="28"/>
                    <w:bidi w:val="0"/>
                    <w:rPr>
                      <w:rFonts w:hint="eastAsia" w:ascii="Times New Roman" w:hAnsi="Times New Roman"/>
                      <w:color w:val="auto"/>
                      <w:lang w:val="en-US" w:eastAsia="zh-CN"/>
                    </w:rPr>
                  </w:pPr>
                  <w:r>
                    <w:rPr>
                      <w:rFonts w:hint="eastAsia" w:ascii="Times New Roman" w:hAnsi="Times New Roman"/>
                      <w:color w:val="auto"/>
                      <w:lang w:val="en-US" w:eastAsia="zh-CN"/>
                    </w:rPr>
                    <w:t>1.VOCs排放浓度是否稳定达标。</w:t>
                  </w:r>
                </w:p>
                <w:p w14:paraId="18C54BCE">
                  <w:pPr>
                    <w:pStyle w:val="28"/>
                    <w:bidi w:val="0"/>
                    <w:rPr>
                      <w:rFonts w:hint="eastAsia" w:ascii="Times New Roman" w:hAnsi="Times New Roman"/>
                      <w:color w:val="auto"/>
                      <w:lang w:val="en-US" w:eastAsia="zh-CN"/>
                    </w:rPr>
                  </w:pPr>
                  <w:r>
                    <w:rPr>
                      <w:rFonts w:hint="eastAsia" w:ascii="Times New Roman" w:hAnsi="Times New Roman"/>
                      <w:color w:val="auto"/>
                      <w:lang w:val="en-US" w:eastAsia="zh-CN"/>
                    </w:rPr>
                    <w:t>2.车间或生产设施收集排放的废气，VOCs初始排放速率大于等于3千克/小时、重点区域大于等于2千克/小时的，VOCs治理效率是否符合要求；采用的原辅材料符合国家有关低VOCs含量产品规定的除外。</w:t>
                  </w:r>
                </w:p>
                <w:p w14:paraId="0137D618">
                  <w:pPr>
                    <w:pStyle w:val="28"/>
                    <w:bidi w:val="0"/>
                    <w:rPr>
                      <w:rFonts w:hint="eastAsia" w:ascii="Times New Roman" w:hAnsi="Times New Roman"/>
                      <w:color w:val="auto"/>
                      <w:lang w:val="en-US" w:eastAsia="zh-CN"/>
                    </w:rPr>
                  </w:pPr>
                  <w:r>
                    <w:rPr>
                      <w:rFonts w:hint="eastAsia" w:ascii="Times New Roman" w:hAnsi="Times New Roman"/>
                      <w:color w:val="auto"/>
                      <w:lang w:val="en-US" w:eastAsia="zh-CN"/>
                    </w:rPr>
                    <w:t>3.是否安装自动监控设施，自动监控设施是否正常运行，是否与生态环境部门联网。</w:t>
                  </w:r>
                </w:p>
              </w:tc>
              <w:tc>
                <w:tcPr>
                  <w:tcW w:w="1944" w:type="dxa"/>
                  <w:tcBorders>
                    <w:tl2br w:val="nil"/>
                    <w:tr2bl w:val="nil"/>
                  </w:tcBorders>
                  <w:noWrap w:val="0"/>
                  <w:vAlign w:val="center"/>
                </w:tcPr>
                <w:p w14:paraId="02340B64">
                  <w:pPr>
                    <w:pStyle w:val="28"/>
                    <w:bidi w:val="0"/>
                    <w:rPr>
                      <w:rFonts w:hint="default" w:ascii="Times New Roman" w:hAnsi="Times New Roman"/>
                      <w:color w:val="auto"/>
                      <w:lang w:val="en-US" w:eastAsia="zh-CN"/>
                    </w:rPr>
                  </w:pPr>
                  <w:r>
                    <w:rPr>
                      <w:rFonts w:hint="eastAsia" w:ascii="Times New Roman" w:hAnsi="Times New Roman"/>
                      <w:color w:val="auto"/>
                      <w:lang w:val="en-US" w:eastAsia="zh-CN"/>
                    </w:rPr>
                    <w:t>本项目VOCs排放浓度能稳定达标，排放速率均小于2千克/小时，治理效率符合要求</w:t>
                  </w:r>
                </w:p>
              </w:tc>
              <w:tc>
                <w:tcPr>
                  <w:tcW w:w="746" w:type="dxa"/>
                  <w:tcBorders>
                    <w:tl2br w:val="nil"/>
                    <w:tr2bl w:val="nil"/>
                  </w:tcBorders>
                  <w:noWrap w:val="0"/>
                  <w:vAlign w:val="center"/>
                </w:tcPr>
                <w:p w14:paraId="3C9D917C">
                  <w:pPr>
                    <w:pStyle w:val="28"/>
                    <w:bidi w:val="0"/>
                    <w:rPr>
                      <w:rFonts w:hint="eastAsia" w:ascii="Times New Roman" w:hAnsi="Times New Roman"/>
                      <w:color w:val="auto"/>
                      <w:lang w:val="en-US" w:eastAsia="zh-CN"/>
                    </w:rPr>
                  </w:pPr>
                  <w:r>
                    <w:rPr>
                      <w:rFonts w:hint="eastAsia" w:ascii="Times New Roman" w:hAnsi="Times New Roman"/>
                      <w:color w:val="auto"/>
                      <w:lang w:val="en-US" w:eastAsia="zh-CN"/>
                    </w:rPr>
                    <w:t>符合</w:t>
                  </w:r>
                </w:p>
              </w:tc>
            </w:tr>
            <w:tr w14:paraId="02723A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66" w:hRule="atLeast"/>
              </w:trPr>
              <w:tc>
                <w:tcPr>
                  <w:tcW w:w="891" w:type="dxa"/>
                  <w:tcBorders>
                    <w:tl2br w:val="nil"/>
                    <w:tr2bl w:val="nil"/>
                  </w:tcBorders>
                  <w:noWrap w:val="0"/>
                  <w:vAlign w:val="center"/>
                </w:tcPr>
                <w:p w14:paraId="061C30EA">
                  <w:pPr>
                    <w:pStyle w:val="28"/>
                    <w:bidi w:val="0"/>
                    <w:rPr>
                      <w:rFonts w:hint="default" w:ascii="Times New Roman" w:hAnsi="Times New Roman"/>
                      <w:color w:val="auto"/>
                      <w:lang w:val="en-US" w:eastAsia="zh-CN"/>
                    </w:rPr>
                  </w:pPr>
                  <w:r>
                    <w:rPr>
                      <w:rFonts w:hint="eastAsia" w:ascii="Times New Roman" w:hAnsi="Times New Roman"/>
                      <w:color w:val="auto"/>
                      <w:lang w:val="en-US" w:eastAsia="zh-CN"/>
                    </w:rPr>
                    <w:t>废气治理设施</w:t>
                  </w:r>
                </w:p>
              </w:tc>
              <w:tc>
                <w:tcPr>
                  <w:tcW w:w="4297" w:type="dxa"/>
                  <w:tcBorders>
                    <w:tl2br w:val="nil"/>
                    <w:tr2bl w:val="nil"/>
                  </w:tcBorders>
                  <w:noWrap w:val="0"/>
                  <w:vAlign w:val="center"/>
                </w:tcPr>
                <w:p w14:paraId="24CDE391">
                  <w:pPr>
                    <w:pStyle w:val="28"/>
                    <w:bidi w:val="0"/>
                    <w:rPr>
                      <w:rFonts w:hint="eastAsia" w:ascii="Times New Roman" w:hAnsi="Times New Roman"/>
                      <w:color w:val="auto"/>
                      <w:lang w:val="en-US" w:eastAsia="zh-CN"/>
                    </w:rPr>
                  </w:pPr>
                  <w:r>
                    <w:rPr>
                      <w:rFonts w:hint="eastAsia" w:ascii="Times New Roman" w:hAnsi="Times New Roman"/>
                      <w:color w:val="auto"/>
                      <w:lang w:val="en-US" w:eastAsia="zh-CN"/>
                    </w:rPr>
                    <w:t>4.吸附剂种类及填装情况。</w:t>
                  </w:r>
                </w:p>
                <w:p w14:paraId="58BA6F5D">
                  <w:pPr>
                    <w:pStyle w:val="28"/>
                    <w:bidi w:val="0"/>
                    <w:rPr>
                      <w:rFonts w:hint="eastAsia" w:ascii="Times New Roman" w:hAnsi="Times New Roman"/>
                      <w:color w:val="auto"/>
                      <w:lang w:val="en-US" w:eastAsia="zh-CN"/>
                    </w:rPr>
                  </w:pPr>
                  <w:r>
                    <w:rPr>
                      <w:rFonts w:hint="eastAsia" w:ascii="Times New Roman" w:hAnsi="Times New Roman"/>
                      <w:color w:val="auto"/>
                      <w:lang w:val="en-US" w:eastAsia="zh-CN"/>
                    </w:rPr>
                    <w:t>5.一次性吸附剂更换时间和更换量。</w:t>
                  </w:r>
                </w:p>
                <w:p w14:paraId="7CA4D3CC">
                  <w:pPr>
                    <w:pStyle w:val="28"/>
                    <w:bidi w:val="0"/>
                    <w:rPr>
                      <w:rFonts w:hint="eastAsia" w:ascii="Times New Roman" w:hAnsi="Times New Roman"/>
                      <w:color w:val="auto"/>
                      <w:lang w:val="en-US" w:eastAsia="zh-CN"/>
                    </w:rPr>
                  </w:pPr>
                  <w:r>
                    <w:rPr>
                      <w:rFonts w:hint="eastAsia" w:ascii="Times New Roman" w:hAnsi="Times New Roman"/>
                      <w:color w:val="auto"/>
                      <w:lang w:val="en-US" w:eastAsia="zh-CN"/>
                    </w:rPr>
                    <w:t>6.再生型吸附剂再生周期、更换情况。</w:t>
                  </w:r>
                </w:p>
                <w:p w14:paraId="0DB5F003">
                  <w:pPr>
                    <w:pStyle w:val="28"/>
                    <w:bidi w:val="0"/>
                    <w:rPr>
                      <w:rFonts w:hint="eastAsia" w:ascii="Times New Roman" w:hAnsi="Times New Roman"/>
                      <w:color w:val="auto"/>
                      <w:lang w:val="en-US" w:eastAsia="zh-CN"/>
                    </w:rPr>
                  </w:pPr>
                  <w:r>
                    <w:rPr>
                      <w:rFonts w:hint="eastAsia" w:ascii="Times New Roman" w:hAnsi="Times New Roman"/>
                      <w:color w:val="auto"/>
                      <w:lang w:val="en-US" w:eastAsia="zh-CN"/>
                    </w:rPr>
                    <w:t>7.废吸附剂储存、处置情况。</w:t>
                  </w:r>
                </w:p>
              </w:tc>
              <w:tc>
                <w:tcPr>
                  <w:tcW w:w="1944" w:type="dxa"/>
                  <w:tcBorders>
                    <w:tl2br w:val="nil"/>
                    <w:tr2bl w:val="nil"/>
                  </w:tcBorders>
                  <w:noWrap w:val="0"/>
                  <w:vAlign w:val="center"/>
                </w:tcPr>
                <w:p w14:paraId="5A55FE27">
                  <w:pPr>
                    <w:pStyle w:val="28"/>
                    <w:bidi w:val="0"/>
                    <w:rPr>
                      <w:rFonts w:hint="default" w:ascii="Times New Roman" w:hAnsi="Times New Roman"/>
                      <w:color w:val="auto"/>
                      <w:lang w:val="en-US" w:eastAsia="zh-CN"/>
                    </w:rPr>
                  </w:pPr>
                  <w:r>
                    <w:rPr>
                      <w:rFonts w:hint="eastAsia" w:ascii="Times New Roman" w:hAnsi="Times New Roman"/>
                      <w:color w:val="auto"/>
                      <w:lang w:val="en-US" w:eastAsia="zh-CN"/>
                    </w:rPr>
                    <w:t>本项目采用颗粒活性炭作为吸附剂，其碘值不宜低于800mg/g，更换时间和更换量依照环评设计执行，废活性炭存放于危废贮存间中，定期委托有资质的单位进行处置</w:t>
                  </w:r>
                </w:p>
              </w:tc>
              <w:tc>
                <w:tcPr>
                  <w:tcW w:w="746" w:type="dxa"/>
                  <w:tcBorders>
                    <w:tl2br w:val="nil"/>
                    <w:tr2bl w:val="nil"/>
                  </w:tcBorders>
                  <w:noWrap w:val="0"/>
                  <w:vAlign w:val="center"/>
                </w:tcPr>
                <w:p w14:paraId="3C11D98F">
                  <w:pPr>
                    <w:pStyle w:val="28"/>
                    <w:bidi w:val="0"/>
                    <w:rPr>
                      <w:rFonts w:hint="eastAsia" w:ascii="Times New Roman" w:hAnsi="Times New Roman"/>
                      <w:color w:val="auto"/>
                      <w:lang w:val="en-US" w:eastAsia="zh-CN"/>
                    </w:rPr>
                  </w:pPr>
                  <w:r>
                    <w:rPr>
                      <w:rFonts w:hint="eastAsia" w:ascii="Times New Roman" w:hAnsi="Times New Roman"/>
                      <w:color w:val="auto"/>
                      <w:lang w:val="en-US" w:eastAsia="zh-CN"/>
                    </w:rPr>
                    <w:t>符合</w:t>
                  </w:r>
                </w:p>
              </w:tc>
            </w:tr>
          </w:tbl>
          <w:p w14:paraId="47C1BE98">
            <w:pPr>
              <w:pStyle w:val="4"/>
              <w:bidi w:val="0"/>
              <w:rPr>
                <w:rFonts w:hint="eastAsia" w:ascii="Times New Roman" w:hAnsi="Times New Roman"/>
                <w:color w:val="auto"/>
                <w:lang w:val="en-US" w:eastAsia="zh-CN"/>
              </w:rPr>
            </w:pPr>
            <w:bookmarkStart w:id="15" w:name="_Toc30198"/>
            <w:r>
              <w:rPr>
                <w:rFonts w:hint="eastAsia" w:ascii="Times New Roman" w:hAnsi="Times New Roman"/>
                <w:color w:val="auto"/>
                <w:lang w:val="en-US" w:eastAsia="zh-CN"/>
              </w:rPr>
              <w:t>1.6.2</w:t>
            </w:r>
            <w:r>
              <w:rPr>
                <w:rFonts w:ascii="Times New Roman" w:hAnsi="Times New Roman"/>
                <w:color w:val="auto"/>
                <w:lang w:val="en-US" w:eastAsia="zh-CN"/>
              </w:rPr>
              <w:t>与《福建省2020年挥发性有机污染物治理攻坚实施方案》重点任务表符合性分析</w:t>
            </w:r>
            <w:bookmarkEnd w:id="15"/>
          </w:p>
          <w:p w14:paraId="0B81C9F4">
            <w:pPr>
              <w:pStyle w:val="24"/>
              <w:bidi w:val="0"/>
              <w:rPr>
                <w:rFonts w:hint="eastAsia" w:ascii="Times New Roman" w:hAnsi="Times New Roman"/>
                <w:color w:val="auto"/>
                <w:lang w:val="en-US" w:eastAsia="zh-CN"/>
              </w:rPr>
            </w:pPr>
            <w:r>
              <w:rPr>
                <w:rFonts w:ascii="Times New Roman" w:hAnsi="Times New Roman"/>
                <w:color w:val="auto"/>
                <w:lang w:val="en-US" w:eastAsia="zh-CN"/>
              </w:rPr>
              <w:t>表1</w:t>
            </w:r>
            <w:r>
              <w:rPr>
                <w:rFonts w:hint="eastAsia" w:ascii="Times New Roman" w:hAnsi="Times New Roman"/>
                <w:color w:val="auto"/>
                <w:lang w:val="en-US" w:eastAsia="zh-CN"/>
              </w:rPr>
              <w:t>.6-2  本项目</w:t>
            </w:r>
            <w:r>
              <w:rPr>
                <w:rFonts w:ascii="Times New Roman" w:hAnsi="Times New Roman"/>
                <w:color w:val="auto"/>
                <w:lang w:val="en-US" w:eastAsia="zh-CN"/>
              </w:rPr>
              <w:t>与《福建省2020年挥发性有机污染物治理攻坚实施方案》重点任务表符合性分析</w:t>
            </w:r>
          </w:p>
          <w:tbl>
            <w:tblPr>
              <w:tblStyle w:val="17"/>
              <w:tblW w:w="7919"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14"/>
              <w:gridCol w:w="3925"/>
              <w:gridCol w:w="2250"/>
              <w:gridCol w:w="730"/>
            </w:tblGrid>
            <w:tr w14:paraId="78E9EF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014" w:type="dxa"/>
                  <w:tcBorders>
                    <w:tl2br w:val="nil"/>
                    <w:tr2bl w:val="nil"/>
                  </w:tcBorders>
                  <w:noWrap w:val="0"/>
                  <w:vAlign w:val="center"/>
                </w:tcPr>
                <w:p w14:paraId="0354EA67">
                  <w:pPr>
                    <w:pStyle w:val="28"/>
                    <w:bidi w:val="0"/>
                    <w:rPr>
                      <w:rFonts w:hint="eastAsia" w:ascii="Times New Roman" w:hAnsi="Times New Roman" w:eastAsia="宋体"/>
                      <w:b/>
                      <w:bCs/>
                      <w:color w:val="auto"/>
                      <w:lang w:val="en-US" w:eastAsia="zh-CN"/>
                    </w:rPr>
                  </w:pPr>
                  <w:r>
                    <w:rPr>
                      <w:rFonts w:hint="eastAsia" w:ascii="Times New Roman" w:hAnsi="Times New Roman" w:eastAsia="宋体"/>
                      <w:b/>
                      <w:bCs/>
                      <w:color w:val="auto"/>
                      <w:lang w:val="en-US" w:eastAsia="zh-CN"/>
                    </w:rPr>
                    <w:t>重点任务</w:t>
                  </w:r>
                </w:p>
              </w:tc>
              <w:tc>
                <w:tcPr>
                  <w:tcW w:w="3925" w:type="dxa"/>
                  <w:tcBorders>
                    <w:tl2br w:val="nil"/>
                    <w:tr2bl w:val="nil"/>
                  </w:tcBorders>
                  <w:noWrap w:val="0"/>
                  <w:vAlign w:val="center"/>
                </w:tcPr>
                <w:p w14:paraId="64867D2A">
                  <w:pPr>
                    <w:pStyle w:val="28"/>
                    <w:bidi w:val="0"/>
                    <w:rPr>
                      <w:rFonts w:hint="eastAsia" w:ascii="Times New Roman" w:hAnsi="Times New Roman" w:eastAsia="宋体"/>
                      <w:b/>
                      <w:bCs/>
                      <w:color w:val="auto"/>
                      <w:lang w:val="en-US" w:eastAsia="zh-CN"/>
                    </w:rPr>
                  </w:pPr>
                  <w:r>
                    <w:rPr>
                      <w:rFonts w:hint="eastAsia" w:ascii="Times New Roman" w:hAnsi="Times New Roman" w:eastAsia="宋体"/>
                      <w:b/>
                      <w:bCs/>
                      <w:color w:val="auto"/>
                      <w:lang w:val="en-US" w:eastAsia="zh-CN"/>
                    </w:rPr>
                    <w:t>内容</w:t>
                  </w:r>
                </w:p>
              </w:tc>
              <w:tc>
                <w:tcPr>
                  <w:tcW w:w="2250" w:type="dxa"/>
                  <w:tcBorders>
                    <w:tl2br w:val="nil"/>
                    <w:tr2bl w:val="nil"/>
                  </w:tcBorders>
                  <w:noWrap w:val="0"/>
                  <w:vAlign w:val="center"/>
                </w:tcPr>
                <w:p w14:paraId="2C3A85F3">
                  <w:pPr>
                    <w:pStyle w:val="28"/>
                    <w:bidi w:val="0"/>
                    <w:rPr>
                      <w:rFonts w:hint="eastAsia" w:ascii="Times New Roman" w:hAnsi="Times New Roman" w:eastAsia="宋体"/>
                      <w:b/>
                      <w:bCs/>
                      <w:color w:val="auto"/>
                      <w:lang w:val="en-US" w:eastAsia="zh-CN"/>
                    </w:rPr>
                  </w:pPr>
                  <w:r>
                    <w:rPr>
                      <w:rFonts w:hint="eastAsia" w:ascii="Times New Roman" w:hAnsi="Times New Roman" w:eastAsia="宋体"/>
                      <w:b/>
                      <w:bCs/>
                      <w:color w:val="auto"/>
                      <w:lang w:val="en-US" w:eastAsia="zh-CN"/>
                    </w:rPr>
                    <w:t>本项目</w:t>
                  </w:r>
                </w:p>
              </w:tc>
              <w:tc>
                <w:tcPr>
                  <w:tcW w:w="730" w:type="dxa"/>
                  <w:tcBorders>
                    <w:tl2br w:val="nil"/>
                    <w:tr2bl w:val="nil"/>
                  </w:tcBorders>
                  <w:noWrap w:val="0"/>
                  <w:vAlign w:val="center"/>
                </w:tcPr>
                <w:p w14:paraId="097D8666">
                  <w:pPr>
                    <w:pStyle w:val="28"/>
                    <w:bidi w:val="0"/>
                    <w:rPr>
                      <w:rFonts w:hint="eastAsia" w:ascii="Times New Roman" w:hAnsi="Times New Roman" w:eastAsia="宋体"/>
                      <w:b/>
                      <w:bCs/>
                      <w:color w:val="auto"/>
                      <w:lang w:val="en-US" w:eastAsia="zh-CN"/>
                    </w:rPr>
                  </w:pPr>
                  <w:r>
                    <w:rPr>
                      <w:rFonts w:hint="eastAsia" w:ascii="Times New Roman" w:hAnsi="Times New Roman" w:eastAsia="宋体"/>
                      <w:b/>
                      <w:bCs/>
                      <w:color w:val="auto"/>
                      <w:lang w:val="en-US" w:eastAsia="zh-CN"/>
                    </w:rPr>
                    <w:t>符合性</w:t>
                  </w:r>
                </w:p>
              </w:tc>
            </w:tr>
            <w:tr w14:paraId="2AD8DF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014" w:type="dxa"/>
                  <w:tcBorders>
                    <w:tl2br w:val="nil"/>
                    <w:tr2bl w:val="nil"/>
                  </w:tcBorders>
                  <w:noWrap w:val="0"/>
                  <w:vAlign w:val="center"/>
                </w:tcPr>
                <w:p w14:paraId="0A5CA91E">
                  <w:pPr>
                    <w:pStyle w:val="28"/>
                    <w:bidi w:val="0"/>
                    <w:rPr>
                      <w:rFonts w:hint="eastAsia" w:ascii="Times New Roman" w:hAnsi="Times New Roman" w:eastAsia="宋体"/>
                      <w:color w:val="auto"/>
                      <w:lang w:val="en-US" w:eastAsia="zh-CN"/>
                    </w:rPr>
                  </w:pPr>
                  <w:r>
                    <w:rPr>
                      <w:rFonts w:ascii="Times New Roman" w:hAnsi="Times New Roman" w:eastAsia="宋体"/>
                      <w:color w:val="auto"/>
                      <w:lang w:val="en-US" w:eastAsia="zh-CN"/>
                    </w:rPr>
                    <w:t>大力推进源头替代，有效减少VOC</w:t>
                  </w:r>
                  <w:r>
                    <w:rPr>
                      <w:rFonts w:hint="eastAsia" w:ascii="Times New Roman" w:hAnsi="Times New Roman" w:eastAsia="宋体"/>
                      <w:color w:val="auto"/>
                      <w:lang w:val="en-US" w:eastAsia="zh-CN"/>
                    </w:rPr>
                    <w:t>s</w:t>
                  </w:r>
                  <w:r>
                    <w:rPr>
                      <w:rFonts w:ascii="Times New Roman" w:hAnsi="Times New Roman" w:eastAsia="宋体"/>
                      <w:color w:val="auto"/>
                      <w:lang w:val="en-US" w:eastAsia="zh-CN"/>
                    </w:rPr>
                    <w:t>产生</w:t>
                  </w:r>
                </w:p>
              </w:tc>
              <w:tc>
                <w:tcPr>
                  <w:tcW w:w="3925" w:type="dxa"/>
                  <w:tcBorders>
                    <w:tl2br w:val="nil"/>
                    <w:tr2bl w:val="nil"/>
                  </w:tcBorders>
                  <w:noWrap w:val="0"/>
                  <w:vAlign w:val="center"/>
                </w:tcPr>
                <w:p w14:paraId="749130A7">
                  <w:pPr>
                    <w:pStyle w:val="28"/>
                    <w:bidi w:val="0"/>
                    <w:rPr>
                      <w:rFonts w:hint="eastAsia" w:ascii="Times New Roman" w:hAnsi="Times New Roman" w:eastAsia="宋体"/>
                      <w:color w:val="auto"/>
                      <w:lang w:val="en-US" w:eastAsia="zh-CN"/>
                    </w:rPr>
                  </w:pPr>
                  <w:r>
                    <w:rPr>
                      <w:rFonts w:ascii="Times New Roman" w:hAnsi="Times New Roman" w:eastAsia="宋体"/>
                      <w:color w:val="auto"/>
                      <w:lang w:val="en-US" w:eastAsia="zh-CN"/>
                    </w:rPr>
                    <w:t>企业应建立原辅材料台账，记录VOC</w:t>
                  </w:r>
                  <w:r>
                    <w:rPr>
                      <w:rFonts w:hint="eastAsia" w:ascii="Times New Roman" w:hAnsi="Times New Roman" w:eastAsia="宋体"/>
                      <w:color w:val="auto"/>
                      <w:lang w:val="en-US" w:eastAsia="zh-CN"/>
                    </w:rPr>
                    <w:t>s</w:t>
                  </w:r>
                  <w:r>
                    <w:rPr>
                      <w:rFonts w:ascii="Times New Roman" w:hAnsi="Times New Roman" w:eastAsia="宋体"/>
                      <w:color w:val="auto"/>
                      <w:lang w:val="en-US" w:eastAsia="zh-CN"/>
                    </w:rPr>
                    <w:t>原辅材料名称、成分、VOC</w:t>
                  </w:r>
                  <w:r>
                    <w:rPr>
                      <w:rFonts w:hint="eastAsia" w:ascii="Times New Roman" w:hAnsi="Times New Roman" w:eastAsia="宋体"/>
                      <w:color w:val="auto"/>
                      <w:lang w:val="en-US" w:eastAsia="zh-CN"/>
                    </w:rPr>
                    <w:t>s</w:t>
                  </w:r>
                  <w:r>
                    <w:rPr>
                      <w:rFonts w:ascii="Times New Roman" w:hAnsi="Times New Roman" w:eastAsia="宋体"/>
                      <w:color w:val="auto"/>
                      <w:lang w:val="en-US" w:eastAsia="zh-CN"/>
                    </w:rPr>
                    <w:t>含量、采购量、使用量、库存量、回收方式、回收信息等信息，并保存相关证明材料。</w:t>
                  </w:r>
                </w:p>
              </w:tc>
              <w:tc>
                <w:tcPr>
                  <w:tcW w:w="2250" w:type="dxa"/>
                  <w:tcBorders>
                    <w:tl2br w:val="nil"/>
                    <w:tr2bl w:val="nil"/>
                  </w:tcBorders>
                  <w:noWrap w:val="0"/>
                  <w:vAlign w:val="center"/>
                </w:tcPr>
                <w:p w14:paraId="3D897DAC">
                  <w:pPr>
                    <w:pStyle w:val="28"/>
                    <w:bidi w:val="0"/>
                    <w:rPr>
                      <w:rFonts w:hint="eastAsia" w:ascii="Times New Roman" w:hAnsi="Times New Roman" w:eastAsia="宋体"/>
                      <w:color w:val="auto"/>
                      <w:lang w:val="en-US" w:eastAsia="zh-CN"/>
                    </w:rPr>
                  </w:pPr>
                  <w:r>
                    <w:rPr>
                      <w:rFonts w:ascii="Times New Roman" w:hAnsi="Times New Roman" w:eastAsia="宋体"/>
                      <w:color w:val="auto"/>
                      <w:lang w:val="en-US" w:eastAsia="zh-CN"/>
                    </w:rPr>
                    <w:t>企业</w:t>
                  </w:r>
                  <w:r>
                    <w:rPr>
                      <w:rFonts w:hint="eastAsia" w:ascii="Times New Roman" w:hAnsi="Times New Roman" w:eastAsia="宋体"/>
                      <w:color w:val="auto"/>
                      <w:lang w:val="en-US" w:eastAsia="zh-CN"/>
                    </w:rPr>
                    <w:t>建设完成后严格落实</w:t>
                  </w:r>
                  <w:r>
                    <w:rPr>
                      <w:rFonts w:ascii="Times New Roman" w:hAnsi="Times New Roman" w:eastAsia="宋体"/>
                      <w:color w:val="auto"/>
                      <w:lang w:val="en-US" w:eastAsia="zh-CN"/>
                    </w:rPr>
                    <w:t>建立原辅材料台账，记录VOC</w:t>
                  </w:r>
                  <w:r>
                    <w:rPr>
                      <w:rFonts w:hint="eastAsia" w:ascii="Times New Roman" w:hAnsi="Times New Roman" w:eastAsia="宋体"/>
                      <w:color w:val="auto"/>
                      <w:lang w:val="en-US" w:eastAsia="zh-CN"/>
                    </w:rPr>
                    <w:t>s</w:t>
                  </w:r>
                  <w:r>
                    <w:rPr>
                      <w:rFonts w:ascii="Times New Roman" w:hAnsi="Times New Roman" w:eastAsia="宋体"/>
                      <w:color w:val="auto"/>
                      <w:lang w:val="en-US" w:eastAsia="zh-CN"/>
                    </w:rPr>
                    <w:t>原辅材料名称、成分等信息，并在厂区内存档。</w:t>
                  </w:r>
                </w:p>
              </w:tc>
              <w:tc>
                <w:tcPr>
                  <w:tcW w:w="730" w:type="dxa"/>
                  <w:tcBorders>
                    <w:tl2br w:val="nil"/>
                    <w:tr2bl w:val="nil"/>
                  </w:tcBorders>
                  <w:noWrap w:val="0"/>
                  <w:vAlign w:val="center"/>
                </w:tcPr>
                <w:p w14:paraId="571605F6">
                  <w:pPr>
                    <w:pStyle w:val="28"/>
                    <w:bidi w:val="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符合</w:t>
                  </w:r>
                </w:p>
              </w:tc>
            </w:tr>
            <w:tr w14:paraId="6BCD88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1014" w:type="dxa"/>
                  <w:tcBorders>
                    <w:tl2br w:val="nil"/>
                    <w:tr2bl w:val="nil"/>
                  </w:tcBorders>
                  <w:noWrap w:val="0"/>
                  <w:vAlign w:val="center"/>
                </w:tcPr>
                <w:p w14:paraId="031C59B3">
                  <w:pPr>
                    <w:pStyle w:val="28"/>
                    <w:bidi w:val="0"/>
                    <w:rPr>
                      <w:rFonts w:hint="eastAsia" w:ascii="Times New Roman" w:hAnsi="Times New Roman" w:eastAsia="宋体"/>
                      <w:color w:val="auto"/>
                      <w:lang w:val="en-US" w:eastAsia="zh-CN"/>
                    </w:rPr>
                  </w:pPr>
                  <w:r>
                    <w:rPr>
                      <w:rFonts w:ascii="Times New Roman" w:hAnsi="Times New Roman" w:eastAsia="宋体"/>
                      <w:color w:val="auto"/>
                      <w:lang w:val="en-US" w:eastAsia="zh-CN"/>
                    </w:rPr>
                    <w:t>全面落实标准要求，强化无组织排放控制</w:t>
                  </w:r>
                </w:p>
              </w:tc>
              <w:tc>
                <w:tcPr>
                  <w:tcW w:w="3925" w:type="dxa"/>
                  <w:tcBorders>
                    <w:tl2br w:val="nil"/>
                    <w:tr2bl w:val="nil"/>
                  </w:tcBorders>
                  <w:noWrap w:val="0"/>
                  <w:vAlign w:val="center"/>
                </w:tcPr>
                <w:p w14:paraId="25B7AE7A">
                  <w:pPr>
                    <w:pStyle w:val="28"/>
                    <w:bidi w:val="0"/>
                    <w:rPr>
                      <w:rFonts w:hint="eastAsia" w:ascii="Times New Roman" w:hAnsi="Times New Roman" w:eastAsia="宋体"/>
                      <w:color w:val="auto"/>
                      <w:lang w:val="en-US" w:eastAsia="zh-CN"/>
                    </w:rPr>
                  </w:pPr>
                  <w:r>
                    <w:rPr>
                      <w:rFonts w:ascii="Times New Roman" w:hAnsi="Times New Roman" w:eastAsia="宋体"/>
                      <w:color w:val="auto"/>
                      <w:lang w:val="en-US" w:eastAsia="zh-CN"/>
                    </w:rPr>
                    <w:t>加强含VOC</w:t>
                  </w:r>
                  <w:r>
                    <w:rPr>
                      <w:rFonts w:hint="eastAsia" w:ascii="Times New Roman" w:hAnsi="Times New Roman" w:eastAsia="宋体"/>
                      <w:color w:val="auto"/>
                      <w:lang w:val="en-US" w:eastAsia="zh-CN"/>
                    </w:rPr>
                    <w:t>s</w:t>
                  </w:r>
                  <w:r>
                    <w:rPr>
                      <w:rFonts w:ascii="Times New Roman" w:hAnsi="Times New Roman" w:eastAsia="宋体"/>
                      <w:color w:val="auto"/>
                      <w:lang w:val="en-US" w:eastAsia="zh-CN"/>
                    </w:rPr>
                    <w:t>物料全方位、全链条、全环节密闭管理。储存环节应采用密闭容器、包装袋、高效密封储罐、封闭式储库、料仓等。装卸、转移和输送环节应采用密闭管道或密闭容器、罐车等。生产和使用环节应采用密闭设备，或在密闭车间中操作并有效收集废气，或进行局部气体收集。</w:t>
                  </w:r>
                </w:p>
              </w:tc>
              <w:tc>
                <w:tcPr>
                  <w:tcW w:w="2250" w:type="dxa"/>
                  <w:tcBorders>
                    <w:tl2br w:val="nil"/>
                    <w:tr2bl w:val="nil"/>
                  </w:tcBorders>
                  <w:noWrap w:val="0"/>
                  <w:vAlign w:val="center"/>
                </w:tcPr>
                <w:p w14:paraId="553431BC">
                  <w:pPr>
                    <w:pStyle w:val="28"/>
                    <w:bidi w:val="0"/>
                    <w:rPr>
                      <w:rFonts w:hint="default" w:ascii="Times New Roman" w:hAnsi="Times New Roman" w:eastAsia="宋体"/>
                      <w:color w:val="auto"/>
                      <w:lang w:val="en-US" w:eastAsia="zh-CN"/>
                    </w:rPr>
                  </w:pPr>
                  <w:r>
                    <w:rPr>
                      <w:rFonts w:ascii="Times New Roman" w:hAnsi="Times New Roman" w:eastAsia="宋体"/>
                      <w:color w:val="auto"/>
                      <w:lang w:val="en-US" w:eastAsia="zh-CN"/>
                    </w:rPr>
                    <w:t>项目采用的</w:t>
                  </w:r>
                  <w:r>
                    <w:rPr>
                      <w:rFonts w:hint="eastAsia" w:ascii="Times New Roman" w:hAnsi="Times New Roman" w:eastAsia="宋体"/>
                      <w:color w:val="auto"/>
                      <w:lang w:val="en-US" w:eastAsia="zh-CN"/>
                    </w:rPr>
                    <w:t>VOCs物料</w:t>
                  </w:r>
                  <w:r>
                    <w:rPr>
                      <w:rFonts w:ascii="Times New Roman" w:hAnsi="Times New Roman" w:eastAsia="宋体"/>
                      <w:color w:val="auto"/>
                      <w:lang w:val="en-US" w:eastAsia="zh-CN"/>
                    </w:rPr>
                    <w:t>储存过程采用</w:t>
                  </w:r>
                  <w:r>
                    <w:rPr>
                      <w:rFonts w:hint="eastAsia" w:ascii="Times New Roman" w:hAnsi="Times New Roman" w:eastAsia="宋体"/>
                      <w:color w:val="auto"/>
                      <w:lang w:val="en-US" w:eastAsia="zh-CN"/>
                    </w:rPr>
                    <w:t>密封包装袋容器</w:t>
                  </w:r>
                  <w:r>
                    <w:rPr>
                      <w:rFonts w:ascii="Times New Roman" w:hAnsi="Times New Roman" w:eastAsia="宋体"/>
                      <w:color w:val="auto"/>
                      <w:lang w:val="en-US" w:eastAsia="zh-CN"/>
                    </w:rPr>
                    <w:t>保存，不会有VOC</w:t>
                  </w:r>
                  <w:r>
                    <w:rPr>
                      <w:rFonts w:hint="eastAsia" w:ascii="Times New Roman" w:hAnsi="Times New Roman" w:eastAsia="宋体"/>
                      <w:color w:val="auto"/>
                      <w:lang w:val="en-US" w:eastAsia="zh-CN"/>
                    </w:rPr>
                    <w:t>s</w:t>
                  </w:r>
                  <w:r>
                    <w:rPr>
                      <w:rFonts w:ascii="Times New Roman" w:hAnsi="Times New Roman" w:eastAsia="宋体"/>
                      <w:color w:val="auto"/>
                      <w:lang w:val="en-US" w:eastAsia="zh-CN"/>
                    </w:rPr>
                    <w:t>挥发；</w:t>
                  </w:r>
                  <w:r>
                    <w:rPr>
                      <w:rFonts w:hint="eastAsia" w:ascii="Times New Roman" w:hAnsi="Times New Roman" w:eastAsia="宋体"/>
                      <w:color w:val="auto"/>
                      <w:lang w:val="en-US" w:eastAsia="zh-CN"/>
                    </w:rPr>
                    <w:t>项目</w:t>
                  </w:r>
                  <w:r>
                    <w:rPr>
                      <w:rFonts w:ascii="Times New Roman" w:hAnsi="Times New Roman" w:eastAsia="宋体"/>
                      <w:color w:val="auto"/>
                      <w:lang w:val="en-US" w:eastAsia="zh-CN"/>
                    </w:rPr>
                    <w:t>产生的有机废气采用</w:t>
                  </w:r>
                  <w:r>
                    <w:rPr>
                      <w:rFonts w:hint="eastAsia" w:ascii="Times New Roman" w:hAnsi="Times New Roman" w:eastAsia="宋体"/>
                      <w:color w:val="auto"/>
                      <w:lang w:val="en-US" w:eastAsia="zh-CN"/>
                    </w:rPr>
                    <w:t>二级活性炭吸附装置处理</w:t>
                  </w:r>
                </w:p>
              </w:tc>
              <w:tc>
                <w:tcPr>
                  <w:tcW w:w="730" w:type="dxa"/>
                  <w:tcBorders>
                    <w:tl2br w:val="nil"/>
                    <w:tr2bl w:val="nil"/>
                  </w:tcBorders>
                  <w:noWrap w:val="0"/>
                  <w:vAlign w:val="center"/>
                </w:tcPr>
                <w:p w14:paraId="1BA66DDF">
                  <w:pPr>
                    <w:pStyle w:val="28"/>
                    <w:bidi w:val="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符合</w:t>
                  </w:r>
                </w:p>
              </w:tc>
            </w:tr>
            <w:tr w14:paraId="3BD650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014" w:type="dxa"/>
                  <w:vMerge w:val="restart"/>
                  <w:tcBorders>
                    <w:tl2br w:val="nil"/>
                    <w:tr2bl w:val="nil"/>
                  </w:tcBorders>
                  <w:noWrap w:val="0"/>
                  <w:vAlign w:val="center"/>
                </w:tcPr>
                <w:p w14:paraId="648380E5">
                  <w:pPr>
                    <w:pStyle w:val="28"/>
                    <w:bidi w:val="0"/>
                    <w:rPr>
                      <w:rFonts w:hint="eastAsia" w:ascii="Times New Roman" w:hAnsi="Times New Roman" w:eastAsia="宋体"/>
                      <w:color w:val="auto"/>
                      <w:lang w:val="en-US" w:eastAsia="zh-CN"/>
                    </w:rPr>
                  </w:pPr>
                  <w:r>
                    <w:rPr>
                      <w:rFonts w:ascii="Times New Roman" w:hAnsi="Times New Roman" w:eastAsia="宋体"/>
                      <w:color w:val="auto"/>
                      <w:lang w:val="en-US" w:eastAsia="zh-CN"/>
                    </w:rPr>
                    <w:t>聚焦治污设施</w:t>
                  </w:r>
                  <w:r>
                    <w:rPr>
                      <w:rFonts w:hint="eastAsia" w:ascii="Times New Roman" w:hAnsi="Times New Roman" w:eastAsia="宋体"/>
                      <w:color w:val="auto"/>
                      <w:lang w:val="en-US" w:eastAsia="zh-CN"/>
                    </w:rPr>
                    <w:t>“三率”</w:t>
                  </w:r>
                  <w:r>
                    <w:rPr>
                      <w:rFonts w:ascii="Times New Roman" w:hAnsi="Times New Roman" w:eastAsia="宋体"/>
                      <w:color w:val="auto"/>
                      <w:lang w:val="en-US" w:eastAsia="zh-CN"/>
                    </w:rPr>
                    <w:t>，提升综合治理效率</w:t>
                  </w:r>
                </w:p>
              </w:tc>
              <w:tc>
                <w:tcPr>
                  <w:tcW w:w="3925" w:type="dxa"/>
                  <w:tcBorders>
                    <w:tl2br w:val="nil"/>
                    <w:tr2bl w:val="nil"/>
                  </w:tcBorders>
                  <w:noWrap w:val="0"/>
                  <w:vAlign w:val="center"/>
                </w:tcPr>
                <w:p w14:paraId="7FF52EC7">
                  <w:pPr>
                    <w:pStyle w:val="28"/>
                    <w:bidi w:val="0"/>
                    <w:rPr>
                      <w:rFonts w:hint="eastAsia" w:ascii="Times New Roman" w:hAnsi="Times New Roman" w:eastAsia="宋体"/>
                      <w:color w:val="auto"/>
                      <w:lang w:val="en-US" w:eastAsia="zh-CN"/>
                    </w:rPr>
                  </w:pPr>
                  <w:r>
                    <w:rPr>
                      <w:rFonts w:ascii="Times New Roman" w:hAnsi="Times New Roman" w:eastAsia="宋体"/>
                      <w:color w:val="auto"/>
                      <w:lang w:val="en-US" w:eastAsia="zh-CN"/>
                    </w:rPr>
                    <w:t>推进建设适宜高效的治污设施。企业新建治污设施或对现有治污设施实施改造，应依据排放废气的浓度、组分、风量，温度、湿度、压力，以及生产工况等，合理选择治理技术。</w:t>
                  </w:r>
                </w:p>
              </w:tc>
              <w:tc>
                <w:tcPr>
                  <w:tcW w:w="2250" w:type="dxa"/>
                  <w:tcBorders>
                    <w:tl2br w:val="nil"/>
                    <w:tr2bl w:val="nil"/>
                  </w:tcBorders>
                  <w:noWrap w:val="0"/>
                  <w:vAlign w:val="center"/>
                </w:tcPr>
                <w:p w14:paraId="4D3C27A4">
                  <w:pPr>
                    <w:pStyle w:val="28"/>
                    <w:bidi w:val="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擦拭废气、超洗废气、经密闭车间负压收集后通过二级活性炭吸附装置处理达标后由</w:t>
                  </w:r>
                  <w:r>
                    <w:rPr>
                      <w:rFonts w:hint="eastAsia" w:ascii="Times New Roman" w:hAnsi="Times New Roman"/>
                      <w:color w:val="auto"/>
                      <w:lang w:val="en-US" w:eastAsia="zh-CN"/>
                    </w:rPr>
                    <w:t>40</w:t>
                  </w:r>
                  <w:r>
                    <w:rPr>
                      <w:rFonts w:hint="eastAsia" w:ascii="Times New Roman" w:hAnsi="Times New Roman" w:eastAsia="宋体"/>
                      <w:color w:val="auto"/>
                      <w:lang w:val="en-US" w:eastAsia="zh-CN"/>
                    </w:rPr>
                    <w:t>m高的DA001排气筒排放；</w:t>
                  </w:r>
                  <w:r>
                    <w:rPr>
                      <w:rFonts w:hint="eastAsia" w:ascii="Times New Roman" w:hAnsi="Times New Roman"/>
                      <w:color w:val="auto"/>
                      <w:lang w:val="en-US" w:eastAsia="zh-CN"/>
                    </w:rPr>
                    <w:t>铣磨</w:t>
                  </w:r>
                  <w:r>
                    <w:rPr>
                      <w:rFonts w:hint="eastAsia" w:ascii="Times New Roman" w:hAnsi="Times New Roman" w:eastAsia="宋体"/>
                      <w:color w:val="auto"/>
                      <w:lang w:val="en-US" w:eastAsia="zh-CN"/>
                    </w:rPr>
                    <w:t>废气通过设备密闭管道收集后通过二级活性炭吸附装置处理达标</w:t>
                  </w:r>
                  <w:r>
                    <w:rPr>
                      <w:rFonts w:hint="eastAsia"/>
                      <w:color w:val="auto"/>
                      <w:lang w:val="en-US" w:eastAsia="zh-CN"/>
                    </w:rPr>
                    <w:t>后</w:t>
                  </w:r>
                  <w:r>
                    <w:rPr>
                      <w:rFonts w:hint="eastAsia" w:ascii="Times New Roman" w:hAnsi="Times New Roman" w:eastAsia="宋体"/>
                      <w:color w:val="auto"/>
                      <w:lang w:val="en-US" w:eastAsia="zh-CN"/>
                    </w:rPr>
                    <w:t>通过</w:t>
                  </w:r>
                  <w:r>
                    <w:rPr>
                      <w:rFonts w:hint="eastAsia" w:ascii="Times New Roman" w:hAnsi="Times New Roman"/>
                      <w:color w:val="auto"/>
                      <w:lang w:val="en-US" w:eastAsia="zh-CN"/>
                    </w:rPr>
                    <w:t>40</w:t>
                  </w:r>
                  <w:r>
                    <w:rPr>
                      <w:rFonts w:hint="eastAsia" w:ascii="Times New Roman" w:hAnsi="Times New Roman" w:eastAsia="宋体"/>
                      <w:color w:val="auto"/>
                      <w:lang w:val="en-US" w:eastAsia="zh-CN"/>
                    </w:rPr>
                    <w:t>m高的DA001排气筒排放</w:t>
                  </w:r>
                </w:p>
              </w:tc>
              <w:tc>
                <w:tcPr>
                  <w:tcW w:w="730" w:type="dxa"/>
                  <w:tcBorders>
                    <w:tl2br w:val="nil"/>
                    <w:tr2bl w:val="nil"/>
                  </w:tcBorders>
                  <w:noWrap w:val="0"/>
                  <w:vAlign w:val="center"/>
                </w:tcPr>
                <w:p w14:paraId="49A3C9F0">
                  <w:pPr>
                    <w:pStyle w:val="28"/>
                    <w:bidi w:val="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符合</w:t>
                  </w:r>
                </w:p>
              </w:tc>
            </w:tr>
            <w:tr w14:paraId="64EBF5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59" w:hRule="atLeast"/>
              </w:trPr>
              <w:tc>
                <w:tcPr>
                  <w:tcW w:w="1014" w:type="dxa"/>
                  <w:vMerge w:val="continue"/>
                  <w:tcBorders>
                    <w:tl2br w:val="nil"/>
                    <w:tr2bl w:val="nil"/>
                  </w:tcBorders>
                  <w:noWrap w:val="0"/>
                  <w:vAlign w:val="center"/>
                </w:tcPr>
                <w:p w14:paraId="198BCB9C">
                  <w:pPr>
                    <w:pStyle w:val="28"/>
                    <w:bidi w:val="0"/>
                    <w:rPr>
                      <w:rFonts w:hint="eastAsia" w:ascii="Times New Roman" w:hAnsi="Times New Roman" w:eastAsia="宋体"/>
                      <w:color w:val="auto"/>
                      <w:lang w:val="en-US" w:eastAsia="zh-CN"/>
                    </w:rPr>
                  </w:pPr>
                </w:p>
              </w:tc>
              <w:tc>
                <w:tcPr>
                  <w:tcW w:w="3925" w:type="dxa"/>
                  <w:tcBorders>
                    <w:tl2br w:val="nil"/>
                    <w:tr2bl w:val="nil"/>
                  </w:tcBorders>
                  <w:noWrap w:val="0"/>
                  <w:vAlign w:val="center"/>
                </w:tcPr>
                <w:p w14:paraId="2E39E950">
                  <w:pPr>
                    <w:pStyle w:val="28"/>
                    <w:bidi w:val="0"/>
                    <w:rPr>
                      <w:rFonts w:hint="eastAsia" w:ascii="Times New Roman" w:hAnsi="Times New Roman" w:eastAsia="宋体"/>
                      <w:color w:val="auto"/>
                      <w:lang w:val="en-US" w:eastAsia="zh-CN"/>
                    </w:rPr>
                  </w:pPr>
                  <w:r>
                    <w:rPr>
                      <w:rFonts w:ascii="Times New Roman" w:hAnsi="Times New Roman" w:eastAsia="宋体"/>
                      <w:color w:val="auto"/>
                      <w:lang w:val="en-US" w:eastAsia="zh-CN"/>
                    </w:rPr>
                    <w:t>按照与生产设备</w:t>
                  </w:r>
                  <w:r>
                    <w:rPr>
                      <w:rFonts w:hint="eastAsia" w:ascii="Times New Roman" w:hAnsi="Times New Roman" w:eastAsia="宋体"/>
                      <w:color w:val="auto"/>
                      <w:lang w:val="en-US" w:eastAsia="zh-CN"/>
                    </w:rPr>
                    <w:t>“</w:t>
                  </w:r>
                  <w:r>
                    <w:rPr>
                      <w:rFonts w:ascii="Times New Roman" w:hAnsi="Times New Roman" w:eastAsia="宋体"/>
                      <w:color w:val="auto"/>
                      <w:lang w:val="en-US" w:eastAsia="zh-CN"/>
                    </w:rPr>
                    <w:t>同启同停</w:t>
                  </w:r>
                  <w:r>
                    <w:rPr>
                      <w:rFonts w:hint="eastAsia" w:ascii="Times New Roman" w:hAnsi="Times New Roman" w:eastAsia="宋体"/>
                      <w:color w:val="auto"/>
                      <w:lang w:val="en-US" w:eastAsia="zh-CN"/>
                    </w:rPr>
                    <w:t>”</w:t>
                  </w:r>
                  <w:r>
                    <w:rPr>
                      <w:rFonts w:ascii="Times New Roman" w:hAnsi="Times New Roman" w:eastAsia="宋体"/>
                      <w:color w:val="auto"/>
                      <w:lang w:val="en-US" w:eastAsia="zh-CN"/>
                    </w:rPr>
                    <w:t>的原则提升治理设施运行效率。根据处理工艺要求，在处理设施达到正常运行条件后方可启动生产设备，在生产设备停止、残留VOC</w:t>
                  </w:r>
                  <w:r>
                    <w:rPr>
                      <w:rFonts w:hint="eastAsia" w:ascii="Times New Roman" w:hAnsi="Times New Roman" w:eastAsia="宋体"/>
                      <w:color w:val="auto"/>
                      <w:lang w:val="en-US" w:eastAsia="zh-CN"/>
                    </w:rPr>
                    <w:t>s</w:t>
                  </w:r>
                  <w:r>
                    <w:rPr>
                      <w:rFonts w:ascii="Times New Roman" w:hAnsi="Times New Roman" w:eastAsia="宋体"/>
                      <w:color w:val="auto"/>
                      <w:lang w:val="en-US" w:eastAsia="zh-CN"/>
                    </w:rPr>
                    <w:t>废气收集处理完毕后，方可停运处理设施。VOC</w:t>
                  </w:r>
                  <w:r>
                    <w:rPr>
                      <w:rFonts w:hint="eastAsia" w:ascii="Times New Roman" w:hAnsi="Times New Roman" w:eastAsia="宋体"/>
                      <w:color w:val="auto"/>
                      <w:lang w:val="en-US" w:eastAsia="zh-CN"/>
                    </w:rPr>
                    <w:t>s</w:t>
                  </w:r>
                  <w:r>
                    <w:rPr>
                      <w:rFonts w:ascii="Times New Roman" w:hAnsi="Times New Roman" w:eastAsia="宋体"/>
                      <w:color w:val="auto"/>
                      <w:lang w:val="en-US" w:eastAsia="zh-CN"/>
                    </w:rPr>
                    <w:t>废气处理系统发生故障或检修时，对应生产工艺设备应停止运行，待检修完毕后投入使用。</w:t>
                  </w:r>
                </w:p>
              </w:tc>
              <w:tc>
                <w:tcPr>
                  <w:tcW w:w="2250" w:type="dxa"/>
                  <w:tcBorders>
                    <w:tl2br w:val="nil"/>
                    <w:tr2bl w:val="nil"/>
                  </w:tcBorders>
                  <w:noWrap w:val="0"/>
                  <w:vAlign w:val="center"/>
                </w:tcPr>
                <w:p w14:paraId="1CDA65A2">
                  <w:pPr>
                    <w:pStyle w:val="28"/>
                    <w:bidi w:val="0"/>
                    <w:rPr>
                      <w:rFonts w:hint="eastAsia" w:ascii="Times New Roman" w:hAnsi="Times New Roman" w:eastAsia="宋体"/>
                      <w:color w:val="auto"/>
                      <w:lang w:val="en-US" w:eastAsia="zh-CN"/>
                    </w:rPr>
                  </w:pPr>
                  <w:r>
                    <w:rPr>
                      <w:rFonts w:ascii="Times New Roman" w:hAnsi="Times New Roman" w:eastAsia="宋体"/>
                      <w:color w:val="auto"/>
                      <w:lang w:val="en-US" w:eastAsia="zh-CN"/>
                    </w:rPr>
                    <w:t>项目废气收集治理设施与生产设备同启同停，定期检修设备，设施故障时待检修完毕再共同投入使用。</w:t>
                  </w:r>
                </w:p>
              </w:tc>
              <w:tc>
                <w:tcPr>
                  <w:tcW w:w="730" w:type="dxa"/>
                  <w:tcBorders>
                    <w:tl2br w:val="nil"/>
                    <w:tr2bl w:val="nil"/>
                  </w:tcBorders>
                  <w:noWrap w:val="0"/>
                  <w:vAlign w:val="center"/>
                </w:tcPr>
                <w:p w14:paraId="70A55C19">
                  <w:pPr>
                    <w:pStyle w:val="28"/>
                    <w:bidi w:val="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符合</w:t>
                  </w:r>
                </w:p>
              </w:tc>
            </w:tr>
          </w:tbl>
          <w:p w14:paraId="69BDB967">
            <w:pPr>
              <w:pStyle w:val="4"/>
              <w:bidi w:val="0"/>
              <w:rPr>
                <w:rFonts w:hint="eastAsia" w:ascii="Times New Roman" w:hAnsi="Times New Roman"/>
                <w:color w:val="auto"/>
                <w:lang w:val="en-US" w:eastAsia="zh-CN"/>
              </w:rPr>
            </w:pPr>
            <w:bookmarkStart w:id="16" w:name="_Toc14361"/>
            <w:r>
              <w:rPr>
                <w:rFonts w:hint="eastAsia" w:ascii="Times New Roman" w:hAnsi="Times New Roman"/>
                <w:color w:val="auto"/>
                <w:lang w:val="en-US" w:eastAsia="zh-CN"/>
              </w:rPr>
              <w:t>1.6.3与《“十四五”节能减排综合工作方案》符合性分析</w:t>
            </w:r>
            <w:bookmarkEnd w:id="16"/>
          </w:p>
          <w:p w14:paraId="55C1A0BD">
            <w:pPr>
              <w:pStyle w:val="24"/>
              <w:bidi w:val="0"/>
              <w:rPr>
                <w:rFonts w:hint="eastAsia" w:ascii="Times New Roman" w:hAnsi="Times New Roman"/>
                <w:color w:val="auto"/>
                <w:lang w:val="en-US" w:eastAsia="zh-CN"/>
              </w:rPr>
            </w:pPr>
            <w:r>
              <w:rPr>
                <w:rFonts w:hint="eastAsia" w:ascii="Times New Roman" w:hAnsi="Times New Roman"/>
                <w:color w:val="auto"/>
                <w:lang w:val="en-US" w:eastAsia="zh-CN"/>
              </w:rPr>
              <w:t>表1.6-3  与《“十四五”节能减排综合工作方案》符合性分析</w:t>
            </w:r>
          </w:p>
          <w:tbl>
            <w:tblPr>
              <w:tblStyle w:val="17"/>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48"/>
              <w:gridCol w:w="4412"/>
              <w:gridCol w:w="1837"/>
              <w:gridCol w:w="741"/>
            </w:tblGrid>
            <w:tr w14:paraId="17EB5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597" w:type="pct"/>
                  <w:tcBorders>
                    <w:top w:val="single" w:color="auto" w:sz="12" w:space="0"/>
                  </w:tcBorders>
                  <w:noWrap w:val="0"/>
                  <w:vAlign w:val="center"/>
                </w:tcPr>
                <w:p w14:paraId="47C81952">
                  <w:pPr>
                    <w:pStyle w:val="28"/>
                    <w:bidi w:val="0"/>
                    <w:rPr>
                      <w:rFonts w:ascii="Times New Roman" w:hAnsi="Times New Roman"/>
                      <w:b/>
                      <w:bCs/>
                      <w:color w:val="auto"/>
                      <w:lang w:val="en-US" w:eastAsia="zh-CN"/>
                    </w:rPr>
                  </w:pPr>
                  <w:r>
                    <w:rPr>
                      <w:rFonts w:ascii="Times New Roman" w:hAnsi="Times New Roman"/>
                      <w:b/>
                      <w:bCs/>
                      <w:color w:val="auto"/>
                      <w:lang w:val="en-US" w:eastAsia="zh-CN"/>
                    </w:rPr>
                    <w:t>相关文件名称</w:t>
                  </w:r>
                </w:p>
              </w:tc>
              <w:tc>
                <w:tcPr>
                  <w:tcW w:w="2779" w:type="pct"/>
                  <w:tcBorders>
                    <w:top w:val="single" w:color="auto" w:sz="12" w:space="0"/>
                  </w:tcBorders>
                  <w:noWrap w:val="0"/>
                  <w:vAlign w:val="center"/>
                </w:tcPr>
                <w:p w14:paraId="61EE6CE1">
                  <w:pPr>
                    <w:pStyle w:val="28"/>
                    <w:bidi w:val="0"/>
                    <w:rPr>
                      <w:rFonts w:ascii="Times New Roman" w:hAnsi="Times New Roman"/>
                      <w:b/>
                      <w:bCs/>
                      <w:color w:val="auto"/>
                      <w:lang w:val="en-US" w:eastAsia="zh-CN"/>
                    </w:rPr>
                  </w:pPr>
                  <w:r>
                    <w:rPr>
                      <w:rFonts w:ascii="Times New Roman" w:hAnsi="Times New Roman"/>
                      <w:b/>
                      <w:bCs/>
                      <w:color w:val="auto"/>
                      <w:lang w:val="en-US" w:eastAsia="zh-CN"/>
                    </w:rPr>
                    <w:t>相关内容</w:t>
                  </w:r>
                </w:p>
              </w:tc>
              <w:tc>
                <w:tcPr>
                  <w:tcW w:w="1157" w:type="pct"/>
                  <w:tcBorders>
                    <w:top w:val="single" w:color="auto" w:sz="12" w:space="0"/>
                  </w:tcBorders>
                  <w:noWrap w:val="0"/>
                  <w:vAlign w:val="center"/>
                </w:tcPr>
                <w:p w14:paraId="6FAF39BF">
                  <w:pPr>
                    <w:pStyle w:val="28"/>
                    <w:bidi w:val="0"/>
                    <w:rPr>
                      <w:rFonts w:hint="eastAsia" w:ascii="Times New Roman" w:hAnsi="Times New Roman"/>
                      <w:b/>
                      <w:bCs/>
                      <w:color w:val="auto"/>
                      <w:lang w:val="en-US" w:eastAsia="zh-CN"/>
                    </w:rPr>
                  </w:pPr>
                  <w:r>
                    <w:rPr>
                      <w:rFonts w:hint="eastAsia" w:ascii="Times New Roman" w:hAnsi="Times New Roman"/>
                      <w:b/>
                      <w:bCs/>
                      <w:color w:val="auto"/>
                      <w:lang w:val="en-US" w:eastAsia="zh-CN"/>
                    </w:rPr>
                    <w:t>本项目内容</w:t>
                  </w:r>
                </w:p>
              </w:tc>
              <w:tc>
                <w:tcPr>
                  <w:tcW w:w="466" w:type="pct"/>
                  <w:tcBorders>
                    <w:top w:val="single" w:color="auto" w:sz="12" w:space="0"/>
                    <w:right w:val="nil"/>
                  </w:tcBorders>
                  <w:noWrap w:val="0"/>
                  <w:vAlign w:val="center"/>
                </w:tcPr>
                <w:p w14:paraId="1A8A8693">
                  <w:pPr>
                    <w:pStyle w:val="28"/>
                    <w:bidi w:val="0"/>
                    <w:rPr>
                      <w:rFonts w:hint="eastAsia" w:ascii="Times New Roman" w:hAnsi="Times New Roman"/>
                      <w:b/>
                      <w:bCs/>
                      <w:color w:val="auto"/>
                      <w:lang w:val="en-US" w:eastAsia="zh-CN"/>
                    </w:rPr>
                  </w:pPr>
                  <w:r>
                    <w:rPr>
                      <w:rFonts w:hint="eastAsia" w:ascii="Times New Roman" w:hAnsi="Times New Roman"/>
                      <w:b/>
                      <w:bCs/>
                      <w:color w:val="auto"/>
                      <w:lang w:val="en-US" w:eastAsia="zh-CN"/>
                    </w:rPr>
                    <w:t>符合性</w:t>
                  </w:r>
                </w:p>
              </w:tc>
            </w:tr>
            <w:tr w14:paraId="26E7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1" w:hRule="atLeast"/>
                <w:jc w:val="center"/>
              </w:trPr>
              <w:tc>
                <w:tcPr>
                  <w:tcW w:w="597" w:type="pct"/>
                  <w:tcBorders>
                    <w:left w:val="nil"/>
                  </w:tcBorders>
                  <w:noWrap w:val="0"/>
                  <w:vAlign w:val="center"/>
                </w:tcPr>
                <w:p w14:paraId="241B6AFE">
                  <w:pPr>
                    <w:pStyle w:val="28"/>
                    <w:bidi w:val="0"/>
                    <w:rPr>
                      <w:rFonts w:ascii="Times New Roman" w:hAnsi="Times New Roman"/>
                      <w:color w:val="auto"/>
                      <w:lang w:val="en-US" w:eastAsia="zh-CN"/>
                    </w:rPr>
                  </w:pPr>
                  <w:r>
                    <w:rPr>
                      <w:rFonts w:hint="eastAsia" w:ascii="Times New Roman" w:hAnsi="Times New Roman"/>
                      <w:color w:val="auto"/>
                      <w:lang w:val="en-US" w:eastAsia="zh-CN"/>
                    </w:rPr>
                    <w:t>“</w:t>
                  </w:r>
                  <w:r>
                    <w:rPr>
                      <w:rFonts w:hint="default" w:ascii="Times New Roman" w:hAnsi="Times New Roman"/>
                      <w:color w:val="auto"/>
                      <w:lang w:val="en-US" w:eastAsia="zh-CN"/>
                    </w:rPr>
                    <w:t>十</w:t>
                  </w:r>
                  <w:r>
                    <w:rPr>
                      <w:rFonts w:hint="eastAsia" w:ascii="Times New Roman" w:hAnsi="Times New Roman"/>
                      <w:color w:val="auto"/>
                      <w:lang w:val="en-US" w:eastAsia="zh-CN"/>
                    </w:rPr>
                    <w:t>四</w:t>
                  </w:r>
                  <w:r>
                    <w:rPr>
                      <w:rFonts w:hint="default" w:ascii="Times New Roman" w:hAnsi="Times New Roman"/>
                      <w:color w:val="auto"/>
                      <w:lang w:val="en-US" w:eastAsia="zh-CN"/>
                    </w:rPr>
                    <w:t>五</w:t>
                  </w:r>
                  <w:r>
                    <w:rPr>
                      <w:rFonts w:hint="eastAsia" w:ascii="Times New Roman" w:hAnsi="Times New Roman"/>
                      <w:color w:val="auto"/>
                      <w:lang w:val="en-US" w:eastAsia="zh-CN"/>
                    </w:rPr>
                    <w:t>”节能减排</w:t>
                  </w:r>
                  <w:r>
                    <w:rPr>
                      <w:rFonts w:hint="default" w:ascii="Times New Roman" w:hAnsi="Times New Roman"/>
                      <w:color w:val="auto"/>
                      <w:lang w:val="en-US" w:eastAsia="zh-CN"/>
                    </w:rPr>
                    <w:t>工作方案</w:t>
                  </w:r>
                </w:p>
              </w:tc>
              <w:tc>
                <w:tcPr>
                  <w:tcW w:w="2779" w:type="pct"/>
                  <w:noWrap w:val="0"/>
                  <w:vAlign w:val="center"/>
                </w:tcPr>
                <w:p w14:paraId="25534785">
                  <w:pPr>
                    <w:pStyle w:val="28"/>
                    <w:bidi w:val="0"/>
                    <w:rPr>
                      <w:rFonts w:hint="eastAsia" w:ascii="Times New Roman" w:hAnsi="Times New Roman"/>
                      <w:color w:val="auto"/>
                      <w:lang w:val="en-US" w:eastAsia="zh-CN"/>
                    </w:rPr>
                  </w:pPr>
                  <w:r>
                    <w:rPr>
                      <w:rFonts w:hint="eastAsia" w:ascii="Times New Roman" w:hAnsi="Times New Roman"/>
                      <w:color w:val="auto"/>
                      <w:lang w:val="en-US" w:eastAsia="zh-CN"/>
                    </w:rPr>
                    <w:t>挥发性有机物综合整治工程。推进原辅材料和产品源头替代工程，实施全过程污染物治理。以工业涂装、包装印刷等行业为重点，推动使用低挥发性有机物含量的涂料、油墨、</w:t>
                  </w:r>
                  <w:r>
                    <w:rPr>
                      <w:rFonts w:hint="eastAsia"/>
                      <w:color w:val="auto"/>
                      <w:lang w:val="en-US" w:eastAsia="zh-CN"/>
                    </w:rPr>
                    <w:t>胶黏剂</w:t>
                  </w:r>
                  <w:r>
                    <w:rPr>
                      <w:rFonts w:hint="eastAsia" w:ascii="Times New Roman" w:hAnsi="Times New Roman"/>
                      <w:color w:val="auto"/>
                      <w:lang w:val="en-US" w:eastAsia="zh-CN"/>
                    </w:rPr>
                    <w:t>、清洗剂。深化石化化工等行业挥发性有机物污染治理，全面提升废气收集率、治理设施同步运行率和去除率。对易挥发有机液体储罐实施改造，对浮顶罐推广采用全接液浮盘和高效双重密封技术，对废水系统高浓度废气实施单独收集处理。加强油船和原油、成品油码头油气回收治理。到2025年，溶剂型工业涂料、油墨使用比例分别降低20个百分点、10个百分点，溶剂型</w:t>
                  </w:r>
                  <w:r>
                    <w:rPr>
                      <w:rFonts w:hint="eastAsia"/>
                      <w:color w:val="auto"/>
                      <w:lang w:val="en-US" w:eastAsia="zh-CN"/>
                    </w:rPr>
                    <w:t>胶黏剂</w:t>
                  </w:r>
                  <w:r>
                    <w:rPr>
                      <w:rFonts w:hint="eastAsia" w:ascii="Times New Roman" w:hAnsi="Times New Roman"/>
                      <w:color w:val="auto"/>
                      <w:lang w:val="en-US" w:eastAsia="zh-CN"/>
                    </w:rPr>
                    <w:t>使用量降低20%。</w:t>
                  </w:r>
                </w:p>
              </w:tc>
              <w:tc>
                <w:tcPr>
                  <w:tcW w:w="1157" w:type="pct"/>
                  <w:noWrap w:val="0"/>
                  <w:vAlign w:val="center"/>
                </w:tcPr>
                <w:p w14:paraId="091AFFFB">
                  <w:pPr>
                    <w:pStyle w:val="28"/>
                    <w:bidi w:val="0"/>
                    <w:rPr>
                      <w:rFonts w:hint="default" w:ascii="Times New Roman" w:hAnsi="Times New Roman"/>
                      <w:color w:val="auto"/>
                      <w:lang w:val="en-US" w:eastAsia="zh-CN"/>
                    </w:rPr>
                  </w:pPr>
                  <w:r>
                    <w:rPr>
                      <w:rFonts w:hint="eastAsia" w:ascii="Times New Roman" w:hAnsi="Times New Roman"/>
                      <w:color w:val="auto"/>
                      <w:lang w:val="en-US" w:eastAsia="zh-CN"/>
                    </w:rPr>
                    <w:t>本项目所涉及行业不为工业涂装、包装印刷、石化化工等行业。项目使用低挥发性有机物含量的清洗剂。项目采用高效的废气收集措施和废气处理措施</w:t>
                  </w:r>
                </w:p>
              </w:tc>
              <w:tc>
                <w:tcPr>
                  <w:tcW w:w="466" w:type="pct"/>
                  <w:tcBorders>
                    <w:right w:val="nil"/>
                  </w:tcBorders>
                  <w:noWrap w:val="0"/>
                  <w:vAlign w:val="center"/>
                </w:tcPr>
                <w:p w14:paraId="51BED1BE">
                  <w:pPr>
                    <w:pStyle w:val="28"/>
                    <w:bidi w:val="0"/>
                    <w:rPr>
                      <w:rFonts w:hint="eastAsia" w:ascii="Times New Roman" w:hAnsi="Times New Roman"/>
                      <w:color w:val="auto"/>
                      <w:lang w:val="en-US" w:eastAsia="zh-CN"/>
                    </w:rPr>
                  </w:pPr>
                  <w:r>
                    <w:rPr>
                      <w:rFonts w:hint="eastAsia" w:ascii="Times New Roman" w:hAnsi="Times New Roman"/>
                      <w:color w:val="auto"/>
                      <w:lang w:val="en-US" w:eastAsia="zh-CN"/>
                    </w:rPr>
                    <w:t>符合</w:t>
                  </w:r>
                </w:p>
              </w:tc>
            </w:tr>
            <w:tr w14:paraId="7CD11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6" w:hRule="atLeast"/>
                <w:jc w:val="center"/>
              </w:trPr>
              <w:tc>
                <w:tcPr>
                  <w:tcW w:w="5000" w:type="pct"/>
                  <w:gridSpan w:val="4"/>
                  <w:tcBorders>
                    <w:left w:val="nil"/>
                    <w:bottom w:val="single" w:color="auto" w:sz="12" w:space="0"/>
                    <w:right w:val="nil"/>
                  </w:tcBorders>
                  <w:noWrap w:val="0"/>
                  <w:vAlign w:val="center"/>
                </w:tcPr>
                <w:p w14:paraId="431E10C6">
                  <w:pPr>
                    <w:pStyle w:val="28"/>
                    <w:bidi w:val="0"/>
                    <w:jc w:val="both"/>
                    <w:rPr>
                      <w:rFonts w:hint="eastAsia" w:ascii="Times New Roman" w:hAnsi="Times New Roman"/>
                      <w:color w:val="auto"/>
                      <w:lang w:val="en-US" w:eastAsia="zh-CN"/>
                    </w:rPr>
                  </w:pPr>
                  <w:r>
                    <w:rPr>
                      <w:rStyle w:val="20"/>
                      <w:rFonts w:hint="eastAsia" w:ascii="Times New Roman" w:hAnsi="Times New Roman" w:cs="宋体"/>
                      <w:b w:val="0"/>
                      <w:bCs/>
                      <w:color w:val="auto"/>
                      <w:sz w:val="18"/>
                      <w:szCs w:val="18"/>
                      <w:lang w:val="en-US" w:eastAsia="zh-CN"/>
                    </w:rPr>
                    <w:t>注：</w:t>
                  </w:r>
                  <w:r>
                    <w:rPr>
                      <w:rStyle w:val="20"/>
                      <w:rFonts w:ascii="Times New Roman" w:hAnsi="Times New Roman" w:eastAsia="宋体" w:cs="宋体"/>
                      <w:b w:val="0"/>
                      <w:bCs/>
                      <w:color w:val="auto"/>
                      <w:sz w:val="18"/>
                      <w:szCs w:val="18"/>
                    </w:rPr>
                    <w:t>低VOC</w:t>
                  </w:r>
                  <w:r>
                    <w:rPr>
                      <w:rStyle w:val="20"/>
                      <w:rFonts w:hint="eastAsia" w:ascii="Times New Roman" w:hAnsi="Times New Roman" w:cs="宋体"/>
                      <w:b w:val="0"/>
                      <w:bCs/>
                      <w:color w:val="auto"/>
                      <w:sz w:val="18"/>
                      <w:szCs w:val="18"/>
                      <w:lang w:val="en-US" w:eastAsia="zh-CN"/>
                    </w:rPr>
                    <w:t>s</w:t>
                  </w:r>
                  <w:r>
                    <w:rPr>
                      <w:rStyle w:val="20"/>
                      <w:rFonts w:ascii="Times New Roman" w:hAnsi="Times New Roman" w:eastAsia="宋体" w:cs="宋体"/>
                      <w:b w:val="0"/>
                      <w:bCs/>
                      <w:color w:val="auto"/>
                      <w:sz w:val="18"/>
                      <w:szCs w:val="18"/>
                    </w:rPr>
                    <w:t>原辅材料替代、有机废气全过程收集治理</w:t>
                  </w:r>
                  <w:r>
                    <w:rPr>
                      <w:rFonts w:ascii="Times New Roman" w:hAnsi="Times New Roman" w:eastAsia="宋体" w:cs="宋体"/>
                      <w:b w:val="0"/>
                      <w:bCs/>
                      <w:color w:val="auto"/>
                      <w:sz w:val="18"/>
                      <w:szCs w:val="18"/>
                    </w:rPr>
                    <w:t>为长期固定环保管控要求，项目建设内容与方案总体治理思路、管控原则保持一致；后续将同步衔接“十五五”节能减排相关政策要求</w:t>
                  </w:r>
                </w:p>
              </w:tc>
            </w:tr>
          </w:tbl>
          <w:p w14:paraId="62ECDC91">
            <w:pPr>
              <w:pStyle w:val="4"/>
              <w:bidi w:val="0"/>
              <w:rPr>
                <w:rFonts w:hint="eastAsia" w:ascii="Times New Roman" w:hAnsi="Times New Roman"/>
                <w:color w:val="auto"/>
                <w:lang w:val="en-US" w:eastAsia="zh-CN"/>
              </w:rPr>
            </w:pPr>
            <w:bookmarkStart w:id="17" w:name="_Toc19584"/>
            <w:r>
              <w:rPr>
                <w:rFonts w:hint="eastAsia" w:ascii="Times New Roman" w:hAnsi="Times New Roman"/>
                <w:color w:val="auto"/>
                <w:lang w:val="en-US" w:eastAsia="zh-CN"/>
              </w:rPr>
              <w:t>1.6.4与《福建省重点行业挥发性有机物污染防治工作方案》（闽环保大气〔2017〕6号）符合性分析</w:t>
            </w:r>
            <w:bookmarkEnd w:id="17"/>
          </w:p>
          <w:p w14:paraId="449637C5">
            <w:pPr>
              <w:pStyle w:val="24"/>
              <w:bidi w:val="0"/>
              <w:rPr>
                <w:rFonts w:hint="eastAsia" w:ascii="Times New Roman" w:hAnsi="Times New Roman"/>
                <w:color w:val="auto"/>
                <w:lang w:val="en-US" w:eastAsia="zh-CN"/>
              </w:rPr>
            </w:pPr>
            <w:r>
              <w:rPr>
                <w:rFonts w:hint="eastAsia" w:ascii="Times New Roman" w:hAnsi="Times New Roman"/>
                <w:color w:val="auto"/>
                <w:lang w:val="en-US" w:eastAsia="zh-CN"/>
              </w:rPr>
              <w:t>表1.6-4  与《福建省重点行业挥发性有机物污染防治工作方案》（闽环保大气〔2017〕6号）符合性分析</w:t>
            </w:r>
          </w:p>
          <w:tbl>
            <w:tblPr>
              <w:tblStyle w:val="17"/>
              <w:tblW w:w="793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991"/>
              <w:gridCol w:w="5035"/>
              <w:gridCol w:w="1259"/>
              <w:gridCol w:w="653"/>
            </w:tblGrid>
            <w:tr w14:paraId="575343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24" w:type="pct"/>
                  <w:tcBorders>
                    <w:tl2br w:val="nil"/>
                    <w:tr2bl w:val="nil"/>
                  </w:tcBorders>
                  <w:noWrap w:val="0"/>
                  <w:vAlign w:val="center"/>
                </w:tcPr>
                <w:p w14:paraId="4F42CFD4">
                  <w:pPr>
                    <w:pStyle w:val="28"/>
                    <w:bidi w:val="0"/>
                    <w:rPr>
                      <w:rFonts w:ascii="Times New Roman" w:hAnsi="Times New Roman" w:eastAsia="宋体"/>
                      <w:b/>
                      <w:bCs/>
                      <w:color w:val="auto"/>
                      <w:lang w:val="en-US" w:eastAsia="zh-CN"/>
                    </w:rPr>
                  </w:pPr>
                  <w:r>
                    <w:rPr>
                      <w:rFonts w:ascii="Times New Roman" w:hAnsi="Times New Roman" w:eastAsia="宋体"/>
                      <w:b/>
                      <w:bCs/>
                      <w:color w:val="auto"/>
                      <w:lang w:val="en-US" w:eastAsia="zh-CN"/>
                    </w:rPr>
                    <w:t>相关文件名称</w:t>
                  </w:r>
                </w:p>
              </w:tc>
              <w:tc>
                <w:tcPr>
                  <w:tcW w:w="3170" w:type="pct"/>
                  <w:tcBorders>
                    <w:tl2br w:val="nil"/>
                    <w:tr2bl w:val="nil"/>
                  </w:tcBorders>
                  <w:noWrap w:val="0"/>
                  <w:vAlign w:val="center"/>
                </w:tcPr>
                <w:p w14:paraId="45B7F257">
                  <w:pPr>
                    <w:pStyle w:val="28"/>
                    <w:bidi w:val="0"/>
                    <w:rPr>
                      <w:rFonts w:ascii="Times New Roman" w:hAnsi="Times New Roman" w:eastAsia="宋体"/>
                      <w:b/>
                      <w:bCs/>
                      <w:color w:val="auto"/>
                      <w:lang w:val="en-US" w:eastAsia="zh-CN"/>
                    </w:rPr>
                  </w:pPr>
                  <w:r>
                    <w:rPr>
                      <w:rFonts w:ascii="Times New Roman" w:hAnsi="Times New Roman" w:eastAsia="宋体"/>
                      <w:b/>
                      <w:bCs/>
                      <w:color w:val="auto"/>
                      <w:lang w:val="en-US" w:eastAsia="zh-CN"/>
                    </w:rPr>
                    <w:t>相关内容</w:t>
                  </w:r>
                </w:p>
              </w:tc>
              <w:tc>
                <w:tcPr>
                  <w:tcW w:w="793" w:type="pct"/>
                  <w:tcBorders>
                    <w:tl2br w:val="nil"/>
                    <w:tr2bl w:val="nil"/>
                  </w:tcBorders>
                  <w:noWrap w:val="0"/>
                  <w:vAlign w:val="center"/>
                </w:tcPr>
                <w:p w14:paraId="3CC8A9DC">
                  <w:pPr>
                    <w:pStyle w:val="28"/>
                    <w:bidi w:val="0"/>
                    <w:rPr>
                      <w:rFonts w:hint="eastAsia" w:ascii="Times New Roman" w:hAnsi="Times New Roman" w:eastAsia="宋体"/>
                      <w:b/>
                      <w:bCs/>
                      <w:color w:val="auto"/>
                      <w:lang w:val="en-US" w:eastAsia="zh-CN"/>
                    </w:rPr>
                  </w:pPr>
                  <w:r>
                    <w:rPr>
                      <w:rFonts w:hint="eastAsia" w:ascii="Times New Roman" w:hAnsi="Times New Roman" w:eastAsia="宋体"/>
                      <w:b/>
                      <w:bCs/>
                      <w:color w:val="auto"/>
                      <w:lang w:val="en-US" w:eastAsia="zh-CN"/>
                    </w:rPr>
                    <w:t>本项目内容</w:t>
                  </w:r>
                </w:p>
              </w:tc>
              <w:tc>
                <w:tcPr>
                  <w:tcW w:w="411" w:type="pct"/>
                  <w:tcBorders>
                    <w:tl2br w:val="nil"/>
                    <w:tr2bl w:val="nil"/>
                  </w:tcBorders>
                  <w:noWrap w:val="0"/>
                  <w:vAlign w:val="center"/>
                </w:tcPr>
                <w:p w14:paraId="065CA36F">
                  <w:pPr>
                    <w:pStyle w:val="28"/>
                    <w:bidi w:val="0"/>
                    <w:rPr>
                      <w:rFonts w:hint="eastAsia" w:ascii="Times New Roman" w:hAnsi="Times New Roman" w:eastAsia="宋体"/>
                      <w:b/>
                      <w:bCs/>
                      <w:color w:val="auto"/>
                      <w:lang w:val="en-US" w:eastAsia="zh-CN"/>
                    </w:rPr>
                  </w:pPr>
                  <w:r>
                    <w:rPr>
                      <w:rFonts w:hint="eastAsia" w:ascii="Times New Roman" w:hAnsi="Times New Roman" w:eastAsia="宋体"/>
                      <w:b/>
                      <w:bCs/>
                      <w:color w:val="auto"/>
                      <w:lang w:val="en-US" w:eastAsia="zh-CN"/>
                    </w:rPr>
                    <w:t>符合性</w:t>
                  </w:r>
                </w:p>
              </w:tc>
            </w:tr>
            <w:tr w14:paraId="10F988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24" w:type="pct"/>
                  <w:tcBorders>
                    <w:tl2br w:val="nil"/>
                    <w:tr2bl w:val="nil"/>
                  </w:tcBorders>
                  <w:noWrap w:val="0"/>
                  <w:vAlign w:val="center"/>
                </w:tcPr>
                <w:p w14:paraId="0599352C">
                  <w:pPr>
                    <w:pStyle w:val="28"/>
                    <w:bidi w:val="0"/>
                    <w:rPr>
                      <w:rFonts w:ascii="Times New Roman" w:hAnsi="Times New Roman" w:eastAsia="宋体"/>
                      <w:color w:val="auto"/>
                      <w:lang w:val="en-US" w:eastAsia="zh-CN"/>
                    </w:rPr>
                  </w:pPr>
                  <w:r>
                    <w:rPr>
                      <w:rFonts w:ascii="Times New Roman" w:hAnsi="Times New Roman" w:eastAsia="宋体"/>
                      <w:color w:val="auto"/>
                      <w:lang w:val="en-US" w:eastAsia="zh-CN"/>
                    </w:rPr>
                    <w:t>福建省重点行业挥发性有机物污染防治工作方案</w:t>
                  </w:r>
                </w:p>
              </w:tc>
              <w:tc>
                <w:tcPr>
                  <w:tcW w:w="3170" w:type="pct"/>
                  <w:tcBorders>
                    <w:tl2br w:val="nil"/>
                    <w:tr2bl w:val="nil"/>
                  </w:tcBorders>
                  <w:noWrap w:val="0"/>
                  <w:vAlign w:val="center"/>
                </w:tcPr>
                <w:p w14:paraId="7CC32A0A">
                  <w:pPr>
                    <w:pStyle w:val="28"/>
                    <w:bidi w:val="0"/>
                    <w:rPr>
                      <w:rFonts w:ascii="Times New Roman" w:hAnsi="Times New Roman" w:eastAsia="宋体"/>
                      <w:color w:val="auto"/>
                      <w:lang w:val="en-US" w:eastAsia="zh-CN"/>
                    </w:rPr>
                  </w:pPr>
                  <w:r>
                    <w:rPr>
                      <w:rFonts w:ascii="Times New Roman" w:hAnsi="Times New Roman" w:eastAsia="宋体"/>
                      <w:color w:val="auto"/>
                      <w:lang w:val="en-US" w:eastAsia="zh-CN"/>
                    </w:rPr>
                    <w:t>二、主要任务</w:t>
                  </w:r>
                </w:p>
                <w:p w14:paraId="76DC1373">
                  <w:pPr>
                    <w:pStyle w:val="28"/>
                    <w:bidi w:val="0"/>
                    <w:rPr>
                      <w:rFonts w:ascii="Times New Roman" w:hAnsi="Times New Roman" w:eastAsia="宋体"/>
                      <w:color w:val="auto"/>
                      <w:lang w:val="en-US" w:eastAsia="zh-CN"/>
                    </w:rPr>
                  </w:pPr>
                  <w:r>
                    <w:rPr>
                      <w:rFonts w:ascii="Times New Roman" w:hAnsi="Times New Roman" w:eastAsia="宋体"/>
                      <w:color w:val="auto"/>
                      <w:lang w:val="en-US" w:eastAsia="zh-CN"/>
                    </w:rPr>
                    <w:t>（一）严格环境准入</w:t>
                  </w:r>
                </w:p>
                <w:p w14:paraId="39414EC9">
                  <w:pPr>
                    <w:pStyle w:val="28"/>
                    <w:bidi w:val="0"/>
                    <w:rPr>
                      <w:rFonts w:ascii="Times New Roman" w:hAnsi="Times New Roman" w:eastAsia="宋体"/>
                      <w:color w:val="auto"/>
                      <w:lang w:val="en-US" w:eastAsia="zh-CN"/>
                    </w:rPr>
                  </w:pPr>
                  <w:r>
                    <w:rPr>
                      <w:rFonts w:ascii="Times New Roman" w:hAnsi="Times New Roman" w:eastAsia="宋体"/>
                      <w:color w:val="auto"/>
                      <w:lang w:val="en-US" w:eastAsia="zh-CN"/>
                    </w:rPr>
                    <w:t>进一步提高行业准入门槛，严格控制新增污染物排放量。严格限制石化、化工、包装印刷、工业涂装等高VOCs排放建设项目。新改扩建项目要使用低VOCs含量原辅材料，采取密闭措施，加强废气收集，配套安装高效治理设施，减少污染排放。淘汰国家及地方明令禁止的落后工艺和设备。</w:t>
                  </w:r>
                </w:p>
                <w:p w14:paraId="34A6E4BB">
                  <w:pPr>
                    <w:pStyle w:val="28"/>
                    <w:bidi w:val="0"/>
                    <w:rPr>
                      <w:rFonts w:ascii="Times New Roman" w:hAnsi="Times New Roman" w:eastAsia="宋体"/>
                      <w:color w:val="auto"/>
                      <w:lang w:val="en-US" w:eastAsia="zh-CN"/>
                    </w:rPr>
                  </w:pPr>
                  <w:r>
                    <w:rPr>
                      <w:rFonts w:ascii="Times New Roman" w:hAnsi="Times New Roman" w:eastAsia="宋体"/>
                      <w:color w:val="auto"/>
                      <w:lang w:val="en-US" w:eastAsia="zh-CN"/>
                    </w:rPr>
                    <w:t>（二）大力推进清洁生产</w:t>
                  </w:r>
                </w:p>
                <w:p w14:paraId="14098B10">
                  <w:pPr>
                    <w:pStyle w:val="28"/>
                    <w:bidi w:val="0"/>
                    <w:rPr>
                      <w:rFonts w:ascii="Times New Roman" w:hAnsi="Times New Roman" w:eastAsia="宋体"/>
                      <w:color w:val="auto"/>
                      <w:lang w:val="en-US" w:eastAsia="zh-CN"/>
                    </w:rPr>
                  </w:pPr>
                  <w:r>
                    <w:rPr>
                      <w:rFonts w:ascii="Times New Roman" w:hAnsi="Times New Roman" w:eastAsia="宋体"/>
                      <w:color w:val="auto"/>
                      <w:lang w:val="en-US" w:eastAsia="zh-CN"/>
                    </w:rPr>
                    <w:t>……在重点行业大力倡导环境标志产品生产及使用，尤其是水性涂料的生产和使用，从源头控制VOCs排放。</w:t>
                  </w:r>
                </w:p>
              </w:tc>
              <w:tc>
                <w:tcPr>
                  <w:tcW w:w="793" w:type="pct"/>
                  <w:tcBorders>
                    <w:tl2br w:val="nil"/>
                    <w:tr2bl w:val="nil"/>
                  </w:tcBorders>
                  <w:noWrap w:val="0"/>
                  <w:vAlign w:val="center"/>
                </w:tcPr>
                <w:p w14:paraId="6AF003DA">
                  <w:pPr>
                    <w:pStyle w:val="28"/>
                    <w:bidi w:val="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擦拭废气、超洗废气经密闭车间负压收集后通过二级活性炭吸附装置处理达标后由</w:t>
                  </w:r>
                  <w:r>
                    <w:rPr>
                      <w:rFonts w:hint="eastAsia" w:ascii="Times New Roman" w:hAnsi="Times New Roman"/>
                      <w:color w:val="auto"/>
                      <w:lang w:val="en-US" w:eastAsia="zh-CN"/>
                    </w:rPr>
                    <w:t>40m高的DA001</w:t>
                  </w:r>
                  <w:r>
                    <w:rPr>
                      <w:rFonts w:hint="eastAsia" w:ascii="Times New Roman" w:hAnsi="Times New Roman" w:eastAsia="宋体"/>
                      <w:color w:val="auto"/>
                      <w:lang w:val="en-US" w:eastAsia="zh-CN"/>
                    </w:rPr>
                    <w:t>排气筒排放；</w:t>
                  </w:r>
                  <w:r>
                    <w:rPr>
                      <w:rFonts w:hint="eastAsia" w:ascii="Times New Roman" w:hAnsi="Times New Roman"/>
                      <w:color w:val="auto"/>
                      <w:lang w:val="en-US" w:eastAsia="zh-CN"/>
                    </w:rPr>
                    <w:t>铣磨</w:t>
                  </w:r>
                  <w:r>
                    <w:rPr>
                      <w:rFonts w:hint="eastAsia" w:ascii="Times New Roman" w:hAnsi="Times New Roman" w:eastAsia="宋体"/>
                      <w:color w:val="auto"/>
                      <w:lang w:val="en-US" w:eastAsia="zh-CN"/>
                    </w:rPr>
                    <w:t>废气通过设备密闭管道收集后通过二级活性炭吸附装置处理达标</w:t>
                  </w:r>
                  <w:r>
                    <w:rPr>
                      <w:rFonts w:hint="eastAsia"/>
                      <w:color w:val="auto"/>
                      <w:lang w:val="en-US" w:eastAsia="zh-CN"/>
                    </w:rPr>
                    <w:t>后</w:t>
                  </w:r>
                  <w:r>
                    <w:rPr>
                      <w:rFonts w:hint="eastAsia" w:ascii="Times New Roman" w:hAnsi="Times New Roman" w:eastAsia="宋体"/>
                      <w:color w:val="auto"/>
                      <w:lang w:val="en-US" w:eastAsia="zh-CN"/>
                    </w:rPr>
                    <w:t>通过</w:t>
                  </w:r>
                  <w:r>
                    <w:rPr>
                      <w:rFonts w:hint="eastAsia" w:ascii="Times New Roman" w:hAnsi="Times New Roman"/>
                      <w:color w:val="auto"/>
                      <w:lang w:val="en-US" w:eastAsia="zh-CN"/>
                    </w:rPr>
                    <w:t>40m高的DA001</w:t>
                  </w:r>
                  <w:r>
                    <w:rPr>
                      <w:rFonts w:hint="eastAsia" w:ascii="Times New Roman" w:hAnsi="Times New Roman" w:eastAsia="宋体"/>
                      <w:color w:val="auto"/>
                      <w:lang w:val="en-US" w:eastAsia="zh-CN"/>
                    </w:rPr>
                    <w:t>排气筒排放，为高效的治理设施，能够有效地减少污染排放。</w:t>
                  </w:r>
                </w:p>
              </w:tc>
              <w:tc>
                <w:tcPr>
                  <w:tcW w:w="411" w:type="pct"/>
                  <w:tcBorders>
                    <w:tl2br w:val="nil"/>
                    <w:tr2bl w:val="nil"/>
                  </w:tcBorders>
                  <w:noWrap w:val="0"/>
                  <w:vAlign w:val="center"/>
                </w:tcPr>
                <w:p w14:paraId="784D6846">
                  <w:pPr>
                    <w:pStyle w:val="28"/>
                    <w:bidi w:val="0"/>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t>符合</w:t>
                  </w:r>
                </w:p>
              </w:tc>
            </w:tr>
          </w:tbl>
          <w:p w14:paraId="52FC8038">
            <w:pPr>
              <w:pStyle w:val="4"/>
              <w:bidi w:val="0"/>
              <w:rPr>
                <w:rFonts w:hint="eastAsia" w:ascii="Times New Roman" w:hAnsi="Times New Roman"/>
                <w:color w:val="auto"/>
                <w:lang w:val="en-US" w:eastAsia="zh-CN"/>
              </w:rPr>
            </w:pPr>
            <w:bookmarkStart w:id="18" w:name="_Toc6729"/>
            <w:r>
              <w:rPr>
                <w:rFonts w:hint="eastAsia" w:ascii="Times New Roman" w:hAnsi="Times New Roman"/>
                <w:color w:val="auto"/>
                <w:lang w:val="en-US" w:eastAsia="zh-CN"/>
              </w:rPr>
              <w:t>1.6.5与《福州市挥发性有机物污染整治工作方案》（榕政办〔2017〕169号）符合性分析</w:t>
            </w:r>
            <w:bookmarkEnd w:id="18"/>
          </w:p>
          <w:p w14:paraId="6863B499">
            <w:pPr>
              <w:pStyle w:val="24"/>
              <w:bidi w:val="0"/>
              <w:rPr>
                <w:rFonts w:hint="default" w:ascii="Times New Roman" w:hAnsi="Times New Roman"/>
                <w:color w:val="auto"/>
                <w:lang w:val="en-US" w:eastAsia="zh-CN"/>
              </w:rPr>
            </w:pPr>
            <w:r>
              <w:rPr>
                <w:rFonts w:hint="eastAsia" w:ascii="Times New Roman" w:hAnsi="Times New Roman"/>
                <w:color w:val="auto"/>
                <w:lang w:val="en-US" w:eastAsia="zh-CN"/>
              </w:rPr>
              <w:t>表1.6-5  与《福州市挥发性有机物污染整治工作方案》（榕政办〔2017〕169号）符合性分析</w:t>
            </w:r>
          </w:p>
          <w:tbl>
            <w:tblPr>
              <w:tblStyle w:val="17"/>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976"/>
              <w:gridCol w:w="3325"/>
              <w:gridCol w:w="2840"/>
              <w:gridCol w:w="818"/>
            </w:tblGrid>
            <w:tr w14:paraId="084D9B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32" w:hRule="atLeast"/>
                <w:jc w:val="center"/>
              </w:trPr>
              <w:tc>
                <w:tcPr>
                  <w:tcW w:w="613" w:type="pct"/>
                  <w:tcBorders>
                    <w:tl2br w:val="nil"/>
                    <w:tr2bl w:val="nil"/>
                  </w:tcBorders>
                  <w:noWrap w:val="0"/>
                  <w:vAlign w:val="center"/>
                </w:tcPr>
                <w:p w14:paraId="7AD197FC">
                  <w:pPr>
                    <w:pStyle w:val="28"/>
                    <w:bidi w:val="0"/>
                    <w:rPr>
                      <w:rFonts w:ascii="Times New Roman" w:hAnsi="Times New Roman"/>
                      <w:b/>
                      <w:bCs/>
                      <w:color w:val="auto"/>
                      <w:lang w:val="en-US" w:eastAsia="zh-CN"/>
                    </w:rPr>
                  </w:pPr>
                  <w:r>
                    <w:rPr>
                      <w:rFonts w:ascii="Times New Roman" w:hAnsi="Times New Roman"/>
                      <w:b/>
                      <w:bCs/>
                      <w:color w:val="auto"/>
                      <w:lang w:val="en-US" w:eastAsia="zh-CN"/>
                    </w:rPr>
                    <w:t>相关文件名称</w:t>
                  </w:r>
                </w:p>
              </w:tc>
              <w:tc>
                <w:tcPr>
                  <w:tcW w:w="2088" w:type="pct"/>
                  <w:tcBorders>
                    <w:tl2br w:val="nil"/>
                    <w:tr2bl w:val="nil"/>
                  </w:tcBorders>
                  <w:noWrap w:val="0"/>
                  <w:vAlign w:val="center"/>
                </w:tcPr>
                <w:p w14:paraId="2DF8402B">
                  <w:pPr>
                    <w:pStyle w:val="28"/>
                    <w:bidi w:val="0"/>
                    <w:rPr>
                      <w:rFonts w:ascii="Times New Roman" w:hAnsi="Times New Roman"/>
                      <w:b/>
                      <w:bCs/>
                      <w:color w:val="auto"/>
                      <w:lang w:val="en-US" w:eastAsia="zh-CN"/>
                    </w:rPr>
                  </w:pPr>
                  <w:r>
                    <w:rPr>
                      <w:rFonts w:ascii="Times New Roman" w:hAnsi="Times New Roman"/>
                      <w:b/>
                      <w:bCs/>
                      <w:color w:val="auto"/>
                      <w:lang w:val="en-US" w:eastAsia="zh-CN"/>
                    </w:rPr>
                    <w:t>相关内容</w:t>
                  </w:r>
                </w:p>
              </w:tc>
              <w:tc>
                <w:tcPr>
                  <w:tcW w:w="1784" w:type="pct"/>
                  <w:tcBorders>
                    <w:tl2br w:val="nil"/>
                    <w:tr2bl w:val="nil"/>
                  </w:tcBorders>
                  <w:noWrap w:val="0"/>
                  <w:vAlign w:val="center"/>
                </w:tcPr>
                <w:p w14:paraId="35AEC0D6">
                  <w:pPr>
                    <w:pStyle w:val="28"/>
                    <w:bidi w:val="0"/>
                    <w:rPr>
                      <w:rFonts w:hint="eastAsia" w:ascii="Times New Roman" w:hAnsi="Times New Roman"/>
                      <w:b/>
                      <w:bCs/>
                      <w:color w:val="auto"/>
                      <w:lang w:val="en-US" w:eastAsia="zh-CN"/>
                    </w:rPr>
                  </w:pPr>
                  <w:r>
                    <w:rPr>
                      <w:rFonts w:hint="eastAsia" w:ascii="Times New Roman" w:hAnsi="Times New Roman"/>
                      <w:b/>
                      <w:bCs/>
                      <w:color w:val="auto"/>
                      <w:lang w:val="en-US" w:eastAsia="zh-CN"/>
                    </w:rPr>
                    <w:t>本项目内容</w:t>
                  </w:r>
                </w:p>
              </w:tc>
              <w:tc>
                <w:tcPr>
                  <w:tcW w:w="514" w:type="pct"/>
                  <w:tcBorders>
                    <w:tl2br w:val="nil"/>
                    <w:tr2bl w:val="nil"/>
                  </w:tcBorders>
                  <w:noWrap w:val="0"/>
                  <w:vAlign w:val="center"/>
                </w:tcPr>
                <w:p w14:paraId="29A7AF3F">
                  <w:pPr>
                    <w:pStyle w:val="28"/>
                    <w:bidi w:val="0"/>
                    <w:rPr>
                      <w:rFonts w:hint="eastAsia" w:ascii="Times New Roman" w:hAnsi="Times New Roman"/>
                      <w:b/>
                      <w:bCs/>
                      <w:color w:val="auto"/>
                      <w:lang w:val="en-US" w:eastAsia="zh-CN"/>
                    </w:rPr>
                  </w:pPr>
                  <w:r>
                    <w:rPr>
                      <w:rFonts w:hint="eastAsia" w:ascii="Times New Roman" w:hAnsi="Times New Roman"/>
                      <w:b/>
                      <w:bCs/>
                      <w:color w:val="auto"/>
                      <w:lang w:val="en-US" w:eastAsia="zh-CN"/>
                    </w:rPr>
                    <w:t>符合性</w:t>
                  </w:r>
                </w:p>
              </w:tc>
            </w:tr>
            <w:tr w14:paraId="24A11D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13" w:type="pct"/>
                  <w:tcBorders>
                    <w:tl2br w:val="nil"/>
                    <w:tr2bl w:val="nil"/>
                  </w:tcBorders>
                  <w:noWrap w:val="0"/>
                  <w:vAlign w:val="center"/>
                </w:tcPr>
                <w:p w14:paraId="212EFF7F">
                  <w:pPr>
                    <w:pStyle w:val="28"/>
                    <w:bidi w:val="0"/>
                    <w:rPr>
                      <w:rFonts w:ascii="Times New Roman" w:hAnsi="Times New Roman"/>
                      <w:color w:val="auto"/>
                      <w:lang w:val="en-US" w:eastAsia="zh-CN"/>
                    </w:rPr>
                  </w:pPr>
                  <w:r>
                    <w:rPr>
                      <w:rFonts w:ascii="Times New Roman" w:hAnsi="Times New Roman"/>
                      <w:color w:val="auto"/>
                      <w:lang w:val="en-US" w:eastAsia="zh-CN"/>
                    </w:rPr>
                    <w:t>福州市挥发性有机物污染整治工作方案</w:t>
                  </w:r>
                </w:p>
              </w:tc>
              <w:tc>
                <w:tcPr>
                  <w:tcW w:w="2088" w:type="pct"/>
                  <w:tcBorders>
                    <w:tl2br w:val="nil"/>
                    <w:tr2bl w:val="nil"/>
                  </w:tcBorders>
                  <w:noWrap w:val="0"/>
                  <w:vAlign w:val="center"/>
                </w:tcPr>
                <w:p w14:paraId="501C7908">
                  <w:pPr>
                    <w:pStyle w:val="28"/>
                    <w:bidi w:val="0"/>
                    <w:rPr>
                      <w:rFonts w:ascii="Times New Roman" w:hAnsi="Times New Roman"/>
                      <w:color w:val="auto"/>
                      <w:lang w:val="en-US" w:eastAsia="zh-CN"/>
                    </w:rPr>
                  </w:pPr>
                  <w:r>
                    <w:rPr>
                      <w:rFonts w:ascii="Times New Roman" w:hAnsi="Times New Roman"/>
                      <w:color w:val="auto"/>
                      <w:lang w:val="en-US" w:eastAsia="zh-CN"/>
                    </w:rPr>
                    <w:t>（二）严格VOCs项目环境准入</w:t>
                  </w:r>
                </w:p>
                <w:p w14:paraId="38A3622D">
                  <w:pPr>
                    <w:pStyle w:val="28"/>
                    <w:bidi w:val="0"/>
                    <w:rPr>
                      <w:rFonts w:ascii="Times New Roman" w:hAnsi="Times New Roman"/>
                      <w:color w:val="auto"/>
                      <w:lang w:val="en-US" w:eastAsia="zh-CN"/>
                    </w:rPr>
                  </w:pPr>
                  <w:r>
                    <w:rPr>
                      <w:rFonts w:ascii="Times New Roman" w:hAnsi="Times New Roman"/>
                      <w:color w:val="auto"/>
                      <w:lang w:val="en-US" w:eastAsia="zh-CN"/>
                    </w:rPr>
                    <w:t>提高行业准入门槛，鼓励支持企业通过技改减少挥发性有机物排放，严格控制新增污染物排放量，对挥发性有机物新增排放量实行现役源2倍削减量替代。</w:t>
                  </w:r>
                </w:p>
              </w:tc>
              <w:tc>
                <w:tcPr>
                  <w:tcW w:w="1784" w:type="pct"/>
                  <w:tcBorders>
                    <w:tl2br w:val="nil"/>
                    <w:tr2bl w:val="nil"/>
                  </w:tcBorders>
                  <w:noWrap w:val="0"/>
                  <w:vAlign w:val="center"/>
                </w:tcPr>
                <w:p w14:paraId="5A5FCF34">
                  <w:pPr>
                    <w:pStyle w:val="28"/>
                    <w:bidi w:val="0"/>
                    <w:rPr>
                      <w:rFonts w:ascii="Times New Roman" w:hAnsi="Times New Roman"/>
                      <w:color w:val="auto"/>
                      <w:lang w:val="en-US" w:eastAsia="zh-CN"/>
                    </w:rPr>
                  </w:pPr>
                  <w:r>
                    <w:rPr>
                      <w:rFonts w:hint="eastAsia" w:ascii="Times New Roman" w:hAnsi="Times New Roman"/>
                      <w:color w:val="auto"/>
                      <w:lang w:val="en-US" w:eastAsia="zh-CN"/>
                    </w:rPr>
                    <w:t>本项目VOCs排放实行区域内倍量替代，新、改扩建涉VOCs排放项目，擦拭废气、超洗废气经密闭车间负压收集后通过二级活性炭吸附装置处理达标后由40m高的DA001排气筒排放；铣磨</w:t>
                  </w:r>
                  <w:r>
                    <w:rPr>
                      <w:rFonts w:hint="eastAsia" w:ascii="Times New Roman" w:hAnsi="Times New Roman" w:eastAsia="宋体"/>
                      <w:color w:val="auto"/>
                      <w:lang w:val="en-US" w:eastAsia="zh-CN"/>
                    </w:rPr>
                    <w:t>废气通过设备密闭管道收集后通过二级活性炭吸附装置处理达标后</w:t>
                  </w:r>
                  <w:r>
                    <w:rPr>
                      <w:rFonts w:hint="eastAsia"/>
                      <w:color w:val="auto"/>
                      <w:lang w:val="en-US" w:eastAsia="zh-CN"/>
                    </w:rPr>
                    <w:t>再</w:t>
                  </w:r>
                  <w:r>
                    <w:rPr>
                      <w:rFonts w:hint="eastAsia" w:ascii="Times New Roman" w:hAnsi="Times New Roman" w:eastAsia="宋体"/>
                      <w:color w:val="auto"/>
                      <w:lang w:val="en-US" w:eastAsia="zh-CN"/>
                    </w:rPr>
                    <w:t>通过40m高的DA001排气筒排放</w:t>
                  </w:r>
                  <w:r>
                    <w:rPr>
                      <w:rFonts w:hint="eastAsia" w:ascii="Times New Roman" w:hAnsi="Times New Roman"/>
                      <w:color w:val="auto"/>
                      <w:lang w:val="en-US" w:eastAsia="zh-CN"/>
                    </w:rPr>
                    <w:t>，</w:t>
                  </w:r>
                  <w:r>
                    <w:rPr>
                      <w:rFonts w:ascii="Times New Roman" w:hAnsi="Times New Roman"/>
                      <w:color w:val="auto"/>
                      <w:lang w:val="en-US" w:eastAsia="zh-CN"/>
                    </w:rPr>
                    <w:t>建设单位将严格按照文件规定要求对VOC</w:t>
                  </w:r>
                  <w:r>
                    <w:rPr>
                      <w:rFonts w:hint="eastAsia" w:ascii="Times New Roman" w:hAnsi="Times New Roman"/>
                      <w:color w:val="auto"/>
                      <w:lang w:val="en-US" w:eastAsia="zh-CN"/>
                    </w:rPr>
                    <w:t>s</w:t>
                  </w:r>
                  <w:r>
                    <w:rPr>
                      <w:rFonts w:ascii="Times New Roman" w:hAnsi="Times New Roman"/>
                      <w:color w:val="auto"/>
                      <w:lang w:val="en-US" w:eastAsia="zh-CN"/>
                    </w:rPr>
                    <w:t>排放实行倍量替代。</w:t>
                  </w:r>
                </w:p>
              </w:tc>
              <w:tc>
                <w:tcPr>
                  <w:tcW w:w="514" w:type="pct"/>
                  <w:tcBorders>
                    <w:tl2br w:val="nil"/>
                    <w:tr2bl w:val="nil"/>
                  </w:tcBorders>
                  <w:noWrap w:val="0"/>
                  <w:vAlign w:val="center"/>
                </w:tcPr>
                <w:p w14:paraId="5A7486C3">
                  <w:pPr>
                    <w:pStyle w:val="28"/>
                    <w:bidi w:val="0"/>
                    <w:rPr>
                      <w:rFonts w:hint="eastAsia" w:ascii="Times New Roman" w:hAnsi="Times New Roman"/>
                      <w:color w:val="auto"/>
                      <w:lang w:val="en-US" w:eastAsia="zh-CN"/>
                    </w:rPr>
                  </w:pPr>
                  <w:r>
                    <w:rPr>
                      <w:rFonts w:hint="eastAsia" w:ascii="Times New Roman" w:hAnsi="Times New Roman"/>
                      <w:color w:val="auto"/>
                      <w:lang w:val="en-US" w:eastAsia="zh-CN"/>
                    </w:rPr>
                    <w:t>符合</w:t>
                  </w:r>
                </w:p>
              </w:tc>
            </w:tr>
          </w:tbl>
          <w:p w14:paraId="56078E81">
            <w:pPr>
              <w:pStyle w:val="4"/>
              <w:bidi w:val="0"/>
              <w:rPr>
                <w:rFonts w:hint="eastAsia" w:ascii="Times New Roman" w:hAnsi="Times New Roman"/>
                <w:color w:val="auto"/>
                <w:lang w:val="en-US" w:eastAsia="zh-CN"/>
              </w:rPr>
            </w:pPr>
            <w:bookmarkStart w:id="19" w:name="_Toc32159"/>
            <w:r>
              <w:rPr>
                <w:rFonts w:hint="eastAsia" w:ascii="Times New Roman" w:hAnsi="Times New Roman"/>
                <w:color w:val="auto"/>
                <w:lang w:val="en-US" w:eastAsia="zh-CN"/>
              </w:rPr>
              <w:t>1.6.6与《2021年福州市提升空气质量行动计划》的通知（榕环委办〔2021〕23号）</w:t>
            </w:r>
            <w:bookmarkEnd w:id="19"/>
          </w:p>
          <w:p w14:paraId="7F24BFA7">
            <w:pPr>
              <w:pStyle w:val="24"/>
              <w:bidi w:val="0"/>
              <w:rPr>
                <w:rFonts w:hint="default" w:ascii="Times New Roman" w:hAnsi="Times New Roman"/>
                <w:color w:val="auto"/>
                <w:lang w:val="en-US" w:eastAsia="zh-CN"/>
              </w:rPr>
            </w:pPr>
            <w:r>
              <w:rPr>
                <w:rFonts w:hint="eastAsia" w:ascii="Times New Roman" w:hAnsi="Times New Roman"/>
                <w:color w:val="auto"/>
                <w:lang w:val="en-US" w:eastAsia="zh-CN"/>
              </w:rPr>
              <w:t>表1.6-6  与《2021年福州市提升空气质量行动计划》符合性分析</w:t>
            </w:r>
          </w:p>
          <w:tbl>
            <w:tblPr>
              <w:tblStyle w:val="1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976"/>
              <w:gridCol w:w="3859"/>
              <w:gridCol w:w="2111"/>
              <w:gridCol w:w="1015"/>
            </w:tblGrid>
            <w:tr w14:paraId="26015F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13" w:type="pct"/>
                  <w:tcBorders>
                    <w:tl2br w:val="nil"/>
                    <w:tr2bl w:val="nil"/>
                  </w:tcBorders>
                  <w:noWrap w:val="0"/>
                  <w:vAlign w:val="center"/>
                </w:tcPr>
                <w:p w14:paraId="621FB3F0">
                  <w:pPr>
                    <w:pStyle w:val="28"/>
                    <w:bidi w:val="0"/>
                    <w:rPr>
                      <w:rFonts w:ascii="Times New Roman" w:hAnsi="Times New Roman"/>
                      <w:b/>
                      <w:bCs/>
                      <w:color w:val="auto"/>
                      <w:lang w:val="en-US" w:eastAsia="zh-CN"/>
                    </w:rPr>
                  </w:pPr>
                  <w:r>
                    <w:rPr>
                      <w:rFonts w:ascii="Times New Roman" w:hAnsi="Times New Roman"/>
                      <w:b/>
                      <w:bCs/>
                      <w:color w:val="auto"/>
                      <w:lang w:val="en-US" w:eastAsia="zh-CN"/>
                    </w:rPr>
                    <w:t>相关文件名称</w:t>
                  </w:r>
                </w:p>
              </w:tc>
              <w:tc>
                <w:tcPr>
                  <w:tcW w:w="2422" w:type="pct"/>
                  <w:tcBorders>
                    <w:tl2br w:val="nil"/>
                    <w:tr2bl w:val="nil"/>
                  </w:tcBorders>
                  <w:noWrap w:val="0"/>
                  <w:vAlign w:val="center"/>
                </w:tcPr>
                <w:p w14:paraId="7CE0AAEF">
                  <w:pPr>
                    <w:pStyle w:val="28"/>
                    <w:bidi w:val="0"/>
                    <w:rPr>
                      <w:rFonts w:ascii="Times New Roman" w:hAnsi="Times New Roman"/>
                      <w:b/>
                      <w:bCs/>
                      <w:color w:val="auto"/>
                      <w:lang w:val="en-US" w:eastAsia="zh-CN"/>
                    </w:rPr>
                  </w:pPr>
                  <w:r>
                    <w:rPr>
                      <w:rFonts w:ascii="Times New Roman" w:hAnsi="Times New Roman"/>
                      <w:b/>
                      <w:bCs/>
                      <w:color w:val="auto"/>
                      <w:lang w:val="en-US" w:eastAsia="zh-CN"/>
                    </w:rPr>
                    <w:t>相关内容</w:t>
                  </w:r>
                </w:p>
              </w:tc>
              <w:tc>
                <w:tcPr>
                  <w:tcW w:w="1325" w:type="pct"/>
                  <w:tcBorders>
                    <w:tl2br w:val="nil"/>
                    <w:tr2bl w:val="nil"/>
                  </w:tcBorders>
                  <w:noWrap w:val="0"/>
                  <w:vAlign w:val="center"/>
                </w:tcPr>
                <w:p w14:paraId="54C3B86C">
                  <w:pPr>
                    <w:pStyle w:val="28"/>
                    <w:bidi w:val="0"/>
                    <w:rPr>
                      <w:rFonts w:hint="eastAsia" w:ascii="Times New Roman" w:hAnsi="Times New Roman"/>
                      <w:b/>
                      <w:bCs/>
                      <w:color w:val="auto"/>
                      <w:lang w:val="en-US" w:eastAsia="zh-CN"/>
                    </w:rPr>
                  </w:pPr>
                  <w:r>
                    <w:rPr>
                      <w:rFonts w:hint="eastAsia" w:ascii="Times New Roman" w:hAnsi="Times New Roman"/>
                      <w:b/>
                      <w:bCs/>
                      <w:color w:val="auto"/>
                      <w:lang w:val="en-US" w:eastAsia="zh-CN"/>
                    </w:rPr>
                    <w:t>本项目内容</w:t>
                  </w:r>
                </w:p>
              </w:tc>
              <w:tc>
                <w:tcPr>
                  <w:tcW w:w="637" w:type="pct"/>
                  <w:tcBorders>
                    <w:tl2br w:val="nil"/>
                    <w:tr2bl w:val="nil"/>
                  </w:tcBorders>
                  <w:noWrap w:val="0"/>
                  <w:vAlign w:val="center"/>
                </w:tcPr>
                <w:p w14:paraId="4D6A8F88">
                  <w:pPr>
                    <w:pStyle w:val="28"/>
                    <w:bidi w:val="0"/>
                    <w:rPr>
                      <w:rFonts w:hint="eastAsia" w:ascii="Times New Roman" w:hAnsi="Times New Roman"/>
                      <w:b/>
                      <w:bCs/>
                      <w:color w:val="auto"/>
                      <w:lang w:val="en-US" w:eastAsia="zh-CN"/>
                    </w:rPr>
                  </w:pPr>
                  <w:r>
                    <w:rPr>
                      <w:rFonts w:hint="eastAsia" w:ascii="Times New Roman" w:hAnsi="Times New Roman"/>
                      <w:b/>
                      <w:bCs/>
                      <w:color w:val="auto"/>
                      <w:lang w:val="en-US" w:eastAsia="zh-CN"/>
                    </w:rPr>
                    <w:t>符合性</w:t>
                  </w:r>
                </w:p>
              </w:tc>
            </w:tr>
            <w:tr w14:paraId="7F62C9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613" w:type="pct"/>
                  <w:tcBorders>
                    <w:tl2br w:val="nil"/>
                    <w:tr2bl w:val="nil"/>
                  </w:tcBorders>
                  <w:noWrap w:val="0"/>
                  <w:vAlign w:val="center"/>
                </w:tcPr>
                <w:p w14:paraId="19883563">
                  <w:pPr>
                    <w:pStyle w:val="28"/>
                    <w:bidi w:val="0"/>
                    <w:rPr>
                      <w:rFonts w:hint="eastAsia" w:ascii="Times New Roman" w:hAnsi="Times New Roman"/>
                      <w:color w:val="auto"/>
                      <w:lang w:val="en-US" w:eastAsia="zh-CN"/>
                    </w:rPr>
                  </w:pPr>
                  <w:r>
                    <w:rPr>
                      <w:rFonts w:hint="eastAsia" w:ascii="Times New Roman" w:hAnsi="Times New Roman"/>
                      <w:color w:val="auto"/>
                      <w:lang w:val="en-US" w:eastAsia="zh-CN"/>
                    </w:rPr>
                    <w:t>《2021年福州市提升空气质量行动计划》的通知</w:t>
                  </w:r>
                </w:p>
              </w:tc>
              <w:tc>
                <w:tcPr>
                  <w:tcW w:w="2422" w:type="pct"/>
                  <w:tcBorders>
                    <w:tl2br w:val="nil"/>
                    <w:tr2bl w:val="nil"/>
                  </w:tcBorders>
                  <w:noWrap w:val="0"/>
                  <w:vAlign w:val="center"/>
                </w:tcPr>
                <w:p w14:paraId="43512D1D">
                  <w:pPr>
                    <w:pStyle w:val="28"/>
                    <w:bidi w:val="0"/>
                    <w:rPr>
                      <w:rFonts w:ascii="Times New Roman" w:hAnsi="Times New Roman"/>
                      <w:color w:val="auto"/>
                      <w:lang w:val="en-US" w:eastAsia="zh-CN"/>
                    </w:rPr>
                  </w:pPr>
                  <w:r>
                    <w:rPr>
                      <w:rFonts w:hint="eastAsia" w:ascii="Times New Roman" w:hAnsi="Times New Roman"/>
                      <w:color w:val="auto"/>
                      <w:lang w:val="en-US" w:eastAsia="zh-CN"/>
                    </w:rPr>
                    <w:t>（2）严格涉VOCs建设项目环境影响评价审批，新、改、扩建涉VOCs排放项目，应使用低（无）VOCs涂料、粘胶剂等，实施新建项目VOCs排放区域内倍量替代。VOCs年排放量大于10吨的新建项目投运前应安装VOCs在线监控设备，并接入市生态云平台。</w:t>
                  </w:r>
                </w:p>
              </w:tc>
              <w:tc>
                <w:tcPr>
                  <w:tcW w:w="1325" w:type="pct"/>
                  <w:tcBorders>
                    <w:tl2br w:val="nil"/>
                    <w:tr2bl w:val="nil"/>
                  </w:tcBorders>
                  <w:noWrap w:val="0"/>
                  <w:vAlign w:val="center"/>
                </w:tcPr>
                <w:p w14:paraId="445D8C19">
                  <w:pPr>
                    <w:pStyle w:val="28"/>
                    <w:bidi w:val="0"/>
                    <w:rPr>
                      <w:rFonts w:hint="eastAsia" w:ascii="Times New Roman" w:hAnsi="Times New Roman"/>
                      <w:color w:val="auto"/>
                      <w:lang w:val="en-US" w:eastAsia="zh-CN"/>
                    </w:rPr>
                  </w:pPr>
                  <w:r>
                    <w:rPr>
                      <w:rFonts w:hint="eastAsia" w:ascii="Times New Roman" w:hAnsi="Times New Roman"/>
                      <w:color w:val="auto"/>
                      <w:lang w:val="en-US" w:eastAsia="zh-CN"/>
                    </w:rPr>
                    <w:t>VOCs年排放量小于10吨，无需安装VOCs在线监控设备。</w:t>
                  </w:r>
                </w:p>
              </w:tc>
              <w:tc>
                <w:tcPr>
                  <w:tcW w:w="637" w:type="pct"/>
                  <w:tcBorders>
                    <w:tl2br w:val="nil"/>
                    <w:tr2bl w:val="nil"/>
                  </w:tcBorders>
                  <w:noWrap w:val="0"/>
                  <w:vAlign w:val="center"/>
                </w:tcPr>
                <w:p w14:paraId="2C942E6C">
                  <w:pPr>
                    <w:pStyle w:val="28"/>
                    <w:bidi w:val="0"/>
                    <w:rPr>
                      <w:rFonts w:hint="eastAsia" w:ascii="Times New Roman" w:hAnsi="Times New Roman"/>
                      <w:color w:val="auto"/>
                      <w:lang w:val="en-US" w:eastAsia="zh-CN"/>
                    </w:rPr>
                  </w:pPr>
                  <w:r>
                    <w:rPr>
                      <w:rFonts w:hint="eastAsia" w:ascii="Times New Roman" w:hAnsi="Times New Roman"/>
                      <w:color w:val="auto"/>
                      <w:lang w:val="en-US" w:eastAsia="zh-CN"/>
                    </w:rPr>
                    <w:t>符合</w:t>
                  </w:r>
                </w:p>
              </w:tc>
            </w:tr>
          </w:tbl>
          <w:p w14:paraId="2C887717">
            <w:pPr>
              <w:pStyle w:val="25"/>
              <w:bidi w:val="0"/>
              <w:rPr>
                <w:rFonts w:hint="default" w:ascii="Times New Roman" w:hAnsi="Times New Roman"/>
                <w:color w:val="auto"/>
                <w:lang w:val="en-US" w:eastAsia="zh-CN"/>
              </w:rPr>
            </w:pPr>
            <w:r>
              <w:rPr>
                <w:rFonts w:hint="eastAsia" w:ascii="Times New Roman" w:hAnsi="Times New Roman"/>
                <w:color w:val="auto"/>
                <w:lang w:val="en-US" w:eastAsia="zh-CN"/>
              </w:rPr>
              <w:t>综上所述，本项目通过有效的污染防治措施后，挥发性有机物能够得到合理的控制，符合挥发性有机物污染防治的相关</w:t>
            </w:r>
            <w:r>
              <w:rPr>
                <w:rFonts w:hint="eastAsia"/>
                <w:color w:val="auto"/>
                <w:lang w:val="en-US" w:eastAsia="zh-CN"/>
              </w:rPr>
              <w:t>政策</w:t>
            </w:r>
            <w:r>
              <w:rPr>
                <w:rFonts w:hint="eastAsia" w:ascii="Times New Roman" w:hAnsi="Times New Roman"/>
                <w:color w:val="auto"/>
                <w:lang w:val="en-US" w:eastAsia="zh-CN"/>
              </w:rPr>
              <w:t>要求。</w:t>
            </w:r>
          </w:p>
        </w:tc>
      </w:tr>
    </w:tbl>
    <w:p w14:paraId="60A4F74D">
      <w:pPr>
        <w:spacing w:line="360" w:lineRule="auto"/>
        <w:outlineLvl w:val="0"/>
        <w:rPr>
          <w:rFonts w:eastAsia="黑体"/>
          <w:color w:val="auto"/>
          <w:sz w:val="30"/>
        </w:rPr>
        <w:sectPr>
          <w:footerReference r:id="rId7"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5DD2F76E">
      <w:pPr>
        <w:pStyle w:val="5"/>
        <w:bidi w:val="0"/>
        <w:rPr>
          <w:rFonts w:ascii="黑体" w:hAnsi="黑体" w:eastAsia="黑体"/>
          <w:snapToGrid w:val="0"/>
          <w:color w:val="auto"/>
          <w:szCs w:val="30"/>
        </w:rPr>
      </w:pPr>
      <w:r>
        <w:rPr>
          <w:rFonts w:hint="eastAsia"/>
          <w:color w:val="auto"/>
        </w:rPr>
        <w:t>二、建设项目工程分析</w:t>
      </w: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8639"/>
      </w:tblGrid>
      <w:tr w14:paraId="13B5D9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823" w:type="dxa"/>
            <w:noWrap w:val="0"/>
            <w:vAlign w:val="center"/>
          </w:tcPr>
          <w:p w14:paraId="7E979266">
            <w:pPr>
              <w:adjustRightInd w:val="0"/>
              <w:snapToGrid w:val="0"/>
              <w:spacing w:before="0" w:beforeAutospacing="0" w:after="0" w:afterAutospacing="0"/>
              <w:jc w:val="center"/>
              <w:rPr>
                <w:rFonts w:cs="宋体"/>
                <w:color w:val="auto"/>
                <w:sz w:val="21"/>
                <w:szCs w:val="21"/>
              </w:rPr>
            </w:pPr>
            <w:r>
              <w:rPr>
                <w:rFonts w:hint="eastAsia" w:cs="宋体"/>
                <w:color w:val="auto"/>
                <w:sz w:val="21"/>
                <w:szCs w:val="21"/>
              </w:rPr>
              <w:t>建设内容</w:t>
            </w:r>
          </w:p>
        </w:tc>
        <w:tc>
          <w:tcPr>
            <w:tcW w:w="8161" w:type="dxa"/>
            <w:noWrap w:val="0"/>
            <w:vAlign w:val="top"/>
          </w:tcPr>
          <w:p w14:paraId="10502BC1">
            <w:pPr>
              <w:pStyle w:val="3"/>
              <w:bidi w:val="0"/>
              <w:rPr>
                <w:rFonts w:hint="eastAsia" w:ascii="Times New Roman" w:hAnsi="Times New Roman" w:eastAsia="宋体" w:cs="Times New Roman"/>
                <w:color w:val="auto"/>
                <w:lang w:val="en-US" w:eastAsia="zh-CN"/>
              </w:rPr>
            </w:pPr>
            <w:bookmarkStart w:id="20" w:name="_Toc25723"/>
            <w:r>
              <w:rPr>
                <w:rFonts w:hint="eastAsia" w:ascii="Times New Roman" w:hAnsi="Times New Roman" w:eastAsia="宋体" w:cs="Times New Roman"/>
                <w:color w:val="auto"/>
                <w:lang w:val="en-US" w:eastAsia="zh-CN"/>
              </w:rPr>
              <w:t>2.1项目基本情况</w:t>
            </w:r>
            <w:bookmarkEnd w:id="20"/>
          </w:p>
          <w:p w14:paraId="35F3378B">
            <w:pPr>
              <w:pStyle w:val="4"/>
              <w:bidi w:val="0"/>
              <w:rPr>
                <w:rFonts w:hint="eastAsia"/>
                <w:color w:val="auto"/>
                <w:lang w:val="en-US" w:eastAsia="zh-CN"/>
              </w:rPr>
            </w:pPr>
            <w:bookmarkStart w:id="21" w:name="_Toc22655"/>
            <w:r>
              <w:rPr>
                <w:rFonts w:hint="eastAsia"/>
                <w:color w:val="auto"/>
                <w:lang w:val="en-US" w:eastAsia="zh-CN"/>
              </w:rPr>
              <w:t>2.1.1项目由来</w:t>
            </w:r>
            <w:bookmarkEnd w:id="21"/>
          </w:p>
          <w:p w14:paraId="1EA17A99">
            <w:pPr>
              <w:pStyle w:val="25"/>
              <w:bidi w:val="0"/>
              <w:rPr>
                <w:rFonts w:hint="default" w:ascii="Times New Roman" w:hAnsi="Times New Roman" w:eastAsia="宋体" w:cs="Times New Roman"/>
                <w:color w:val="auto"/>
              </w:rPr>
            </w:pPr>
            <w:r>
              <w:rPr>
                <w:rFonts w:hint="eastAsia"/>
                <w:color w:val="auto"/>
                <w:lang w:val="en-US" w:eastAsia="zh-CN"/>
              </w:rPr>
              <w:t>福州晶至光电科技有限公司</w:t>
            </w:r>
            <w:r>
              <w:rPr>
                <w:rFonts w:hint="eastAsia"/>
                <w:color w:val="auto"/>
              </w:rPr>
              <w:t>成立</w:t>
            </w:r>
            <w:r>
              <w:rPr>
                <w:rFonts w:hint="eastAsia" w:ascii="Times New Roman" w:hAnsi="Times New Roman" w:eastAsia="宋体" w:cs="宋体"/>
                <w:color w:val="auto"/>
                <w:lang w:val="en-US" w:eastAsia="zh-CN"/>
              </w:rPr>
              <w:t>于2023年12月21日，</w:t>
            </w:r>
            <w:r>
              <w:rPr>
                <w:rFonts w:hint="default" w:ascii="Times New Roman" w:hAnsi="Times New Roman" w:eastAsia="宋体" w:cs="宋体"/>
                <w:color w:val="auto"/>
                <w:lang w:val="en-US" w:eastAsia="zh-CN"/>
              </w:rPr>
              <w:t>是</w:t>
            </w:r>
            <w:r>
              <w:rPr>
                <w:rFonts w:hint="eastAsia" w:ascii="Times New Roman" w:hAnsi="Times New Roman" w:eastAsia="宋体" w:cs="宋体"/>
                <w:color w:val="auto"/>
                <w:lang w:val="en-US" w:eastAsia="zh-CN"/>
              </w:rPr>
              <w:t>一家专注高端激光晶体、非线性光学晶体、磁光晶体研发、生长、精密加工，主打半导体光刻、高功率激光国产化替代材料的公司</w:t>
            </w:r>
            <w:r>
              <w:rPr>
                <w:rFonts w:hint="default" w:ascii="Times New Roman" w:hAnsi="Times New Roman" w:eastAsia="宋体" w:cs="宋体"/>
                <w:color w:val="auto"/>
                <w:lang w:val="en-US" w:eastAsia="zh-CN"/>
              </w:rPr>
              <w:t>，主要产品有：</w:t>
            </w:r>
            <w:r>
              <w:rPr>
                <w:rFonts w:hint="eastAsia" w:ascii="Times New Roman" w:hAnsi="Times New Roman" w:eastAsia="宋体" w:cs="宋体"/>
                <w:color w:val="auto"/>
                <w:lang w:val="en-US" w:eastAsia="zh-CN"/>
              </w:rPr>
              <w:t>非线性</w:t>
            </w:r>
            <w:r>
              <w:rPr>
                <w:rFonts w:hint="default" w:ascii="Times New Roman" w:hAnsi="Times New Roman" w:eastAsia="宋体" w:cs="宋体"/>
                <w:color w:val="auto"/>
                <w:lang w:val="en-US" w:eastAsia="zh-CN"/>
              </w:rPr>
              <w:t>晶体、</w:t>
            </w:r>
            <w:r>
              <w:rPr>
                <w:rFonts w:hint="eastAsia" w:ascii="Times New Roman" w:hAnsi="Times New Roman" w:eastAsia="宋体" w:cs="宋体"/>
                <w:color w:val="auto"/>
                <w:lang w:val="en-US" w:eastAsia="zh-CN"/>
              </w:rPr>
              <w:t>磁光晶体、激光晶体、</w:t>
            </w:r>
            <w:r>
              <w:rPr>
                <w:rFonts w:hint="eastAsia" w:ascii="Times New Roman" w:hAnsi="Times New Roman" w:eastAsia="宋体"/>
                <w:color w:val="auto"/>
                <w:szCs w:val="24"/>
              </w:rPr>
              <w:t>高功率器件</w:t>
            </w:r>
            <w:r>
              <w:rPr>
                <w:rFonts w:hint="default" w:ascii="Times New Roman" w:hAnsi="Times New Roman" w:eastAsia="宋体" w:cs="Times New Roman"/>
                <w:color w:val="auto"/>
              </w:rPr>
              <w:t>。</w:t>
            </w:r>
          </w:p>
          <w:p w14:paraId="5465DD5E">
            <w:pPr>
              <w:widowControl w:val="0"/>
              <w:bidi w:val="0"/>
              <w:spacing w:line="360" w:lineRule="auto"/>
              <w:ind w:firstLine="480" w:firstLineChars="200"/>
              <w:jc w:val="both"/>
              <w:rPr>
                <w:rFonts w:hint="default" w:ascii="宋体" w:hAnsi="宋体" w:eastAsia="宋体" w:cs="宋体"/>
                <w:color w:val="auto"/>
                <w:kern w:val="0"/>
                <w:sz w:val="24"/>
                <w:szCs w:val="24"/>
                <w:lang w:val="en-US" w:eastAsia="zh-CN" w:bidi="ar"/>
              </w:rPr>
            </w:pPr>
            <w:r>
              <w:rPr>
                <w:rFonts w:hint="eastAsia" w:ascii="Times New Roman" w:hAnsi="Times New Roman" w:eastAsia="宋体" w:cs="宋体"/>
                <w:color w:val="auto"/>
                <w:kern w:val="2"/>
                <w:sz w:val="24"/>
                <w:szCs w:val="24"/>
                <w:lang w:val="en-US" w:eastAsia="zh-CN" w:bidi="ar-SA"/>
              </w:rPr>
              <w:t>福州晶至光电科技有限公司拟</w:t>
            </w:r>
            <w:r>
              <w:rPr>
                <w:rFonts w:hint="default" w:ascii="Times New Roman" w:hAnsi="Times New Roman" w:eastAsia="宋体" w:cs="宋体"/>
                <w:color w:val="auto"/>
                <w:kern w:val="2"/>
                <w:sz w:val="24"/>
                <w:szCs w:val="24"/>
                <w:lang w:val="en-US" w:eastAsia="zh-CN" w:bidi="ar-SA"/>
              </w:rPr>
              <w:t>选址于</w:t>
            </w:r>
            <w:r>
              <w:rPr>
                <w:rFonts w:hint="eastAsia" w:ascii="Times New Roman" w:hAnsi="Times New Roman" w:eastAsia="宋体" w:cs="宋体"/>
                <w:color w:val="auto"/>
                <w:kern w:val="2"/>
                <w:sz w:val="24"/>
                <w:szCs w:val="24"/>
                <w:lang w:val="en-US" w:eastAsia="zh-CN" w:bidi="ar-SA"/>
              </w:rPr>
              <w:t>福建省闽侯县南屿镇窗厦村新南大道176号第三代半导体数字产业园</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二期</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4号楼5层、6层、7层；</w:t>
            </w:r>
            <w:r>
              <w:rPr>
                <w:rFonts w:hint="eastAsia" w:ascii="宋体" w:hAnsi="宋体" w:cs="宋体"/>
                <w:b w:val="0"/>
                <w:bCs w:val="0"/>
                <w:color w:val="auto"/>
                <w:kern w:val="0"/>
                <w:sz w:val="24"/>
                <w:szCs w:val="24"/>
                <w:shd w:val="clear" w:color="auto" w:fill="auto"/>
                <w:lang w:val="en-US" w:eastAsia="zh-CN" w:bidi="ar"/>
              </w:rPr>
              <w:t>该</w:t>
            </w:r>
            <w:r>
              <w:rPr>
                <w:rFonts w:ascii="宋体" w:hAnsi="宋体" w:eastAsia="宋体" w:cs="宋体"/>
                <w:b w:val="0"/>
                <w:bCs w:val="0"/>
                <w:color w:val="auto"/>
                <w:kern w:val="0"/>
                <w:sz w:val="24"/>
                <w:szCs w:val="24"/>
                <w:shd w:val="clear" w:color="auto" w:fill="auto"/>
                <w:lang w:val="en-US" w:eastAsia="zh-CN" w:bidi="ar"/>
              </w:rPr>
              <w:t>园区产业定位与公司光学元器件、</w:t>
            </w:r>
            <w:r>
              <w:rPr>
                <w:rFonts w:hint="eastAsia" w:ascii="宋体" w:hAnsi="宋体" w:eastAsia="宋体" w:cs="宋体"/>
                <w:b w:val="0"/>
                <w:bCs w:val="0"/>
                <w:color w:val="auto"/>
                <w:kern w:val="0"/>
                <w:sz w:val="24"/>
                <w:szCs w:val="24"/>
                <w:shd w:val="clear" w:color="auto" w:fill="auto"/>
                <w:lang w:val="en-US" w:eastAsia="zh-CN" w:bidi="ar"/>
              </w:rPr>
              <w:t>光学元器件</w:t>
            </w:r>
            <w:r>
              <w:rPr>
                <w:rFonts w:ascii="宋体" w:hAnsi="宋体" w:eastAsia="宋体" w:cs="宋体"/>
                <w:b w:val="0"/>
                <w:bCs w:val="0"/>
                <w:color w:val="auto"/>
                <w:kern w:val="0"/>
                <w:sz w:val="24"/>
                <w:szCs w:val="24"/>
                <w:shd w:val="clear" w:color="auto" w:fill="auto"/>
                <w:lang w:val="en-US" w:eastAsia="zh-CN" w:bidi="ar"/>
              </w:rPr>
              <w:t>生产业务高度契合，配套设施完善、产</w:t>
            </w:r>
            <w:r>
              <w:rPr>
                <w:rFonts w:ascii="宋体" w:hAnsi="宋体" w:eastAsia="宋体" w:cs="宋体"/>
                <w:color w:val="auto"/>
                <w:kern w:val="0"/>
                <w:sz w:val="24"/>
                <w:szCs w:val="24"/>
                <w:lang w:val="en-US" w:eastAsia="zh-CN" w:bidi="ar"/>
              </w:rPr>
              <w:t>业氛围浓厚，可充分满足企业大规模扩产、设备升级、规范化生产及环保合规管理的各项需求</w:t>
            </w:r>
            <w:r>
              <w:rPr>
                <w:rFonts w:hint="eastAsia" w:ascii="宋体" w:hAnsi="宋体" w:cs="宋体"/>
                <w:color w:val="auto"/>
                <w:kern w:val="0"/>
                <w:sz w:val="24"/>
                <w:szCs w:val="24"/>
                <w:lang w:val="en-US" w:eastAsia="zh-CN" w:bidi="ar"/>
              </w:rPr>
              <w:t>，为新建项目。</w:t>
            </w:r>
          </w:p>
          <w:p w14:paraId="652CFE21">
            <w:pPr>
              <w:pStyle w:val="25"/>
              <w:bidi w:val="0"/>
              <w:rPr>
                <w:rFonts w:hint="eastAsia"/>
                <w:color w:val="auto"/>
                <w:lang w:val="en-US" w:eastAsia="zh-CN"/>
              </w:rPr>
            </w:pPr>
            <w:r>
              <w:rPr>
                <w:rFonts w:hint="eastAsia"/>
                <w:color w:val="auto"/>
                <w:lang w:val="en-US" w:eastAsia="zh-CN"/>
              </w:rPr>
              <w:t>根据《中华人民共和国环境保护法》《中华人民共和国环境影响评价法》《建设项目环境保护管理条例》，本项目需进行环境影响评价工作，再对照</w:t>
            </w:r>
            <w:r>
              <w:rPr>
                <w:rFonts w:hint="default"/>
                <w:color w:val="auto"/>
              </w:rPr>
              <w:t>《建设项目环境影响评价分类管理名录》（</w:t>
            </w:r>
            <w:r>
              <w:rPr>
                <w:rFonts w:hint="default"/>
                <w:color w:val="auto"/>
                <w:lang w:val="en-US" w:eastAsia="zh-CN"/>
              </w:rPr>
              <w:t>2021年1月1日起实施</w:t>
            </w:r>
            <w:r>
              <w:rPr>
                <w:rFonts w:hint="default"/>
                <w:color w:val="auto"/>
              </w:rPr>
              <w:t>）中</w:t>
            </w:r>
            <w:r>
              <w:rPr>
                <w:rFonts w:hint="eastAsia"/>
                <w:color w:val="auto"/>
                <w:lang w:eastAsia="zh-CN"/>
              </w:rPr>
              <w:t>“三十六、计算机、通信和其他电子设备制造业39，81、电子元件及电子专用材料制造 398——印刷电路板制造；电子专用材料制造（电子化工材料制造除外）；使用有机溶剂的；有酸洗的；以上均不含仅分割、焊接、组装的</w:t>
            </w:r>
            <w:r>
              <w:rPr>
                <w:rFonts w:hint="eastAsia"/>
                <w:color w:val="auto"/>
              </w:rPr>
              <w:t>为报告表</w:t>
            </w:r>
            <w:r>
              <w:rPr>
                <w:rFonts w:hint="eastAsia"/>
                <w:color w:val="auto"/>
                <w:lang w:eastAsia="zh-CN"/>
              </w:rPr>
              <w:t>”</w:t>
            </w:r>
            <w:r>
              <w:rPr>
                <w:rFonts w:hint="default"/>
                <w:color w:val="auto"/>
              </w:rPr>
              <w:t>的相关规定，</w:t>
            </w:r>
            <w:r>
              <w:rPr>
                <w:rFonts w:hint="eastAsia"/>
                <w:color w:val="auto"/>
                <w:lang w:val="en-US" w:eastAsia="zh-CN"/>
              </w:rPr>
              <w:t>本项目工艺流程包括原料-晶体生长-铣磨-倒边-研磨-抛光-清洗-检测-组装工序，使用原辅材料包括乙醚、乙醇、丙酮等，因此本项目应当编制环境影响报告表（详见表2.1-1）。</w:t>
            </w:r>
            <w:r>
              <w:rPr>
                <w:rFonts w:hint="default"/>
                <w:color w:val="auto"/>
              </w:rPr>
              <w:t>该项目需编制环境影响报告表供环保部门审批。</w:t>
            </w:r>
            <w:r>
              <w:rPr>
                <w:rFonts w:hint="eastAsia"/>
                <w:color w:val="auto"/>
                <w:lang w:val="en-US" w:eastAsia="zh-CN"/>
              </w:rPr>
              <w:t>为此福州晶至光电科技有限公司委托我公司承担该项目环境影响报告表的编制工作（委托书详见附件一）。我公司技术人员经过现场勘察和工程分析，依据《环境影响评价技术导则》的要求，编制了《福州晶至光电科技有限公司高功率激光与光互联材料和器件量产项目环境影响报告表》对项目产生的污染和对环境的影响进行分析，从环境保护角度评估项目建设的可行性。</w:t>
            </w:r>
          </w:p>
          <w:p w14:paraId="25CE30EA">
            <w:pPr>
              <w:pStyle w:val="24"/>
              <w:bidi w:val="0"/>
              <w:rPr>
                <w:rFonts w:hint="default"/>
                <w:color w:val="auto"/>
                <w:lang w:val="en-US" w:eastAsia="zh-CN"/>
              </w:rPr>
            </w:pPr>
            <w:r>
              <w:rPr>
                <w:rFonts w:hint="eastAsia"/>
                <w:color w:val="auto"/>
                <w:lang w:val="en-US" w:eastAsia="zh-CN"/>
              </w:rPr>
              <w:t xml:space="preserve">表2.1-1  </w:t>
            </w:r>
            <w:r>
              <w:rPr>
                <w:rFonts w:hint="default"/>
                <w:color w:val="auto"/>
                <w:lang w:val="en-US" w:eastAsia="zh-CN"/>
              </w:rPr>
              <w:t>建设项目环境影响评价分类管理名录</w:t>
            </w:r>
            <w:r>
              <w:rPr>
                <w:rFonts w:hint="eastAsia"/>
                <w:color w:val="auto"/>
                <w:lang w:val="en-US" w:eastAsia="zh-CN"/>
              </w:rPr>
              <w:t>（</w:t>
            </w:r>
            <w:r>
              <w:rPr>
                <w:rFonts w:hint="default"/>
                <w:color w:val="auto"/>
                <w:lang w:val="en-US" w:eastAsia="zh-CN"/>
              </w:rPr>
              <w:t>摘录</w:t>
            </w:r>
            <w:r>
              <w:rPr>
                <w:rFonts w:hint="eastAsia"/>
                <w:color w:val="auto"/>
                <w:lang w:val="en-US" w:eastAsia="zh-CN"/>
              </w:rPr>
              <w:t>）</w:t>
            </w:r>
          </w:p>
          <w:tbl>
            <w:tblPr>
              <w:tblStyle w:val="17"/>
              <w:tblW w:w="809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43"/>
              <w:gridCol w:w="1953"/>
              <w:gridCol w:w="1455"/>
              <w:gridCol w:w="3329"/>
              <w:gridCol w:w="918"/>
            </w:tblGrid>
            <w:tr w14:paraId="24A94E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2396" w:type="dxa"/>
                  <w:gridSpan w:val="2"/>
                  <w:tcBorders>
                    <w:tl2br w:val="nil"/>
                    <w:tr2bl w:val="nil"/>
                  </w:tcBorders>
                  <w:shd w:val="clear" w:color="auto" w:fill="auto"/>
                  <w:noWrap w:val="0"/>
                  <w:vAlign w:val="center"/>
                </w:tcPr>
                <w:p w14:paraId="73FCC9F3">
                  <w:pPr>
                    <w:widowControl w:val="0"/>
                    <w:bidi w:val="0"/>
                    <w:adjustRightInd w:val="0"/>
                    <w:snapToGrid w:val="0"/>
                    <w:spacing w:before="10" w:beforeLines="10" w:after="10" w:afterLines="10" w:line="240" w:lineRule="auto"/>
                    <w:jc w:val="right"/>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 xml:space="preserve">            环评类别</w:t>
                  </w:r>
                </w:p>
                <w:p w14:paraId="4EEE7152">
                  <w:pPr>
                    <w:widowControl w:val="0"/>
                    <w:bidi w:val="0"/>
                    <w:adjustRightInd w:val="0"/>
                    <w:snapToGrid w:val="0"/>
                    <w:spacing w:before="10" w:beforeLines="10" w:after="10" w:afterLines="10" w:line="240" w:lineRule="auto"/>
                    <w:jc w:val="left"/>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项目类别</w:t>
                  </w:r>
                </w:p>
              </w:tc>
              <w:tc>
                <w:tcPr>
                  <w:tcW w:w="1455" w:type="dxa"/>
                  <w:tcBorders>
                    <w:tl2br w:val="nil"/>
                    <w:tr2bl w:val="nil"/>
                  </w:tcBorders>
                  <w:shd w:val="clear" w:color="auto" w:fill="auto"/>
                  <w:noWrap w:val="0"/>
                  <w:vAlign w:val="center"/>
                </w:tcPr>
                <w:p w14:paraId="0460BFD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报告书</w:t>
                  </w:r>
                </w:p>
              </w:tc>
              <w:tc>
                <w:tcPr>
                  <w:tcW w:w="3329" w:type="dxa"/>
                  <w:tcBorders>
                    <w:tl2br w:val="nil"/>
                    <w:tr2bl w:val="nil"/>
                  </w:tcBorders>
                  <w:shd w:val="clear" w:color="auto" w:fill="A4A4A4"/>
                  <w:noWrap w:val="0"/>
                  <w:vAlign w:val="center"/>
                </w:tcPr>
                <w:p w14:paraId="7C28E56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报告表</w:t>
                  </w:r>
                </w:p>
              </w:tc>
              <w:tc>
                <w:tcPr>
                  <w:tcW w:w="918" w:type="dxa"/>
                  <w:tcBorders>
                    <w:tl2br w:val="nil"/>
                    <w:tr2bl w:val="nil"/>
                  </w:tcBorders>
                  <w:noWrap w:val="0"/>
                  <w:vAlign w:val="center"/>
                </w:tcPr>
                <w:p w14:paraId="5F465F7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登记表</w:t>
                  </w:r>
                </w:p>
              </w:tc>
            </w:tr>
            <w:tr w14:paraId="1436CA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98" w:type="dxa"/>
                  <w:gridSpan w:val="5"/>
                  <w:tcBorders>
                    <w:tl2br w:val="nil"/>
                    <w:tr2bl w:val="nil"/>
                  </w:tcBorders>
                  <w:shd w:val="clear" w:color="auto" w:fill="A4A4A4"/>
                  <w:noWrap w:val="0"/>
                  <w:vAlign w:val="center"/>
                </w:tcPr>
                <w:p w14:paraId="3895B7D9">
                  <w:pPr>
                    <w:widowControl w:val="0"/>
                    <w:bidi w:val="0"/>
                    <w:adjustRightInd w:val="0"/>
                    <w:snapToGrid w:val="0"/>
                    <w:spacing w:before="10" w:beforeLines="10" w:after="10" w:afterLines="10" w:line="240" w:lineRule="auto"/>
                    <w:jc w:val="left"/>
                    <w:rPr>
                      <w:rFonts w:hint="default" w:ascii="Times New Roman" w:hAnsi="Times New Roman" w:eastAsia="宋体" w:cs="Times New Roman"/>
                      <w:color w:val="auto"/>
                      <w:kern w:val="0"/>
                      <w:sz w:val="21"/>
                      <w:szCs w:val="21"/>
                      <w:lang w:val="en-US" w:eastAsia="zh-CN" w:bidi="ar-SA"/>
                    </w:rPr>
                  </w:pPr>
                  <w:r>
                    <w:rPr>
                      <w:rFonts w:hint="eastAsia"/>
                      <w:color w:val="auto"/>
                      <w:sz w:val="21"/>
                      <w:szCs w:val="21"/>
                      <w:lang w:eastAsia="zh-CN"/>
                    </w:rPr>
                    <w:t>三十六、计算机、通信和其他电子设备制造业39</w:t>
                  </w:r>
                </w:p>
              </w:tc>
            </w:tr>
            <w:tr w14:paraId="6B2D82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3" w:type="dxa"/>
                  <w:tcBorders>
                    <w:tl2br w:val="nil"/>
                    <w:tr2bl w:val="nil"/>
                  </w:tcBorders>
                  <w:shd w:val="clear" w:color="auto" w:fill="auto"/>
                  <w:noWrap w:val="0"/>
                  <w:vAlign w:val="center"/>
                </w:tcPr>
                <w:p w14:paraId="66090AA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81</w:t>
                  </w:r>
                </w:p>
              </w:tc>
              <w:tc>
                <w:tcPr>
                  <w:tcW w:w="1953" w:type="dxa"/>
                  <w:tcBorders>
                    <w:tl2br w:val="nil"/>
                    <w:tr2bl w:val="nil"/>
                  </w:tcBorders>
                  <w:shd w:val="clear" w:color="auto" w:fill="auto"/>
                  <w:noWrap w:val="0"/>
                  <w:vAlign w:val="center"/>
                </w:tcPr>
                <w:p w14:paraId="7EDFA88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color w:val="auto"/>
                      <w:sz w:val="21"/>
                      <w:szCs w:val="21"/>
                      <w:lang w:eastAsia="zh-CN"/>
                    </w:rPr>
                    <w:t>电子元件及电子专用材料制造 398</w:t>
                  </w:r>
                </w:p>
              </w:tc>
              <w:tc>
                <w:tcPr>
                  <w:tcW w:w="1455" w:type="dxa"/>
                  <w:tcBorders>
                    <w:tl2br w:val="nil"/>
                    <w:tr2bl w:val="nil"/>
                  </w:tcBorders>
                  <w:shd w:val="clear" w:color="auto" w:fill="auto"/>
                  <w:noWrap w:val="0"/>
                  <w:vAlign w:val="center"/>
                </w:tcPr>
                <w:p w14:paraId="0C7AEE61">
                  <w:pPr>
                    <w:keepNext w:val="0"/>
                    <w:keepLines w:val="0"/>
                    <w:widowControl/>
                    <w:suppressLineNumbers w:val="0"/>
                    <w:jc w:val="center"/>
                    <w:rPr>
                      <w:rFonts w:hint="default" w:ascii="Times New Roman" w:hAnsi="Times New Roman" w:eastAsia="宋体" w:cs="Times New Roman"/>
                      <w:color w:val="auto"/>
                      <w:kern w:val="0"/>
                      <w:sz w:val="21"/>
                      <w:szCs w:val="21"/>
                      <w:lang w:val="en-US" w:eastAsia="zh-CN" w:bidi="ar-SA"/>
                    </w:rPr>
                  </w:pPr>
                  <w:r>
                    <w:rPr>
                      <w:rFonts w:hint="eastAsia" w:ascii="宋体" w:hAnsi="宋体" w:eastAsia="宋体" w:cs="宋体"/>
                      <w:color w:val="auto"/>
                      <w:kern w:val="0"/>
                      <w:sz w:val="21"/>
                      <w:szCs w:val="21"/>
                      <w:lang w:val="en-US" w:eastAsia="zh-CN" w:bidi="ar"/>
                    </w:rPr>
                    <w:t>半导体材料制造；电子化工材料制造</w:t>
                  </w:r>
                </w:p>
              </w:tc>
              <w:tc>
                <w:tcPr>
                  <w:tcW w:w="3329" w:type="dxa"/>
                  <w:tcBorders>
                    <w:tl2br w:val="nil"/>
                    <w:tr2bl w:val="nil"/>
                  </w:tcBorders>
                  <w:shd w:val="clear" w:color="auto" w:fill="A4A4A4"/>
                  <w:noWrap w:val="0"/>
                  <w:vAlign w:val="center"/>
                </w:tcPr>
                <w:p w14:paraId="3E9BF5A5">
                  <w:pPr>
                    <w:keepNext w:val="0"/>
                    <w:keepLines w:val="0"/>
                    <w:widowControl/>
                    <w:suppressLineNumbers w:val="0"/>
                    <w:jc w:val="center"/>
                    <w:rPr>
                      <w:color w:val="auto"/>
                      <w:sz w:val="21"/>
                      <w:szCs w:val="21"/>
                    </w:rPr>
                  </w:pPr>
                  <w:r>
                    <w:rPr>
                      <w:rFonts w:hint="eastAsia" w:ascii="宋体" w:hAnsi="宋体" w:eastAsia="宋体" w:cs="宋体"/>
                      <w:color w:val="auto"/>
                      <w:kern w:val="0"/>
                      <w:sz w:val="21"/>
                      <w:szCs w:val="21"/>
                      <w:lang w:val="en-US" w:eastAsia="zh-CN" w:bidi="ar"/>
                    </w:rPr>
                    <w:t>印刷电路板制造；电子专用材</w:t>
                  </w:r>
                </w:p>
                <w:p w14:paraId="0436955D">
                  <w:pPr>
                    <w:keepNext w:val="0"/>
                    <w:keepLines w:val="0"/>
                    <w:widowControl/>
                    <w:suppressLineNumbers w:val="0"/>
                    <w:jc w:val="center"/>
                    <w:rPr>
                      <w:color w:val="auto"/>
                      <w:sz w:val="21"/>
                      <w:szCs w:val="21"/>
                    </w:rPr>
                  </w:pPr>
                  <w:r>
                    <w:rPr>
                      <w:rFonts w:hint="eastAsia" w:ascii="宋体" w:hAnsi="宋体" w:eastAsia="宋体" w:cs="宋体"/>
                      <w:color w:val="auto"/>
                      <w:kern w:val="0"/>
                      <w:sz w:val="21"/>
                      <w:szCs w:val="21"/>
                      <w:lang w:val="en-US" w:eastAsia="zh-CN" w:bidi="ar"/>
                    </w:rPr>
                    <w:t>料制造（电子化工材料制造除</w:t>
                  </w:r>
                </w:p>
                <w:p w14:paraId="05599ECC">
                  <w:pPr>
                    <w:keepNext w:val="0"/>
                    <w:keepLines w:val="0"/>
                    <w:widowControl/>
                    <w:suppressLineNumbers w:val="0"/>
                    <w:jc w:val="center"/>
                    <w:rPr>
                      <w:color w:val="auto"/>
                      <w:sz w:val="21"/>
                      <w:szCs w:val="21"/>
                    </w:rPr>
                  </w:pPr>
                  <w:r>
                    <w:rPr>
                      <w:rFonts w:hint="eastAsia" w:ascii="宋体" w:hAnsi="宋体" w:eastAsia="宋体" w:cs="宋体"/>
                      <w:color w:val="auto"/>
                      <w:kern w:val="0"/>
                      <w:sz w:val="21"/>
                      <w:szCs w:val="21"/>
                      <w:lang w:val="en-US" w:eastAsia="zh-CN" w:bidi="ar"/>
                    </w:rPr>
                    <w:t>外）；使用有机溶剂的；有酸洗</w:t>
                  </w:r>
                </w:p>
                <w:p w14:paraId="2774939E">
                  <w:pPr>
                    <w:keepNext w:val="0"/>
                    <w:keepLines w:val="0"/>
                    <w:widowControl/>
                    <w:suppressLineNumbers w:val="0"/>
                    <w:jc w:val="center"/>
                    <w:rPr>
                      <w:color w:val="auto"/>
                      <w:sz w:val="21"/>
                      <w:szCs w:val="21"/>
                    </w:rPr>
                  </w:pPr>
                  <w:r>
                    <w:rPr>
                      <w:rFonts w:hint="eastAsia" w:ascii="宋体" w:hAnsi="宋体" w:eastAsia="宋体" w:cs="宋体"/>
                      <w:color w:val="auto"/>
                      <w:kern w:val="0"/>
                      <w:sz w:val="21"/>
                      <w:szCs w:val="21"/>
                      <w:lang w:val="en-US" w:eastAsia="zh-CN" w:bidi="ar"/>
                    </w:rPr>
                    <w:t>的</w:t>
                  </w:r>
                </w:p>
                <w:p w14:paraId="5088467B">
                  <w:pPr>
                    <w:keepNext w:val="0"/>
                    <w:keepLines w:val="0"/>
                    <w:widowControl/>
                    <w:suppressLineNumbers w:val="0"/>
                    <w:jc w:val="center"/>
                    <w:rPr>
                      <w:color w:val="auto"/>
                      <w:sz w:val="21"/>
                      <w:szCs w:val="21"/>
                    </w:rPr>
                  </w:pPr>
                  <w:r>
                    <w:rPr>
                      <w:rFonts w:hint="eastAsia" w:ascii="宋体" w:hAnsi="宋体" w:eastAsia="宋体" w:cs="宋体"/>
                      <w:color w:val="auto"/>
                      <w:kern w:val="0"/>
                      <w:sz w:val="21"/>
                      <w:szCs w:val="21"/>
                      <w:lang w:val="en-US" w:eastAsia="zh-CN" w:bidi="ar"/>
                    </w:rPr>
                    <w:t>以上均不含仅分割、焊接、组</w:t>
                  </w:r>
                </w:p>
                <w:p w14:paraId="2816BBC9">
                  <w:pPr>
                    <w:keepNext w:val="0"/>
                    <w:keepLines w:val="0"/>
                    <w:widowControl/>
                    <w:suppressLineNumbers w:val="0"/>
                    <w:jc w:val="center"/>
                    <w:rPr>
                      <w:rFonts w:hint="default" w:ascii="Times New Roman" w:hAnsi="Times New Roman" w:eastAsia="宋体" w:cs="Times New Roman"/>
                      <w:color w:val="auto"/>
                      <w:kern w:val="0"/>
                      <w:sz w:val="21"/>
                      <w:szCs w:val="21"/>
                      <w:lang w:val="en-US" w:eastAsia="zh-CN" w:bidi="ar-SA"/>
                    </w:rPr>
                  </w:pPr>
                  <w:r>
                    <w:rPr>
                      <w:rFonts w:hint="eastAsia" w:ascii="宋体" w:hAnsi="宋体" w:eastAsia="宋体" w:cs="宋体"/>
                      <w:color w:val="auto"/>
                      <w:kern w:val="0"/>
                      <w:sz w:val="21"/>
                      <w:szCs w:val="21"/>
                      <w:lang w:val="en-US" w:eastAsia="zh-CN" w:bidi="ar"/>
                    </w:rPr>
                    <w:t>装的</w:t>
                  </w:r>
                </w:p>
              </w:tc>
              <w:tc>
                <w:tcPr>
                  <w:tcW w:w="918" w:type="dxa"/>
                  <w:tcBorders>
                    <w:tl2br w:val="nil"/>
                    <w:tr2bl w:val="nil"/>
                  </w:tcBorders>
                  <w:noWrap w:val="0"/>
                  <w:vAlign w:val="center"/>
                </w:tcPr>
                <w:p w14:paraId="4C99DB1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w:t>
                  </w:r>
                </w:p>
              </w:tc>
            </w:tr>
          </w:tbl>
          <w:p w14:paraId="36C46DB0">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22" w:name="_Toc12568"/>
            <w:r>
              <w:rPr>
                <w:rFonts w:hint="eastAsia" w:ascii="Times New Roman" w:hAnsi="Times New Roman" w:eastAsia="宋体" w:cs="Times New Roman"/>
                <w:b/>
                <w:color w:val="auto"/>
                <w:kern w:val="2"/>
                <w:sz w:val="24"/>
                <w:szCs w:val="24"/>
                <w:lang w:val="en-US" w:eastAsia="zh-CN" w:bidi="ar-SA"/>
              </w:rPr>
              <w:t>2.1.2本次项目基本情况</w:t>
            </w:r>
            <w:bookmarkEnd w:id="22"/>
          </w:p>
          <w:p w14:paraId="1AECC33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（1）项目名称：</w:t>
            </w:r>
            <w:r>
              <w:rPr>
                <w:rFonts w:hint="eastAsia" w:ascii="Times New Roman" w:hAnsi="Times New Roman" w:eastAsia="宋体" w:cs="宋体"/>
                <w:color w:val="auto"/>
                <w:kern w:val="2"/>
                <w:sz w:val="24"/>
                <w:szCs w:val="24"/>
                <w:lang w:val="en-US" w:eastAsia="zh-CN" w:bidi="ar-SA"/>
              </w:rPr>
              <w:t>福州晶至光电科技有限公司高功率激光与光互联材料和器件量产项目</w:t>
            </w:r>
          </w:p>
          <w:p w14:paraId="7A23269A">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（2）建设单位：</w:t>
            </w:r>
            <w:r>
              <w:rPr>
                <w:rFonts w:hint="eastAsia" w:ascii="Times New Roman" w:hAnsi="Times New Roman" w:eastAsia="宋体" w:cs="宋体"/>
                <w:color w:val="auto"/>
                <w:kern w:val="2"/>
                <w:sz w:val="24"/>
                <w:szCs w:val="24"/>
                <w:lang w:val="en-US" w:eastAsia="zh-CN" w:bidi="ar-SA"/>
              </w:rPr>
              <w:t>福州晶至光电科技有限公司</w:t>
            </w:r>
          </w:p>
          <w:p w14:paraId="22A58F84">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（3）建设地点：</w:t>
            </w:r>
            <w:r>
              <w:rPr>
                <w:rFonts w:hint="eastAsia" w:ascii="Times New Roman" w:hAnsi="Times New Roman" w:eastAsia="宋体" w:cs="宋体"/>
                <w:color w:val="auto"/>
                <w:kern w:val="2"/>
                <w:sz w:val="24"/>
                <w:szCs w:val="24"/>
                <w:lang w:val="en-US" w:eastAsia="zh-CN" w:bidi="ar-SA"/>
              </w:rPr>
              <w:t>福建省闽侯县南屿镇窗厦村新南大道176号第三代半导体数字产业园</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二期</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4号楼5层、6层、7层</w:t>
            </w:r>
          </w:p>
          <w:p w14:paraId="69BBD8EE">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（4）项目总投资：</w:t>
            </w:r>
            <w:r>
              <w:rPr>
                <w:rFonts w:hint="eastAsia" w:ascii="Times New Roman" w:hAnsi="Times New Roman" w:eastAsia="宋体" w:cs="宋体"/>
                <w:color w:val="auto"/>
                <w:kern w:val="2"/>
                <w:sz w:val="24"/>
                <w:szCs w:val="24"/>
                <w:lang w:val="en-US" w:eastAsia="zh-CN" w:bidi="ar-SA"/>
              </w:rPr>
              <w:t>2500</w:t>
            </w:r>
            <w:r>
              <w:rPr>
                <w:rFonts w:hint="default" w:ascii="Times New Roman" w:hAnsi="Times New Roman" w:eastAsia="宋体" w:cs="宋体"/>
                <w:color w:val="auto"/>
                <w:kern w:val="2"/>
                <w:sz w:val="24"/>
                <w:szCs w:val="24"/>
                <w:lang w:val="en-US" w:eastAsia="zh-CN" w:bidi="ar-SA"/>
              </w:rPr>
              <w:t>万元</w:t>
            </w:r>
          </w:p>
          <w:p w14:paraId="3DD15AFE">
            <w:pPr>
              <w:widowControl w:val="0"/>
              <w:bidi w:val="0"/>
              <w:spacing w:line="360" w:lineRule="auto"/>
              <w:ind w:firstLine="480" w:firstLineChars="200"/>
              <w:jc w:val="both"/>
              <w:rPr>
                <w:rFonts w:hint="default" w:ascii="Times New Roman" w:hAnsi="Times New Roman" w:eastAsia="宋体" w:cs="宋体"/>
                <w:color w:val="auto"/>
                <w:kern w:val="2"/>
                <w:sz w:val="24"/>
                <w:szCs w:val="24"/>
                <w:vertAlign w:val="baseline"/>
                <w:lang w:val="en-US" w:eastAsia="zh-CN" w:bidi="ar-SA"/>
              </w:rPr>
            </w:pPr>
            <w:r>
              <w:rPr>
                <w:rFonts w:hint="default" w:ascii="Times New Roman" w:hAnsi="Times New Roman" w:eastAsia="宋体" w:cs="宋体"/>
                <w:color w:val="auto"/>
                <w:kern w:val="2"/>
                <w:sz w:val="24"/>
                <w:szCs w:val="24"/>
                <w:lang w:val="en-US" w:eastAsia="zh-CN" w:bidi="ar-SA"/>
              </w:rPr>
              <w:t>（5）建设规模：</w:t>
            </w:r>
            <w:r>
              <w:rPr>
                <w:rFonts w:hint="eastAsia" w:ascii="Times New Roman" w:hAnsi="Times New Roman" w:eastAsia="宋体" w:cs="宋体"/>
                <w:color w:val="auto"/>
                <w:kern w:val="2"/>
                <w:sz w:val="24"/>
                <w:szCs w:val="24"/>
                <w:lang w:val="en-US" w:eastAsia="zh-CN" w:bidi="ar-SA"/>
              </w:rPr>
              <w:t>建筑</w:t>
            </w:r>
            <w:r>
              <w:rPr>
                <w:rFonts w:hint="default" w:ascii="Times New Roman" w:hAnsi="Times New Roman" w:eastAsia="宋体" w:cs="宋体"/>
                <w:color w:val="auto"/>
                <w:kern w:val="2"/>
                <w:sz w:val="24"/>
                <w:szCs w:val="24"/>
                <w:lang w:val="en-US" w:eastAsia="zh-CN" w:bidi="ar-SA"/>
              </w:rPr>
              <w:t>面积</w:t>
            </w:r>
            <w:r>
              <w:rPr>
                <w:rFonts w:hint="eastAsia" w:ascii="Times New Roman" w:hAnsi="Times New Roman" w:eastAsia="宋体" w:cs="宋体"/>
                <w:color w:val="auto"/>
                <w:kern w:val="2"/>
                <w:sz w:val="24"/>
                <w:szCs w:val="24"/>
                <w:lang w:val="en-US" w:eastAsia="zh-CN" w:bidi="ar-SA"/>
              </w:rPr>
              <w:t>7861.92</w:t>
            </w:r>
            <w:r>
              <w:rPr>
                <w:rFonts w:hint="default" w:ascii="Times New Roman" w:hAnsi="Times New Roman" w:eastAsia="宋体" w:cs="宋体"/>
                <w:color w:val="auto"/>
                <w:kern w:val="2"/>
                <w:sz w:val="24"/>
                <w:szCs w:val="24"/>
                <w:lang w:val="en-US" w:eastAsia="zh-CN" w:bidi="ar-SA"/>
              </w:rPr>
              <w:t>m</w:t>
            </w:r>
            <w:r>
              <w:rPr>
                <w:rFonts w:hint="default" w:ascii="Times New Roman" w:hAnsi="Times New Roman" w:eastAsia="宋体" w:cs="宋体"/>
                <w:color w:val="auto"/>
                <w:kern w:val="2"/>
                <w:sz w:val="24"/>
                <w:szCs w:val="24"/>
                <w:vertAlign w:val="superscript"/>
                <w:lang w:val="en-US" w:eastAsia="zh-CN" w:bidi="ar-SA"/>
              </w:rPr>
              <w:t>2</w:t>
            </w:r>
          </w:p>
          <w:p w14:paraId="5FE314DB">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（6）生产规模：</w:t>
            </w:r>
            <w:r>
              <w:rPr>
                <w:rFonts w:ascii="Times New Roman" w:hAnsi="Times New Roman" w:eastAsia="宋体" w:cs="宋体"/>
                <w:color w:val="auto"/>
                <w:spacing w:val="-2"/>
                <w:sz w:val="24"/>
                <w:szCs w:val="24"/>
              </w:rPr>
              <w:t>年产</w:t>
            </w:r>
            <w:r>
              <w:rPr>
                <w:rFonts w:hint="eastAsia" w:ascii="Times New Roman" w:hAnsi="Times New Roman" w:eastAsia="宋体" w:cs="宋体"/>
                <w:color w:val="auto"/>
                <w:spacing w:val="-2"/>
                <w:sz w:val="24"/>
                <w:szCs w:val="24"/>
                <w:lang w:val="en-US" w:eastAsia="zh-CN"/>
              </w:rPr>
              <w:t>51</w:t>
            </w:r>
            <w:r>
              <w:rPr>
                <w:rFonts w:ascii="Times New Roman" w:hAnsi="Times New Roman" w:eastAsia="宋体" w:cs="宋体"/>
                <w:color w:val="auto"/>
                <w:spacing w:val="-2"/>
                <w:sz w:val="24"/>
                <w:szCs w:val="24"/>
              </w:rPr>
              <w:t>万片</w:t>
            </w:r>
            <w:r>
              <w:rPr>
                <w:rFonts w:hint="eastAsia" w:ascii="Times New Roman" w:hAnsi="Times New Roman" w:eastAsia="宋体" w:cs="宋体"/>
                <w:color w:val="auto"/>
                <w:spacing w:val="-2"/>
                <w:sz w:val="24"/>
                <w:szCs w:val="24"/>
                <w:lang w:val="en-US" w:eastAsia="zh-CN"/>
              </w:rPr>
              <w:t>光学元器件</w:t>
            </w:r>
            <w:r>
              <w:rPr>
                <w:rFonts w:ascii="Times New Roman" w:hAnsi="Times New Roman" w:eastAsia="宋体" w:cs="宋体"/>
                <w:color w:val="auto"/>
                <w:spacing w:val="-2"/>
                <w:sz w:val="24"/>
                <w:szCs w:val="24"/>
              </w:rPr>
              <w:t>项目</w:t>
            </w:r>
            <w:r>
              <w:rPr>
                <w:rFonts w:hint="eastAsia" w:ascii="Times New Roman" w:hAnsi="Times New Roman" w:eastAsia="宋体" w:cs="宋体"/>
                <w:color w:val="auto"/>
                <w:spacing w:val="-2"/>
                <w:sz w:val="24"/>
                <w:szCs w:val="24"/>
                <w:lang w:eastAsia="zh-CN"/>
              </w:rPr>
              <w:t>（非线性晶体1万片、磁光晶体10万片、激光晶体20万片、高功率器件20万片）</w:t>
            </w:r>
          </w:p>
          <w:p w14:paraId="40BF4A7E">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（7）职工人数：</w:t>
            </w:r>
            <w:r>
              <w:rPr>
                <w:rFonts w:hint="eastAsia" w:ascii="Times New Roman" w:hAnsi="Times New Roman" w:eastAsia="宋体" w:cs="宋体"/>
                <w:color w:val="auto"/>
                <w:kern w:val="2"/>
                <w:sz w:val="24"/>
                <w:szCs w:val="24"/>
                <w:lang w:val="en-US" w:eastAsia="zh-CN" w:bidi="ar-SA"/>
              </w:rPr>
              <w:t>项目</w:t>
            </w:r>
            <w:r>
              <w:rPr>
                <w:rFonts w:hint="default" w:ascii="Times New Roman" w:hAnsi="Times New Roman" w:eastAsia="宋体" w:cs="宋体"/>
                <w:color w:val="auto"/>
                <w:kern w:val="2"/>
                <w:sz w:val="24"/>
                <w:szCs w:val="24"/>
                <w:lang w:val="en-US" w:eastAsia="zh-CN" w:bidi="ar-SA"/>
              </w:rPr>
              <w:t>劳动定员</w:t>
            </w:r>
            <w:r>
              <w:rPr>
                <w:rFonts w:hint="eastAsia" w:ascii="Times New Roman" w:hAnsi="Times New Roman" w:eastAsia="宋体" w:cs="宋体"/>
                <w:color w:val="auto"/>
                <w:kern w:val="2"/>
                <w:sz w:val="24"/>
                <w:szCs w:val="24"/>
                <w:lang w:val="en-US" w:eastAsia="zh-CN" w:bidi="ar-SA"/>
              </w:rPr>
              <w:t>60</w:t>
            </w:r>
            <w:r>
              <w:rPr>
                <w:rFonts w:hint="default" w:ascii="Times New Roman" w:hAnsi="Times New Roman" w:eastAsia="宋体" w:cs="宋体"/>
                <w:color w:val="auto"/>
                <w:kern w:val="2"/>
                <w:sz w:val="24"/>
                <w:szCs w:val="24"/>
                <w:lang w:val="en-US" w:eastAsia="zh-CN" w:bidi="ar-SA"/>
              </w:rPr>
              <w:t>人，均不</w:t>
            </w:r>
            <w:r>
              <w:rPr>
                <w:rFonts w:hint="eastAsia" w:ascii="Times New Roman" w:hAnsi="Times New Roman" w:eastAsia="宋体" w:cs="宋体"/>
                <w:color w:val="auto"/>
                <w:kern w:val="2"/>
                <w:sz w:val="24"/>
                <w:szCs w:val="24"/>
                <w:lang w:val="en-US" w:eastAsia="zh-CN" w:bidi="ar-SA"/>
              </w:rPr>
              <w:t>在厂内食宿</w:t>
            </w:r>
          </w:p>
          <w:p w14:paraId="224F3820">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（8）工作制度：年工作</w:t>
            </w:r>
            <w:r>
              <w:rPr>
                <w:rFonts w:hint="eastAsia" w:ascii="Times New Roman" w:hAnsi="Times New Roman" w:eastAsia="宋体" w:cs="宋体"/>
                <w:color w:val="auto"/>
                <w:kern w:val="2"/>
                <w:sz w:val="24"/>
                <w:szCs w:val="24"/>
                <w:lang w:val="en-US" w:eastAsia="zh-CN" w:bidi="ar-SA"/>
              </w:rPr>
              <w:t>300</w:t>
            </w:r>
            <w:r>
              <w:rPr>
                <w:rFonts w:hint="default" w:ascii="Times New Roman" w:hAnsi="Times New Roman" w:eastAsia="宋体" w:cs="宋体"/>
                <w:color w:val="auto"/>
                <w:kern w:val="2"/>
                <w:sz w:val="24"/>
                <w:szCs w:val="24"/>
                <w:lang w:val="en-US" w:eastAsia="zh-CN" w:bidi="ar-SA"/>
              </w:rPr>
              <w:t>天，</w:t>
            </w:r>
            <w:r>
              <w:rPr>
                <w:rFonts w:hint="eastAsia" w:ascii="Times New Roman" w:hAnsi="Times New Roman" w:eastAsia="宋体" w:cs="宋体"/>
                <w:color w:val="auto"/>
                <w:kern w:val="2"/>
                <w:sz w:val="24"/>
                <w:szCs w:val="24"/>
                <w:lang w:val="en-US" w:eastAsia="zh-CN" w:bidi="ar-SA"/>
              </w:rPr>
              <w:t>单</w:t>
            </w:r>
            <w:r>
              <w:rPr>
                <w:rFonts w:hint="default" w:ascii="Times New Roman" w:hAnsi="Times New Roman" w:eastAsia="宋体" w:cs="宋体"/>
                <w:color w:val="auto"/>
                <w:kern w:val="2"/>
                <w:sz w:val="24"/>
                <w:szCs w:val="24"/>
                <w:lang w:val="en-US" w:eastAsia="zh-CN" w:bidi="ar-SA"/>
              </w:rPr>
              <w:t>班制，每班</w:t>
            </w:r>
            <w:r>
              <w:rPr>
                <w:rFonts w:hint="eastAsia" w:ascii="Times New Roman" w:hAnsi="Times New Roman" w:eastAsia="宋体" w:cs="宋体"/>
                <w:color w:val="auto"/>
                <w:kern w:val="2"/>
                <w:sz w:val="24"/>
                <w:szCs w:val="24"/>
                <w:lang w:val="en-US" w:eastAsia="zh-CN" w:bidi="ar-SA"/>
              </w:rPr>
              <w:t>8</w:t>
            </w:r>
            <w:r>
              <w:rPr>
                <w:rFonts w:hint="default" w:ascii="Times New Roman" w:hAnsi="Times New Roman" w:eastAsia="宋体" w:cs="宋体"/>
                <w:color w:val="auto"/>
                <w:kern w:val="2"/>
                <w:sz w:val="24"/>
                <w:szCs w:val="24"/>
                <w:lang w:val="en-US" w:eastAsia="zh-CN" w:bidi="ar-SA"/>
              </w:rPr>
              <w:t>小时</w:t>
            </w:r>
          </w:p>
          <w:p w14:paraId="581BE182">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（9）建设性质：</w:t>
            </w:r>
            <w:r>
              <w:rPr>
                <w:rFonts w:hint="eastAsia" w:ascii="Times New Roman" w:hAnsi="Times New Roman" w:eastAsia="宋体" w:cs="宋体"/>
                <w:color w:val="auto"/>
                <w:kern w:val="2"/>
                <w:sz w:val="24"/>
                <w:szCs w:val="24"/>
                <w:lang w:val="en-US" w:eastAsia="zh-CN" w:bidi="ar-SA"/>
              </w:rPr>
              <w:t>新建</w:t>
            </w:r>
          </w:p>
          <w:p w14:paraId="6D424F3F">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23" w:name="_Toc15885"/>
            <w:r>
              <w:rPr>
                <w:rFonts w:hint="eastAsia" w:ascii="Times New Roman" w:hAnsi="Times New Roman" w:eastAsia="宋体" w:cs="Times New Roman"/>
                <w:b/>
                <w:color w:val="auto"/>
                <w:kern w:val="2"/>
                <w:sz w:val="24"/>
                <w:szCs w:val="24"/>
                <w:lang w:val="en-US" w:eastAsia="zh-CN" w:bidi="ar-SA"/>
              </w:rPr>
              <w:t>2.1.3本次项目产品方案</w:t>
            </w:r>
            <w:bookmarkEnd w:id="23"/>
          </w:p>
          <w:p w14:paraId="05738448">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本次项目产品方案见表2.1-</w:t>
            </w:r>
            <w:r>
              <w:rPr>
                <w:rFonts w:hint="eastAsia" w:cs="宋体"/>
                <w:color w:val="auto"/>
                <w:kern w:val="2"/>
                <w:sz w:val="24"/>
                <w:szCs w:val="24"/>
                <w:lang w:val="en-US" w:eastAsia="zh-CN" w:bidi="ar-SA"/>
              </w:rPr>
              <w:t>2</w:t>
            </w:r>
            <w:r>
              <w:rPr>
                <w:rFonts w:hint="eastAsia" w:ascii="Times New Roman" w:hAnsi="Times New Roman" w:eastAsia="宋体" w:cs="宋体"/>
                <w:color w:val="auto"/>
                <w:kern w:val="2"/>
                <w:sz w:val="24"/>
                <w:szCs w:val="24"/>
                <w:lang w:val="en-US" w:eastAsia="zh-CN" w:bidi="ar-SA"/>
              </w:rPr>
              <w:t>。</w:t>
            </w:r>
          </w:p>
          <w:p w14:paraId="1A5D18C1">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表2.1-</w:t>
            </w:r>
            <w:r>
              <w:rPr>
                <w:rFonts w:hint="eastAsia" w:cs="Times New Roman"/>
                <w:b/>
                <w:color w:val="auto"/>
                <w:kern w:val="0"/>
                <w:sz w:val="24"/>
                <w:szCs w:val="20"/>
                <w:lang w:val="en-US" w:eastAsia="zh-CN" w:bidi="ar-SA"/>
              </w:rPr>
              <w:t>2</w:t>
            </w:r>
            <w:r>
              <w:rPr>
                <w:rFonts w:hint="eastAsia" w:ascii="Times New Roman" w:hAnsi="Times New Roman" w:eastAsia="宋体" w:cs="Times New Roman"/>
                <w:b/>
                <w:color w:val="auto"/>
                <w:kern w:val="0"/>
                <w:sz w:val="24"/>
                <w:szCs w:val="20"/>
                <w:lang w:val="en-US" w:eastAsia="zh-CN" w:bidi="ar-SA"/>
              </w:rPr>
              <w:t xml:space="preserve">  本次项目产品方案一览表</w:t>
            </w:r>
            <w:r>
              <w:rPr>
                <w:rFonts w:hint="eastAsia" w:cs="Times New Roman"/>
                <w:b/>
                <w:color w:val="auto"/>
                <w:kern w:val="0"/>
                <w:sz w:val="24"/>
                <w:szCs w:val="20"/>
                <w:lang w:val="en-US" w:eastAsia="zh-CN" w:bidi="ar-SA"/>
              </w:rPr>
              <w:t>（涉密）</w:t>
            </w:r>
          </w:p>
          <w:p w14:paraId="5BB80C2F">
            <w:pPr>
              <w:pStyle w:val="4"/>
              <w:bidi w:val="0"/>
              <w:rPr>
                <w:rFonts w:hint="eastAsia"/>
                <w:color w:val="auto"/>
                <w:lang w:val="en-US" w:eastAsia="zh-CN"/>
              </w:rPr>
            </w:pPr>
            <w:bookmarkStart w:id="24" w:name="_Toc29918"/>
            <w:r>
              <w:rPr>
                <w:rFonts w:hint="eastAsia"/>
                <w:color w:val="auto"/>
                <w:lang w:val="en-US" w:eastAsia="zh-CN"/>
              </w:rPr>
              <w:t>2.1.4本次项目组成及建设内容</w:t>
            </w:r>
            <w:bookmarkEnd w:id="24"/>
          </w:p>
          <w:p w14:paraId="27AF16C1">
            <w:pPr>
              <w:pStyle w:val="25"/>
              <w:bidi w:val="0"/>
              <w:rPr>
                <w:rFonts w:hint="eastAsia"/>
                <w:color w:val="auto"/>
                <w:lang w:val="en-US" w:eastAsia="zh-CN"/>
              </w:rPr>
            </w:pPr>
            <w:r>
              <w:rPr>
                <w:rFonts w:hint="eastAsia"/>
                <w:color w:val="auto"/>
                <w:lang w:val="en-US" w:eastAsia="zh-CN"/>
              </w:rPr>
              <w:t>本次项目组成及建设内容见表2.1-3。</w:t>
            </w:r>
          </w:p>
          <w:p w14:paraId="0CEF1E97">
            <w:pPr>
              <w:pStyle w:val="24"/>
              <w:bidi w:val="0"/>
              <w:rPr>
                <w:rFonts w:hint="default"/>
                <w:color w:val="auto"/>
                <w:lang w:val="en-US" w:eastAsia="zh-CN"/>
              </w:rPr>
            </w:pPr>
            <w:r>
              <w:rPr>
                <w:rFonts w:hint="eastAsia"/>
                <w:color w:val="auto"/>
                <w:lang w:val="en-US" w:eastAsia="zh-CN"/>
              </w:rPr>
              <w:t>表2.1-3  本项目组成及建设内容一览表</w:t>
            </w:r>
            <w:r>
              <w:rPr>
                <w:rFonts w:hint="eastAsia" w:cs="Times New Roman"/>
                <w:b/>
                <w:color w:val="auto"/>
                <w:kern w:val="0"/>
                <w:sz w:val="24"/>
                <w:szCs w:val="20"/>
                <w:lang w:val="en-US" w:eastAsia="zh-CN" w:bidi="ar-SA"/>
              </w:rPr>
              <w:t>（涉密）</w:t>
            </w:r>
          </w:p>
          <w:tbl>
            <w:tblPr>
              <w:tblStyle w:val="1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055"/>
              <w:gridCol w:w="975"/>
              <w:gridCol w:w="6390"/>
            </w:tblGrid>
            <w:tr w14:paraId="53BDE3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6" w:type="pct"/>
                  <w:tcBorders>
                    <w:tl2br w:val="nil"/>
                    <w:tr2bl w:val="nil"/>
                  </w:tcBorders>
                  <w:noWrap w:val="0"/>
                  <w:vAlign w:val="center"/>
                </w:tcPr>
                <w:p w14:paraId="31161B88">
                  <w:pPr>
                    <w:pStyle w:val="28"/>
                    <w:bidi w:val="0"/>
                    <w:rPr>
                      <w:rFonts w:ascii="Times New Roman" w:hAnsi="Times New Roman" w:eastAsia="宋体"/>
                      <w:b/>
                      <w:bCs/>
                      <w:color w:val="auto"/>
                      <w:sz w:val="21"/>
                      <w:szCs w:val="21"/>
                    </w:rPr>
                  </w:pPr>
                </w:p>
              </w:tc>
              <w:tc>
                <w:tcPr>
                  <w:tcW w:w="579" w:type="pct"/>
                  <w:tcBorders>
                    <w:tl2br w:val="nil"/>
                    <w:tr2bl w:val="nil"/>
                  </w:tcBorders>
                  <w:noWrap w:val="0"/>
                  <w:vAlign w:val="center"/>
                </w:tcPr>
                <w:p w14:paraId="06753385">
                  <w:pPr>
                    <w:pStyle w:val="28"/>
                    <w:bidi w:val="0"/>
                    <w:rPr>
                      <w:rFonts w:ascii="Times New Roman" w:hAnsi="Times New Roman" w:eastAsia="宋体"/>
                      <w:b/>
                      <w:bCs/>
                      <w:color w:val="auto"/>
                      <w:sz w:val="21"/>
                      <w:szCs w:val="21"/>
                    </w:rPr>
                  </w:pPr>
                </w:p>
              </w:tc>
              <w:tc>
                <w:tcPr>
                  <w:tcW w:w="3793" w:type="pct"/>
                  <w:tcBorders>
                    <w:tl2br w:val="nil"/>
                    <w:tr2bl w:val="nil"/>
                  </w:tcBorders>
                  <w:noWrap w:val="0"/>
                  <w:vAlign w:val="center"/>
                </w:tcPr>
                <w:p w14:paraId="4F408091">
                  <w:pPr>
                    <w:pStyle w:val="28"/>
                    <w:bidi w:val="0"/>
                    <w:rPr>
                      <w:rFonts w:ascii="Times New Roman" w:hAnsi="Times New Roman" w:eastAsia="宋体"/>
                      <w:b/>
                      <w:bCs/>
                      <w:color w:val="auto"/>
                      <w:sz w:val="21"/>
                      <w:szCs w:val="21"/>
                    </w:rPr>
                  </w:pPr>
                </w:p>
              </w:tc>
            </w:tr>
            <w:tr w14:paraId="2F22F4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6" w:type="pct"/>
                  <w:vMerge w:val="restart"/>
                  <w:tcBorders>
                    <w:tl2br w:val="nil"/>
                    <w:tr2bl w:val="nil"/>
                  </w:tcBorders>
                  <w:noWrap w:val="0"/>
                  <w:vAlign w:val="center"/>
                </w:tcPr>
                <w:p w14:paraId="38EDDDB7">
                  <w:pPr>
                    <w:pStyle w:val="28"/>
                    <w:bidi w:val="0"/>
                    <w:rPr>
                      <w:rFonts w:ascii="Times New Roman" w:hAnsi="Times New Roman" w:eastAsia="宋体"/>
                      <w:color w:val="auto"/>
                      <w:sz w:val="21"/>
                      <w:szCs w:val="21"/>
                    </w:rPr>
                  </w:pPr>
                </w:p>
              </w:tc>
              <w:tc>
                <w:tcPr>
                  <w:tcW w:w="579" w:type="pct"/>
                  <w:vMerge w:val="restart"/>
                  <w:tcBorders>
                    <w:tl2br w:val="nil"/>
                    <w:tr2bl w:val="nil"/>
                  </w:tcBorders>
                  <w:noWrap w:val="0"/>
                  <w:vAlign w:val="center"/>
                </w:tcPr>
                <w:p w14:paraId="74F2094B">
                  <w:pPr>
                    <w:pStyle w:val="28"/>
                    <w:bidi w:val="0"/>
                    <w:rPr>
                      <w:rFonts w:hint="default" w:ascii="Times New Roman" w:hAnsi="Times New Roman" w:eastAsia="宋体"/>
                      <w:color w:val="auto"/>
                      <w:sz w:val="21"/>
                      <w:szCs w:val="21"/>
                      <w:lang w:val="en-US"/>
                    </w:rPr>
                  </w:pPr>
                </w:p>
              </w:tc>
              <w:tc>
                <w:tcPr>
                  <w:tcW w:w="3793" w:type="pct"/>
                  <w:tcBorders>
                    <w:tl2br w:val="nil"/>
                    <w:tr2bl w:val="nil"/>
                  </w:tcBorders>
                  <w:noWrap w:val="0"/>
                  <w:vAlign w:val="center"/>
                </w:tcPr>
                <w:p w14:paraId="07E24277">
                  <w:pPr>
                    <w:pStyle w:val="28"/>
                    <w:bidi w:val="0"/>
                    <w:rPr>
                      <w:rFonts w:hint="default" w:ascii="Times New Roman" w:hAnsi="Times New Roman" w:eastAsia="宋体"/>
                      <w:color w:val="auto"/>
                      <w:sz w:val="21"/>
                      <w:szCs w:val="21"/>
                      <w:lang w:val="en-US" w:eastAsia="zh-CN"/>
                    </w:rPr>
                  </w:pPr>
                </w:p>
              </w:tc>
            </w:tr>
            <w:tr w14:paraId="61FA3B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6" w:type="pct"/>
                  <w:vMerge w:val="continue"/>
                  <w:tcBorders>
                    <w:tl2br w:val="nil"/>
                    <w:tr2bl w:val="nil"/>
                  </w:tcBorders>
                  <w:noWrap w:val="0"/>
                  <w:vAlign w:val="center"/>
                </w:tcPr>
                <w:p w14:paraId="549D116A">
                  <w:pPr>
                    <w:pStyle w:val="28"/>
                    <w:bidi w:val="0"/>
                    <w:rPr>
                      <w:rFonts w:ascii="Times New Roman" w:hAnsi="Times New Roman" w:eastAsia="宋体"/>
                      <w:color w:val="auto"/>
                      <w:sz w:val="21"/>
                      <w:szCs w:val="21"/>
                    </w:rPr>
                  </w:pPr>
                </w:p>
              </w:tc>
              <w:tc>
                <w:tcPr>
                  <w:tcW w:w="579" w:type="pct"/>
                  <w:vMerge w:val="continue"/>
                  <w:tcBorders>
                    <w:tl2br w:val="nil"/>
                    <w:tr2bl w:val="nil"/>
                  </w:tcBorders>
                  <w:noWrap w:val="0"/>
                  <w:vAlign w:val="center"/>
                </w:tcPr>
                <w:p w14:paraId="1AF48312">
                  <w:pPr>
                    <w:pStyle w:val="28"/>
                    <w:bidi w:val="0"/>
                    <w:rPr>
                      <w:rFonts w:hint="default" w:ascii="Times New Roman" w:hAnsi="Times New Roman" w:eastAsia="宋体"/>
                      <w:color w:val="auto"/>
                      <w:sz w:val="21"/>
                      <w:szCs w:val="21"/>
                      <w:lang w:val="en-US" w:eastAsia="zh-CN"/>
                    </w:rPr>
                  </w:pPr>
                </w:p>
              </w:tc>
              <w:tc>
                <w:tcPr>
                  <w:tcW w:w="3793" w:type="pct"/>
                  <w:tcBorders>
                    <w:tl2br w:val="nil"/>
                    <w:tr2bl w:val="nil"/>
                  </w:tcBorders>
                  <w:noWrap w:val="0"/>
                  <w:vAlign w:val="center"/>
                </w:tcPr>
                <w:p w14:paraId="55597257">
                  <w:pPr>
                    <w:pStyle w:val="28"/>
                    <w:bidi w:val="0"/>
                    <w:rPr>
                      <w:rFonts w:hint="default" w:ascii="Times New Roman" w:hAnsi="Times New Roman" w:eastAsia="宋体"/>
                      <w:color w:val="auto"/>
                      <w:kern w:val="0"/>
                      <w:sz w:val="21"/>
                      <w:szCs w:val="21"/>
                      <w:lang w:val="en-US" w:eastAsia="zh-CN" w:bidi="ar-SA"/>
                    </w:rPr>
                  </w:pPr>
                </w:p>
              </w:tc>
            </w:tr>
            <w:tr w14:paraId="5A382C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6" w:type="pct"/>
                  <w:vMerge w:val="continue"/>
                  <w:tcBorders>
                    <w:tl2br w:val="nil"/>
                    <w:tr2bl w:val="nil"/>
                  </w:tcBorders>
                  <w:noWrap w:val="0"/>
                  <w:vAlign w:val="center"/>
                </w:tcPr>
                <w:p w14:paraId="7F0AED4A">
                  <w:pPr>
                    <w:pStyle w:val="28"/>
                    <w:bidi w:val="0"/>
                    <w:rPr>
                      <w:rFonts w:ascii="Times New Roman" w:hAnsi="Times New Roman" w:eastAsia="宋体"/>
                      <w:color w:val="auto"/>
                      <w:sz w:val="21"/>
                      <w:szCs w:val="21"/>
                    </w:rPr>
                  </w:pPr>
                </w:p>
              </w:tc>
              <w:tc>
                <w:tcPr>
                  <w:tcW w:w="579" w:type="pct"/>
                  <w:vMerge w:val="continue"/>
                  <w:tcBorders>
                    <w:tl2br w:val="nil"/>
                    <w:tr2bl w:val="nil"/>
                  </w:tcBorders>
                  <w:noWrap w:val="0"/>
                  <w:vAlign w:val="center"/>
                </w:tcPr>
                <w:p w14:paraId="60BF9BD8">
                  <w:pPr>
                    <w:pStyle w:val="28"/>
                    <w:bidi w:val="0"/>
                    <w:rPr>
                      <w:rFonts w:hint="default" w:ascii="Times New Roman" w:hAnsi="Times New Roman" w:eastAsia="宋体"/>
                      <w:color w:val="auto"/>
                      <w:sz w:val="21"/>
                      <w:szCs w:val="21"/>
                      <w:lang w:val="en-US" w:eastAsia="zh-CN"/>
                    </w:rPr>
                  </w:pPr>
                </w:p>
              </w:tc>
              <w:tc>
                <w:tcPr>
                  <w:tcW w:w="3793" w:type="pct"/>
                  <w:tcBorders>
                    <w:tl2br w:val="nil"/>
                    <w:tr2bl w:val="nil"/>
                  </w:tcBorders>
                  <w:noWrap w:val="0"/>
                  <w:vAlign w:val="center"/>
                </w:tcPr>
                <w:p w14:paraId="03371170">
                  <w:pPr>
                    <w:pStyle w:val="28"/>
                    <w:bidi w:val="0"/>
                    <w:rPr>
                      <w:rFonts w:hint="default" w:ascii="Times New Roman" w:hAnsi="Times New Roman" w:eastAsia="宋体"/>
                      <w:color w:val="auto"/>
                      <w:sz w:val="21"/>
                      <w:szCs w:val="21"/>
                      <w:lang w:val="en-US" w:eastAsia="zh-CN"/>
                    </w:rPr>
                  </w:pPr>
                </w:p>
              </w:tc>
            </w:tr>
            <w:tr w14:paraId="466BFE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361" w:hRule="atLeast"/>
                <w:jc w:val="center"/>
              </w:trPr>
              <w:tc>
                <w:tcPr>
                  <w:tcW w:w="626" w:type="pct"/>
                  <w:vMerge w:val="continue"/>
                  <w:tcBorders>
                    <w:tl2br w:val="nil"/>
                    <w:tr2bl w:val="nil"/>
                  </w:tcBorders>
                  <w:noWrap w:val="0"/>
                  <w:vAlign w:val="center"/>
                </w:tcPr>
                <w:p w14:paraId="53947FD5">
                  <w:pPr>
                    <w:pStyle w:val="28"/>
                    <w:bidi w:val="0"/>
                    <w:rPr>
                      <w:rFonts w:ascii="Times New Roman" w:hAnsi="Times New Roman" w:eastAsia="宋体"/>
                      <w:color w:val="auto"/>
                      <w:sz w:val="21"/>
                      <w:szCs w:val="21"/>
                    </w:rPr>
                  </w:pPr>
                </w:p>
              </w:tc>
              <w:tc>
                <w:tcPr>
                  <w:tcW w:w="579" w:type="pct"/>
                  <w:vMerge w:val="continue"/>
                  <w:tcBorders>
                    <w:tl2br w:val="nil"/>
                    <w:tr2bl w:val="nil"/>
                  </w:tcBorders>
                  <w:noWrap w:val="0"/>
                  <w:vAlign w:val="center"/>
                </w:tcPr>
                <w:p w14:paraId="0579989E">
                  <w:pPr>
                    <w:pStyle w:val="28"/>
                    <w:bidi w:val="0"/>
                    <w:rPr>
                      <w:rFonts w:hint="default" w:ascii="Times New Roman" w:hAnsi="Times New Roman" w:eastAsia="宋体"/>
                      <w:color w:val="auto"/>
                      <w:sz w:val="21"/>
                      <w:szCs w:val="21"/>
                      <w:lang w:val="en-US" w:eastAsia="zh-CN"/>
                    </w:rPr>
                  </w:pPr>
                </w:p>
              </w:tc>
              <w:tc>
                <w:tcPr>
                  <w:tcW w:w="3793" w:type="pct"/>
                  <w:tcBorders>
                    <w:tl2br w:val="nil"/>
                    <w:tr2bl w:val="nil"/>
                  </w:tcBorders>
                  <w:noWrap w:val="0"/>
                  <w:vAlign w:val="center"/>
                </w:tcPr>
                <w:p w14:paraId="108AD9ED">
                  <w:pPr>
                    <w:pStyle w:val="28"/>
                    <w:bidi w:val="0"/>
                    <w:rPr>
                      <w:rFonts w:hint="default" w:ascii="Times New Roman" w:hAnsi="Times New Roman" w:eastAsia="宋体"/>
                      <w:color w:val="auto"/>
                      <w:kern w:val="0"/>
                      <w:sz w:val="21"/>
                      <w:szCs w:val="21"/>
                      <w:lang w:val="en-US" w:eastAsia="zh-CN" w:bidi="ar-SA"/>
                    </w:rPr>
                  </w:pPr>
                </w:p>
              </w:tc>
            </w:tr>
            <w:tr w14:paraId="791237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6" w:type="pct"/>
                  <w:vMerge w:val="restart"/>
                  <w:tcBorders>
                    <w:tl2br w:val="nil"/>
                    <w:tr2bl w:val="nil"/>
                  </w:tcBorders>
                  <w:noWrap w:val="0"/>
                  <w:vAlign w:val="center"/>
                </w:tcPr>
                <w:p w14:paraId="2834B397">
                  <w:pPr>
                    <w:pStyle w:val="28"/>
                    <w:bidi w:val="0"/>
                    <w:rPr>
                      <w:rFonts w:ascii="Times New Roman" w:hAnsi="Times New Roman" w:eastAsia="宋体"/>
                      <w:color w:val="auto"/>
                      <w:sz w:val="21"/>
                      <w:szCs w:val="21"/>
                    </w:rPr>
                  </w:pPr>
                </w:p>
              </w:tc>
              <w:tc>
                <w:tcPr>
                  <w:tcW w:w="579" w:type="pct"/>
                  <w:tcBorders>
                    <w:tl2br w:val="nil"/>
                    <w:tr2bl w:val="nil"/>
                  </w:tcBorders>
                  <w:noWrap w:val="0"/>
                  <w:vAlign w:val="center"/>
                </w:tcPr>
                <w:p w14:paraId="16E306D9">
                  <w:pPr>
                    <w:pStyle w:val="28"/>
                    <w:bidi w:val="0"/>
                    <w:rPr>
                      <w:rFonts w:hint="default" w:ascii="Times New Roman" w:hAnsi="Times New Roman" w:eastAsia="宋体"/>
                      <w:color w:val="auto"/>
                      <w:sz w:val="21"/>
                      <w:szCs w:val="21"/>
                      <w:lang w:val="en-US" w:eastAsia="zh-CN"/>
                    </w:rPr>
                  </w:pPr>
                </w:p>
              </w:tc>
              <w:tc>
                <w:tcPr>
                  <w:tcW w:w="3793" w:type="pct"/>
                  <w:tcBorders>
                    <w:tl2br w:val="nil"/>
                    <w:tr2bl w:val="nil"/>
                  </w:tcBorders>
                  <w:noWrap w:val="0"/>
                  <w:vAlign w:val="center"/>
                </w:tcPr>
                <w:p w14:paraId="7AC2178C">
                  <w:pPr>
                    <w:pStyle w:val="28"/>
                    <w:bidi w:val="0"/>
                    <w:rPr>
                      <w:rFonts w:hint="default" w:ascii="Times New Roman" w:hAnsi="Times New Roman" w:eastAsia="宋体"/>
                      <w:color w:val="auto"/>
                      <w:sz w:val="21"/>
                      <w:szCs w:val="21"/>
                      <w:lang w:val="en-US" w:eastAsia="zh-CN"/>
                    </w:rPr>
                  </w:pPr>
                </w:p>
              </w:tc>
            </w:tr>
            <w:tr w14:paraId="23A02A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6" w:type="pct"/>
                  <w:vMerge w:val="continue"/>
                  <w:tcBorders>
                    <w:tl2br w:val="nil"/>
                    <w:tr2bl w:val="nil"/>
                  </w:tcBorders>
                  <w:noWrap w:val="0"/>
                  <w:vAlign w:val="center"/>
                </w:tcPr>
                <w:p w14:paraId="5B9AE824">
                  <w:pPr>
                    <w:pStyle w:val="28"/>
                    <w:bidi w:val="0"/>
                    <w:rPr>
                      <w:rFonts w:ascii="Times New Roman" w:hAnsi="Times New Roman" w:eastAsia="宋体"/>
                      <w:color w:val="auto"/>
                      <w:sz w:val="21"/>
                      <w:szCs w:val="21"/>
                    </w:rPr>
                  </w:pPr>
                </w:p>
              </w:tc>
              <w:tc>
                <w:tcPr>
                  <w:tcW w:w="579" w:type="pct"/>
                  <w:tcBorders>
                    <w:tl2br w:val="nil"/>
                    <w:tr2bl w:val="nil"/>
                  </w:tcBorders>
                  <w:noWrap w:val="0"/>
                  <w:vAlign w:val="center"/>
                </w:tcPr>
                <w:p w14:paraId="6BCCE4A5">
                  <w:pPr>
                    <w:pStyle w:val="28"/>
                    <w:bidi w:val="0"/>
                    <w:rPr>
                      <w:rFonts w:hint="eastAsia" w:ascii="Times New Roman" w:hAnsi="Times New Roman" w:eastAsia="宋体"/>
                      <w:color w:val="auto"/>
                      <w:sz w:val="21"/>
                      <w:szCs w:val="21"/>
                      <w:lang w:val="en-US" w:eastAsia="zh-CN"/>
                    </w:rPr>
                  </w:pPr>
                </w:p>
              </w:tc>
              <w:tc>
                <w:tcPr>
                  <w:tcW w:w="3793" w:type="pct"/>
                  <w:tcBorders>
                    <w:tl2br w:val="nil"/>
                    <w:tr2bl w:val="nil"/>
                  </w:tcBorders>
                  <w:noWrap w:val="0"/>
                  <w:vAlign w:val="center"/>
                </w:tcPr>
                <w:p w14:paraId="5FC9A201">
                  <w:pPr>
                    <w:pStyle w:val="28"/>
                    <w:bidi w:val="0"/>
                    <w:rPr>
                      <w:rFonts w:hint="default" w:ascii="Times New Roman" w:hAnsi="Times New Roman" w:eastAsia="宋体"/>
                      <w:color w:val="auto"/>
                      <w:sz w:val="21"/>
                      <w:szCs w:val="21"/>
                      <w:lang w:val="en-US" w:eastAsia="zh-CN"/>
                    </w:rPr>
                  </w:pPr>
                </w:p>
              </w:tc>
            </w:tr>
            <w:tr w14:paraId="6BC207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6" w:type="pct"/>
                  <w:vMerge w:val="continue"/>
                  <w:tcBorders>
                    <w:tl2br w:val="nil"/>
                    <w:tr2bl w:val="nil"/>
                  </w:tcBorders>
                  <w:noWrap w:val="0"/>
                  <w:vAlign w:val="center"/>
                </w:tcPr>
                <w:p w14:paraId="0BD37D5A">
                  <w:pPr>
                    <w:pStyle w:val="28"/>
                    <w:bidi w:val="0"/>
                    <w:rPr>
                      <w:rFonts w:ascii="Times New Roman" w:hAnsi="Times New Roman" w:eastAsia="宋体"/>
                      <w:color w:val="auto"/>
                      <w:sz w:val="21"/>
                      <w:szCs w:val="21"/>
                    </w:rPr>
                  </w:pPr>
                </w:p>
              </w:tc>
              <w:tc>
                <w:tcPr>
                  <w:tcW w:w="579" w:type="pct"/>
                  <w:tcBorders>
                    <w:tl2br w:val="nil"/>
                    <w:tr2bl w:val="nil"/>
                  </w:tcBorders>
                  <w:noWrap w:val="0"/>
                  <w:vAlign w:val="center"/>
                </w:tcPr>
                <w:p w14:paraId="4A41C277">
                  <w:pPr>
                    <w:pStyle w:val="28"/>
                    <w:bidi w:val="0"/>
                    <w:rPr>
                      <w:rFonts w:hint="default" w:ascii="Times New Roman" w:hAnsi="Times New Roman" w:eastAsia="宋体"/>
                      <w:color w:val="auto"/>
                      <w:sz w:val="21"/>
                      <w:szCs w:val="21"/>
                      <w:lang w:val="en-US" w:eastAsia="zh-CN"/>
                    </w:rPr>
                  </w:pPr>
                </w:p>
              </w:tc>
              <w:tc>
                <w:tcPr>
                  <w:tcW w:w="3793" w:type="pct"/>
                  <w:tcBorders>
                    <w:tl2br w:val="nil"/>
                    <w:tr2bl w:val="nil"/>
                  </w:tcBorders>
                  <w:noWrap w:val="0"/>
                  <w:vAlign w:val="center"/>
                </w:tcPr>
                <w:p w14:paraId="07ABF87E">
                  <w:pPr>
                    <w:pStyle w:val="28"/>
                    <w:bidi w:val="0"/>
                    <w:rPr>
                      <w:rFonts w:hint="default" w:ascii="Times New Roman" w:hAnsi="Times New Roman" w:eastAsia="宋体"/>
                      <w:color w:val="auto"/>
                      <w:sz w:val="21"/>
                      <w:szCs w:val="21"/>
                      <w:lang w:val="en-US" w:eastAsia="zh-CN"/>
                    </w:rPr>
                  </w:pPr>
                </w:p>
              </w:tc>
            </w:tr>
            <w:tr w14:paraId="18733E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6" w:type="pct"/>
                  <w:vMerge w:val="restart"/>
                  <w:tcBorders>
                    <w:tl2br w:val="nil"/>
                    <w:tr2bl w:val="nil"/>
                  </w:tcBorders>
                  <w:noWrap w:val="0"/>
                  <w:vAlign w:val="center"/>
                </w:tcPr>
                <w:p w14:paraId="3B04BDBE">
                  <w:pPr>
                    <w:pStyle w:val="28"/>
                    <w:bidi w:val="0"/>
                    <w:rPr>
                      <w:rFonts w:ascii="Times New Roman" w:hAnsi="Times New Roman" w:eastAsia="宋体"/>
                      <w:color w:val="auto"/>
                      <w:sz w:val="21"/>
                      <w:szCs w:val="21"/>
                    </w:rPr>
                  </w:pPr>
                </w:p>
              </w:tc>
              <w:tc>
                <w:tcPr>
                  <w:tcW w:w="579" w:type="pct"/>
                  <w:tcBorders>
                    <w:tl2br w:val="nil"/>
                    <w:tr2bl w:val="nil"/>
                  </w:tcBorders>
                  <w:noWrap w:val="0"/>
                  <w:vAlign w:val="center"/>
                </w:tcPr>
                <w:p w14:paraId="2881FDBA">
                  <w:pPr>
                    <w:pStyle w:val="28"/>
                    <w:bidi w:val="0"/>
                    <w:rPr>
                      <w:rFonts w:ascii="Times New Roman" w:hAnsi="Times New Roman" w:eastAsia="宋体"/>
                      <w:color w:val="auto"/>
                      <w:sz w:val="21"/>
                      <w:szCs w:val="21"/>
                    </w:rPr>
                  </w:pPr>
                </w:p>
              </w:tc>
              <w:tc>
                <w:tcPr>
                  <w:tcW w:w="3793" w:type="pct"/>
                  <w:tcBorders>
                    <w:tl2br w:val="nil"/>
                    <w:tr2bl w:val="nil"/>
                  </w:tcBorders>
                  <w:noWrap w:val="0"/>
                  <w:vAlign w:val="center"/>
                </w:tcPr>
                <w:p w14:paraId="0CC3BD43">
                  <w:pPr>
                    <w:pStyle w:val="28"/>
                    <w:bidi w:val="0"/>
                    <w:rPr>
                      <w:rFonts w:ascii="Times New Roman" w:hAnsi="Times New Roman" w:eastAsia="宋体"/>
                      <w:color w:val="auto"/>
                      <w:sz w:val="21"/>
                      <w:szCs w:val="21"/>
                    </w:rPr>
                  </w:pPr>
                </w:p>
              </w:tc>
            </w:tr>
            <w:tr w14:paraId="5D24FF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6" w:type="pct"/>
                  <w:vMerge w:val="continue"/>
                  <w:tcBorders>
                    <w:tl2br w:val="nil"/>
                    <w:tr2bl w:val="nil"/>
                  </w:tcBorders>
                  <w:noWrap w:val="0"/>
                  <w:vAlign w:val="center"/>
                </w:tcPr>
                <w:p w14:paraId="5A9C965A">
                  <w:pPr>
                    <w:pStyle w:val="28"/>
                    <w:bidi w:val="0"/>
                    <w:rPr>
                      <w:rFonts w:ascii="Times New Roman" w:hAnsi="Times New Roman" w:eastAsia="宋体"/>
                      <w:color w:val="auto"/>
                      <w:sz w:val="21"/>
                      <w:szCs w:val="21"/>
                    </w:rPr>
                  </w:pPr>
                </w:p>
              </w:tc>
              <w:tc>
                <w:tcPr>
                  <w:tcW w:w="579" w:type="pct"/>
                  <w:tcBorders>
                    <w:tl2br w:val="nil"/>
                    <w:tr2bl w:val="nil"/>
                  </w:tcBorders>
                  <w:noWrap w:val="0"/>
                  <w:vAlign w:val="center"/>
                </w:tcPr>
                <w:p w14:paraId="2B3C4006">
                  <w:pPr>
                    <w:pStyle w:val="28"/>
                    <w:bidi w:val="0"/>
                    <w:rPr>
                      <w:rFonts w:ascii="Times New Roman" w:hAnsi="Times New Roman" w:eastAsia="宋体"/>
                      <w:color w:val="auto"/>
                      <w:sz w:val="21"/>
                      <w:szCs w:val="21"/>
                    </w:rPr>
                  </w:pPr>
                </w:p>
              </w:tc>
              <w:tc>
                <w:tcPr>
                  <w:tcW w:w="3793" w:type="pct"/>
                  <w:tcBorders>
                    <w:tl2br w:val="nil"/>
                    <w:tr2bl w:val="nil"/>
                  </w:tcBorders>
                  <w:noWrap w:val="0"/>
                  <w:vAlign w:val="center"/>
                </w:tcPr>
                <w:p w14:paraId="61623635">
                  <w:pPr>
                    <w:pStyle w:val="28"/>
                    <w:bidi w:val="0"/>
                    <w:rPr>
                      <w:rFonts w:ascii="Times New Roman" w:hAnsi="Times New Roman" w:eastAsia="宋体"/>
                      <w:color w:val="auto"/>
                      <w:sz w:val="21"/>
                      <w:szCs w:val="21"/>
                    </w:rPr>
                  </w:pPr>
                </w:p>
              </w:tc>
            </w:tr>
            <w:tr w14:paraId="3969A9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6" w:type="pct"/>
                  <w:vMerge w:val="restart"/>
                  <w:tcBorders>
                    <w:tl2br w:val="nil"/>
                    <w:tr2bl w:val="nil"/>
                  </w:tcBorders>
                  <w:noWrap w:val="0"/>
                  <w:vAlign w:val="center"/>
                </w:tcPr>
                <w:p w14:paraId="11B912CD">
                  <w:pPr>
                    <w:pStyle w:val="28"/>
                    <w:bidi w:val="0"/>
                    <w:rPr>
                      <w:rFonts w:ascii="Times New Roman" w:hAnsi="Times New Roman" w:eastAsia="宋体"/>
                      <w:color w:val="auto"/>
                      <w:sz w:val="21"/>
                      <w:szCs w:val="21"/>
                    </w:rPr>
                  </w:pPr>
                </w:p>
              </w:tc>
              <w:tc>
                <w:tcPr>
                  <w:tcW w:w="579" w:type="pct"/>
                  <w:tcBorders>
                    <w:tl2br w:val="nil"/>
                    <w:tr2bl w:val="nil"/>
                  </w:tcBorders>
                  <w:noWrap w:val="0"/>
                  <w:vAlign w:val="center"/>
                </w:tcPr>
                <w:p w14:paraId="59EB41D3">
                  <w:pPr>
                    <w:pStyle w:val="28"/>
                    <w:bidi w:val="0"/>
                    <w:rPr>
                      <w:rFonts w:hint="eastAsia"/>
                      <w:color w:val="auto"/>
                      <w:lang w:val="en-US" w:eastAsia="zh-CN"/>
                    </w:rPr>
                  </w:pPr>
                </w:p>
              </w:tc>
              <w:tc>
                <w:tcPr>
                  <w:tcW w:w="3793" w:type="pct"/>
                  <w:tcBorders>
                    <w:tl2br w:val="nil"/>
                    <w:tr2bl w:val="nil"/>
                  </w:tcBorders>
                  <w:noWrap w:val="0"/>
                  <w:vAlign w:val="center"/>
                </w:tcPr>
                <w:p w14:paraId="73AD6B21">
                  <w:pPr>
                    <w:pStyle w:val="28"/>
                    <w:bidi w:val="0"/>
                    <w:rPr>
                      <w:rFonts w:hint="default" w:ascii="Times New Roman" w:hAnsi="Times New Roman" w:eastAsia="宋体"/>
                      <w:color w:val="auto"/>
                      <w:sz w:val="21"/>
                      <w:szCs w:val="21"/>
                      <w:lang w:val="en-US" w:eastAsia="zh-CN"/>
                    </w:rPr>
                  </w:pPr>
                </w:p>
              </w:tc>
            </w:tr>
            <w:tr w14:paraId="5DA25B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49" w:hRule="atLeast"/>
                <w:jc w:val="center"/>
              </w:trPr>
              <w:tc>
                <w:tcPr>
                  <w:tcW w:w="626" w:type="pct"/>
                  <w:vMerge w:val="continue"/>
                  <w:tcBorders>
                    <w:tl2br w:val="nil"/>
                    <w:tr2bl w:val="nil"/>
                  </w:tcBorders>
                  <w:noWrap w:val="0"/>
                  <w:vAlign w:val="center"/>
                </w:tcPr>
                <w:p w14:paraId="09067135">
                  <w:pPr>
                    <w:pStyle w:val="28"/>
                    <w:bidi w:val="0"/>
                    <w:rPr>
                      <w:rFonts w:ascii="Times New Roman" w:hAnsi="Times New Roman" w:eastAsia="宋体"/>
                      <w:color w:val="auto"/>
                      <w:sz w:val="21"/>
                      <w:szCs w:val="21"/>
                    </w:rPr>
                  </w:pPr>
                </w:p>
              </w:tc>
              <w:tc>
                <w:tcPr>
                  <w:tcW w:w="579" w:type="pct"/>
                  <w:tcBorders>
                    <w:tl2br w:val="nil"/>
                    <w:tr2bl w:val="nil"/>
                  </w:tcBorders>
                  <w:noWrap w:val="0"/>
                  <w:vAlign w:val="center"/>
                </w:tcPr>
                <w:p w14:paraId="00E152C3">
                  <w:pPr>
                    <w:pStyle w:val="28"/>
                    <w:bidi w:val="0"/>
                    <w:rPr>
                      <w:rFonts w:hint="eastAsia" w:ascii="Times New Roman" w:hAnsi="Times New Roman" w:eastAsia="宋体"/>
                      <w:color w:val="auto"/>
                      <w:sz w:val="21"/>
                      <w:szCs w:val="21"/>
                      <w:lang w:eastAsia="zh-CN"/>
                    </w:rPr>
                  </w:pPr>
                </w:p>
              </w:tc>
              <w:tc>
                <w:tcPr>
                  <w:tcW w:w="3793" w:type="pct"/>
                  <w:tcBorders>
                    <w:tl2br w:val="nil"/>
                    <w:tr2bl w:val="nil"/>
                  </w:tcBorders>
                  <w:noWrap w:val="0"/>
                  <w:vAlign w:val="center"/>
                </w:tcPr>
                <w:p w14:paraId="2149EA17">
                  <w:pPr>
                    <w:pStyle w:val="28"/>
                    <w:bidi w:val="0"/>
                    <w:rPr>
                      <w:rFonts w:hint="default" w:ascii="Times New Roman" w:hAnsi="Times New Roman" w:eastAsia="宋体"/>
                      <w:color w:val="auto"/>
                      <w:sz w:val="21"/>
                      <w:szCs w:val="21"/>
                      <w:lang w:val="en-US" w:eastAsia="zh-CN"/>
                    </w:rPr>
                  </w:pPr>
                </w:p>
              </w:tc>
            </w:tr>
            <w:tr w14:paraId="506132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90" w:hRule="atLeast"/>
                <w:jc w:val="center"/>
              </w:trPr>
              <w:tc>
                <w:tcPr>
                  <w:tcW w:w="626" w:type="pct"/>
                  <w:vMerge w:val="continue"/>
                  <w:tcBorders>
                    <w:tl2br w:val="nil"/>
                    <w:tr2bl w:val="nil"/>
                  </w:tcBorders>
                  <w:noWrap w:val="0"/>
                  <w:vAlign w:val="center"/>
                </w:tcPr>
                <w:p w14:paraId="72ABC54B">
                  <w:pPr>
                    <w:pStyle w:val="28"/>
                    <w:bidi w:val="0"/>
                    <w:rPr>
                      <w:rFonts w:ascii="Times New Roman" w:hAnsi="Times New Roman" w:eastAsia="宋体"/>
                      <w:color w:val="auto"/>
                      <w:sz w:val="21"/>
                      <w:szCs w:val="21"/>
                    </w:rPr>
                  </w:pPr>
                </w:p>
              </w:tc>
              <w:tc>
                <w:tcPr>
                  <w:tcW w:w="579" w:type="pct"/>
                  <w:vMerge w:val="restart"/>
                  <w:tcBorders>
                    <w:tl2br w:val="nil"/>
                    <w:tr2bl w:val="nil"/>
                  </w:tcBorders>
                  <w:noWrap w:val="0"/>
                  <w:vAlign w:val="center"/>
                </w:tcPr>
                <w:p w14:paraId="2C24F46E">
                  <w:pPr>
                    <w:pStyle w:val="28"/>
                    <w:bidi w:val="0"/>
                    <w:rPr>
                      <w:rFonts w:ascii="Times New Roman" w:hAnsi="Times New Roman" w:eastAsia="宋体"/>
                      <w:color w:val="auto"/>
                      <w:sz w:val="21"/>
                      <w:szCs w:val="21"/>
                    </w:rPr>
                  </w:pPr>
                </w:p>
              </w:tc>
              <w:tc>
                <w:tcPr>
                  <w:tcW w:w="3793" w:type="pct"/>
                  <w:tcBorders>
                    <w:tl2br w:val="nil"/>
                    <w:tr2bl w:val="nil"/>
                  </w:tcBorders>
                  <w:noWrap w:val="0"/>
                  <w:vAlign w:val="center"/>
                </w:tcPr>
                <w:p w14:paraId="34F20E3E">
                  <w:pPr>
                    <w:pStyle w:val="28"/>
                    <w:bidi w:val="0"/>
                    <w:rPr>
                      <w:rFonts w:hint="eastAsia" w:ascii="Times New Roman" w:hAnsi="Times New Roman" w:eastAsia="宋体"/>
                      <w:color w:val="auto"/>
                      <w:sz w:val="21"/>
                      <w:szCs w:val="21"/>
                      <w:lang w:eastAsia="zh-CN"/>
                    </w:rPr>
                  </w:pPr>
                </w:p>
              </w:tc>
            </w:tr>
            <w:tr w14:paraId="4EDCA7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626" w:type="pct"/>
                  <w:vMerge w:val="continue"/>
                  <w:tcBorders>
                    <w:tl2br w:val="nil"/>
                    <w:tr2bl w:val="nil"/>
                  </w:tcBorders>
                  <w:noWrap w:val="0"/>
                  <w:vAlign w:val="center"/>
                </w:tcPr>
                <w:p w14:paraId="20B1AFFB">
                  <w:pPr>
                    <w:pStyle w:val="28"/>
                    <w:bidi w:val="0"/>
                    <w:rPr>
                      <w:rFonts w:ascii="Times New Roman" w:hAnsi="Times New Roman" w:eastAsia="宋体"/>
                      <w:color w:val="auto"/>
                      <w:sz w:val="21"/>
                      <w:szCs w:val="21"/>
                    </w:rPr>
                  </w:pPr>
                </w:p>
              </w:tc>
              <w:tc>
                <w:tcPr>
                  <w:tcW w:w="579" w:type="pct"/>
                  <w:vMerge w:val="continue"/>
                  <w:tcBorders>
                    <w:tl2br w:val="nil"/>
                    <w:tr2bl w:val="nil"/>
                  </w:tcBorders>
                  <w:noWrap w:val="0"/>
                  <w:vAlign w:val="center"/>
                </w:tcPr>
                <w:p w14:paraId="19593C35">
                  <w:pPr>
                    <w:pStyle w:val="28"/>
                    <w:bidi w:val="0"/>
                    <w:rPr>
                      <w:rFonts w:ascii="Times New Roman" w:hAnsi="Times New Roman" w:eastAsia="宋体"/>
                      <w:color w:val="auto"/>
                      <w:sz w:val="21"/>
                      <w:szCs w:val="21"/>
                    </w:rPr>
                  </w:pPr>
                </w:p>
              </w:tc>
              <w:tc>
                <w:tcPr>
                  <w:tcW w:w="3793" w:type="pct"/>
                  <w:tcBorders>
                    <w:tl2br w:val="nil"/>
                    <w:tr2bl w:val="nil"/>
                  </w:tcBorders>
                  <w:noWrap w:val="0"/>
                  <w:vAlign w:val="center"/>
                </w:tcPr>
                <w:p w14:paraId="4A73638E">
                  <w:pPr>
                    <w:pStyle w:val="28"/>
                    <w:bidi w:val="0"/>
                    <w:rPr>
                      <w:rFonts w:hint="eastAsia" w:ascii="Times New Roman" w:hAnsi="Times New Roman" w:eastAsia="宋体"/>
                      <w:color w:val="auto"/>
                      <w:sz w:val="21"/>
                      <w:szCs w:val="21"/>
                      <w:lang w:eastAsia="zh-CN"/>
                    </w:rPr>
                  </w:pPr>
                </w:p>
              </w:tc>
            </w:tr>
            <w:tr w14:paraId="47FD5E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6" w:type="pct"/>
                  <w:vMerge w:val="continue"/>
                  <w:tcBorders>
                    <w:tl2br w:val="nil"/>
                    <w:tr2bl w:val="nil"/>
                  </w:tcBorders>
                  <w:noWrap w:val="0"/>
                  <w:vAlign w:val="center"/>
                </w:tcPr>
                <w:p w14:paraId="0116C3B8">
                  <w:pPr>
                    <w:pStyle w:val="28"/>
                    <w:bidi w:val="0"/>
                    <w:rPr>
                      <w:rFonts w:ascii="Times New Roman" w:hAnsi="Times New Roman" w:eastAsia="宋体"/>
                      <w:color w:val="auto"/>
                      <w:sz w:val="21"/>
                      <w:szCs w:val="21"/>
                    </w:rPr>
                  </w:pPr>
                </w:p>
              </w:tc>
              <w:tc>
                <w:tcPr>
                  <w:tcW w:w="579" w:type="pct"/>
                  <w:tcBorders>
                    <w:tl2br w:val="nil"/>
                    <w:tr2bl w:val="nil"/>
                  </w:tcBorders>
                  <w:noWrap w:val="0"/>
                  <w:vAlign w:val="center"/>
                </w:tcPr>
                <w:p w14:paraId="54C85C32">
                  <w:pPr>
                    <w:pStyle w:val="28"/>
                    <w:bidi w:val="0"/>
                    <w:rPr>
                      <w:rFonts w:ascii="Times New Roman" w:hAnsi="Times New Roman" w:eastAsia="宋体"/>
                      <w:color w:val="auto"/>
                      <w:sz w:val="21"/>
                      <w:szCs w:val="21"/>
                    </w:rPr>
                  </w:pPr>
                </w:p>
              </w:tc>
              <w:tc>
                <w:tcPr>
                  <w:tcW w:w="3793" w:type="pct"/>
                  <w:tcBorders>
                    <w:tl2br w:val="nil"/>
                    <w:tr2bl w:val="nil"/>
                  </w:tcBorders>
                  <w:noWrap w:val="0"/>
                  <w:vAlign w:val="center"/>
                </w:tcPr>
                <w:p w14:paraId="526DC37B">
                  <w:pPr>
                    <w:pStyle w:val="28"/>
                    <w:bidi w:val="0"/>
                    <w:rPr>
                      <w:rFonts w:hint="eastAsia" w:ascii="Times New Roman" w:hAnsi="Times New Roman" w:eastAsia="宋体"/>
                      <w:color w:val="auto"/>
                      <w:sz w:val="21"/>
                      <w:szCs w:val="21"/>
                      <w:lang w:eastAsia="zh-CN"/>
                    </w:rPr>
                  </w:pPr>
                </w:p>
              </w:tc>
            </w:tr>
          </w:tbl>
          <w:p w14:paraId="1283C4DC">
            <w:pPr>
              <w:pStyle w:val="4"/>
              <w:bidi w:val="0"/>
              <w:rPr>
                <w:rFonts w:hint="eastAsia"/>
                <w:color w:val="auto"/>
                <w:lang w:val="en-US" w:eastAsia="zh-CN"/>
              </w:rPr>
            </w:pPr>
            <w:bookmarkStart w:id="25" w:name="_Toc4489"/>
            <w:r>
              <w:rPr>
                <w:rFonts w:hint="eastAsia"/>
                <w:color w:val="auto"/>
                <w:lang w:val="en-US" w:eastAsia="zh-CN"/>
              </w:rPr>
              <w:t>2.1.5项目主要生产设备</w:t>
            </w:r>
            <w:bookmarkEnd w:id="25"/>
          </w:p>
          <w:p w14:paraId="0CA7184E">
            <w:pPr>
              <w:pStyle w:val="24"/>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firstLine="482" w:firstLineChars="200"/>
              <w:jc w:val="both"/>
              <w:textAlignment w:val="auto"/>
              <w:rPr>
                <w:rFonts w:hint="default"/>
                <w:color w:val="auto"/>
                <w:lang w:val="en-US" w:eastAsia="zh-CN"/>
              </w:rPr>
            </w:pPr>
            <w:r>
              <w:rPr>
                <w:rFonts w:hint="eastAsia"/>
                <w:color w:val="auto"/>
                <w:lang w:val="en-US" w:eastAsia="zh-CN"/>
              </w:rPr>
              <w:t>项目主要生产设备清单详见表2.1-4。</w:t>
            </w:r>
          </w:p>
          <w:p w14:paraId="2D6F4519">
            <w:pPr>
              <w:pStyle w:val="24"/>
              <w:bidi w:val="0"/>
              <w:rPr>
                <w:rFonts w:hint="default"/>
                <w:color w:val="auto"/>
                <w:lang w:val="en-US" w:eastAsia="zh-CN"/>
              </w:rPr>
            </w:pPr>
            <w:r>
              <w:rPr>
                <w:rFonts w:hint="eastAsia"/>
                <w:color w:val="auto"/>
                <w:lang w:val="en-US" w:eastAsia="zh-CN"/>
              </w:rPr>
              <w:t>表2.1-4  项目主要设备一览表</w:t>
            </w:r>
            <w:r>
              <w:rPr>
                <w:rFonts w:hint="eastAsia" w:cs="Times New Roman"/>
                <w:b/>
                <w:color w:val="auto"/>
                <w:kern w:val="0"/>
                <w:sz w:val="24"/>
                <w:szCs w:val="20"/>
                <w:lang w:val="en-US" w:eastAsia="zh-CN" w:bidi="ar-SA"/>
              </w:rPr>
              <w:t>（涉密）</w:t>
            </w:r>
          </w:p>
          <w:tbl>
            <w:tblPr>
              <w:tblStyle w:val="1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77"/>
              <w:gridCol w:w="1568"/>
              <w:gridCol w:w="1085"/>
              <w:gridCol w:w="3300"/>
              <w:gridCol w:w="1290"/>
            </w:tblGrid>
            <w:tr w14:paraId="510172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699" w:type="pct"/>
                  <w:tcBorders>
                    <w:tl2br w:val="nil"/>
                    <w:tr2bl w:val="nil"/>
                  </w:tcBorders>
                  <w:noWrap w:val="0"/>
                  <w:vAlign w:val="center"/>
                </w:tcPr>
                <w:p w14:paraId="63DBA0A6">
                  <w:pPr>
                    <w:pStyle w:val="28"/>
                    <w:keepNext w:val="0"/>
                    <w:keepLines w:val="0"/>
                    <w:pageBreakBefore w:val="0"/>
                    <w:widowControl w:val="0"/>
                    <w:kinsoku/>
                    <w:wordWrap/>
                    <w:overflowPunct/>
                    <w:topLinePunct w:val="0"/>
                    <w:autoSpaceDE/>
                    <w:autoSpaceDN/>
                    <w:bidi w:val="0"/>
                    <w:spacing w:before="0" w:beforeLines="0" w:after="0" w:afterLines="0" w:line="240" w:lineRule="auto"/>
                    <w:jc w:val="center"/>
                    <w:textAlignment w:val="auto"/>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序号</w:t>
                  </w:r>
                </w:p>
              </w:tc>
              <w:tc>
                <w:tcPr>
                  <w:tcW w:w="931" w:type="pct"/>
                  <w:tcBorders>
                    <w:tl2br w:val="nil"/>
                    <w:tr2bl w:val="nil"/>
                  </w:tcBorders>
                  <w:noWrap w:val="0"/>
                  <w:vAlign w:val="center"/>
                </w:tcPr>
                <w:p w14:paraId="5E968550">
                  <w:pPr>
                    <w:pStyle w:val="28"/>
                    <w:keepNext w:val="0"/>
                    <w:keepLines w:val="0"/>
                    <w:pageBreakBefore w:val="0"/>
                    <w:widowControl w:val="0"/>
                    <w:kinsoku/>
                    <w:wordWrap/>
                    <w:overflowPunct/>
                    <w:topLinePunct w:val="0"/>
                    <w:autoSpaceDE/>
                    <w:autoSpaceDN/>
                    <w:bidi w:val="0"/>
                    <w:spacing w:before="0" w:beforeLines="0" w:after="0" w:afterLines="0" w:line="240" w:lineRule="auto"/>
                    <w:jc w:val="center"/>
                    <w:textAlignment w:val="auto"/>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设备名称</w:t>
                  </w:r>
                </w:p>
              </w:tc>
              <w:tc>
                <w:tcPr>
                  <w:tcW w:w="644" w:type="pct"/>
                  <w:tcBorders>
                    <w:tl2br w:val="nil"/>
                    <w:tr2bl w:val="nil"/>
                  </w:tcBorders>
                  <w:noWrap w:val="0"/>
                  <w:vAlign w:val="center"/>
                </w:tcPr>
                <w:p w14:paraId="6B0D59A6">
                  <w:pPr>
                    <w:pStyle w:val="28"/>
                    <w:keepNext w:val="0"/>
                    <w:keepLines w:val="0"/>
                    <w:pageBreakBefore w:val="0"/>
                    <w:widowControl w:val="0"/>
                    <w:kinsoku/>
                    <w:wordWrap/>
                    <w:overflowPunct/>
                    <w:topLinePunct w:val="0"/>
                    <w:autoSpaceDE/>
                    <w:autoSpaceDN/>
                    <w:bidi w:val="0"/>
                    <w:spacing w:before="0" w:beforeLines="0" w:after="0" w:afterLines="0" w:line="240" w:lineRule="auto"/>
                    <w:jc w:val="center"/>
                    <w:textAlignment w:val="auto"/>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设备数量</w:t>
                  </w:r>
                </w:p>
              </w:tc>
              <w:tc>
                <w:tcPr>
                  <w:tcW w:w="1959" w:type="pct"/>
                  <w:tcBorders>
                    <w:tl2br w:val="nil"/>
                    <w:tr2bl w:val="nil"/>
                  </w:tcBorders>
                  <w:noWrap w:val="0"/>
                  <w:vAlign w:val="center"/>
                </w:tcPr>
                <w:p w14:paraId="17AE6A18">
                  <w:pPr>
                    <w:pStyle w:val="28"/>
                    <w:keepNext w:val="0"/>
                    <w:keepLines w:val="0"/>
                    <w:pageBreakBefore w:val="0"/>
                    <w:widowControl w:val="0"/>
                    <w:kinsoku/>
                    <w:wordWrap/>
                    <w:overflowPunct/>
                    <w:topLinePunct w:val="0"/>
                    <w:autoSpaceDE/>
                    <w:autoSpaceDN/>
                    <w:bidi w:val="0"/>
                    <w:spacing w:before="0" w:beforeLines="0" w:after="0" w:afterLines="0" w:line="240" w:lineRule="auto"/>
                    <w:jc w:val="center"/>
                    <w:textAlignment w:val="auto"/>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备注</w:t>
                  </w:r>
                </w:p>
              </w:tc>
              <w:tc>
                <w:tcPr>
                  <w:tcW w:w="766" w:type="pct"/>
                  <w:tcBorders>
                    <w:tl2br w:val="nil"/>
                    <w:tr2bl w:val="nil"/>
                  </w:tcBorders>
                  <w:noWrap w:val="0"/>
                  <w:vAlign w:val="center"/>
                </w:tcPr>
                <w:p w14:paraId="262C564B">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b/>
                      <w:bCs/>
                      <w:color w:val="auto"/>
                      <w:sz w:val="21"/>
                      <w:szCs w:val="21"/>
                      <w:lang w:val="en-US" w:eastAsia="zh-CN"/>
                    </w:rPr>
                  </w:pPr>
                  <w:r>
                    <w:rPr>
                      <w:rFonts w:ascii="Times New Roman" w:hAnsi="Times New Roman" w:eastAsia="宋体"/>
                      <w:b/>
                      <w:color w:val="auto"/>
                      <w:sz w:val="21"/>
                      <w:szCs w:val="21"/>
                    </w:rPr>
                    <w:t>所用工段</w:t>
                  </w:r>
                </w:p>
              </w:tc>
            </w:tr>
            <w:tr w14:paraId="44ECB8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99" w:type="pct"/>
                  <w:tcBorders>
                    <w:tl2br w:val="nil"/>
                    <w:tr2bl w:val="nil"/>
                  </w:tcBorders>
                  <w:noWrap w:val="0"/>
                  <w:vAlign w:val="center"/>
                </w:tcPr>
                <w:p w14:paraId="7768E1DE">
                  <w:pPr>
                    <w:pStyle w:val="28"/>
                    <w:keepNext w:val="0"/>
                    <w:keepLines w:val="0"/>
                    <w:pageBreakBefore w:val="0"/>
                    <w:widowControl w:val="0"/>
                    <w:kinsoku/>
                    <w:wordWrap/>
                    <w:overflowPunct/>
                    <w:topLinePunct w:val="0"/>
                    <w:autoSpaceDE/>
                    <w:autoSpaceDN/>
                    <w:bidi w:val="0"/>
                    <w:spacing w:before="0" w:beforeLines="0" w:after="0" w:afterLines="0" w:line="240" w:lineRule="auto"/>
                    <w:jc w:val="center"/>
                    <w:textAlignment w:val="auto"/>
                    <w:rPr>
                      <w:rFonts w:hint="default" w:ascii="Times New Roman" w:hAnsi="Times New Roman" w:eastAsia="宋体"/>
                      <w:color w:val="auto"/>
                      <w:sz w:val="21"/>
                      <w:szCs w:val="21"/>
                      <w:lang w:val="en-US" w:eastAsia="zh-CN"/>
                    </w:rPr>
                  </w:pPr>
                </w:p>
              </w:tc>
              <w:tc>
                <w:tcPr>
                  <w:tcW w:w="931" w:type="pct"/>
                  <w:tcBorders>
                    <w:tl2br w:val="nil"/>
                    <w:tr2bl w:val="nil"/>
                  </w:tcBorders>
                  <w:noWrap w:val="0"/>
                  <w:vAlign w:val="center"/>
                </w:tcPr>
                <w:p w14:paraId="0C6C385A">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olor w:val="auto"/>
                      <w:sz w:val="21"/>
                      <w:szCs w:val="21"/>
                      <w:lang w:val="en-US" w:eastAsia="zh-CN"/>
                    </w:rPr>
                  </w:pPr>
                </w:p>
              </w:tc>
              <w:tc>
                <w:tcPr>
                  <w:tcW w:w="644" w:type="pct"/>
                  <w:tcBorders>
                    <w:tl2br w:val="nil"/>
                    <w:tr2bl w:val="nil"/>
                  </w:tcBorders>
                  <w:noWrap w:val="0"/>
                  <w:vAlign w:val="center"/>
                </w:tcPr>
                <w:p w14:paraId="792DC809">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olor w:val="auto"/>
                      <w:sz w:val="21"/>
                      <w:szCs w:val="21"/>
                      <w:lang w:val="en-US" w:eastAsia="zh-CN"/>
                    </w:rPr>
                  </w:pPr>
                </w:p>
              </w:tc>
              <w:tc>
                <w:tcPr>
                  <w:tcW w:w="1959" w:type="pct"/>
                  <w:tcBorders>
                    <w:tl2br w:val="nil"/>
                    <w:tr2bl w:val="nil"/>
                  </w:tcBorders>
                  <w:noWrap w:val="0"/>
                  <w:vAlign w:val="center"/>
                </w:tcPr>
                <w:p w14:paraId="1DC0BB67">
                  <w:pPr>
                    <w:keepNext w:val="0"/>
                    <w:keepLines w:val="0"/>
                    <w:pageBreakBefore w:val="0"/>
                    <w:widowControl w:val="0"/>
                    <w:kinsoku/>
                    <w:wordWrap/>
                    <w:overflowPunct/>
                    <w:topLinePunct w:val="0"/>
                    <w:autoSpaceDE/>
                    <w:autoSpaceDN/>
                    <w:bidi w:val="0"/>
                    <w:spacing w:line="240" w:lineRule="auto"/>
                    <w:ind w:left="0" w:leftChars="0"/>
                    <w:jc w:val="center"/>
                    <w:textAlignment w:val="auto"/>
                    <w:rPr>
                      <w:rFonts w:hint="default" w:ascii="Times New Roman" w:hAnsi="Times New Roman" w:eastAsia="宋体"/>
                      <w:color w:val="auto"/>
                      <w:sz w:val="21"/>
                      <w:szCs w:val="21"/>
                      <w:lang w:val="en-US" w:eastAsia="zh-CN"/>
                    </w:rPr>
                  </w:pPr>
                </w:p>
              </w:tc>
              <w:tc>
                <w:tcPr>
                  <w:tcW w:w="766" w:type="pct"/>
                  <w:tcBorders>
                    <w:tl2br w:val="nil"/>
                    <w:tr2bl w:val="nil"/>
                  </w:tcBorders>
                  <w:noWrap w:val="0"/>
                  <w:vAlign w:val="center"/>
                </w:tcPr>
                <w:p w14:paraId="72B1D615">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olor w:val="auto"/>
                      <w:sz w:val="21"/>
                      <w:szCs w:val="21"/>
                      <w:lang w:val="en-US" w:eastAsia="zh-CN"/>
                    </w:rPr>
                  </w:pPr>
                </w:p>
              </w:tc>
            </w:tr>
            <w:tr w14:paraId="25D66D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99" w:type="pct"/>
                  <w:tcBorders>
                    <w:tl2br w:val="nil"/>
                    <w:tr2bl w:val="nil"/>
                  </w:tcBorders>
                  <w:noWrap w:val="0"/>
                  <w:vAlign w:val="center"/>
                </w:tcPr>
                <w:p w14:paraId="2AAC6B0A">
                  <w:pPr>
                    <w:pStyle w:val="28"/>
                    <w:keepNext w:val="0"/>
                    <w:keepLines w:val="0"/>
                    <w:pageBreakBefore w:val="0"/>
                    <w:widowControl w:val="0"/>
                    <w:kinsoku/>
                    <w:wordWrap/>
                    <w:overflowPunct/>
                    <w:topLinePunct w:val="0"/>
                    <w:autoSpaceDE/>
                    <w:autoSpaceDN/>
                    <w:bidi w:val="0"/>
                    <w:spacing w:before="0" w:beforeLines="0" w:after="0" w:afterLines="0" w:line="240" w:lineRule="auto"/>
                    <w:jc w:val="center"/>
                    <w:textAlignment w:val="auto"/>
                    <w:rPr>
                      <w:rFonts w:hint="default" w:ascii="Times New Roman" w:hAnsi="Times New Roman" w:eastAsia="宋体"/>
                      <w:color w:val="auto"/>
                      <w:sz w:val="21"/>
                      <w:szCs w:val="21"/>
                      <w:lang w:val="en-US" w:eastAsia="zh-CN"/>
                    </w:rPr>
                  </w:pPr>
                </w:p>
              </w:tc>
              <w:tc>
                <w:tcPr>
                  <w:tcW w:w="931" w:type="pct"/>
                  <w:tcBorders>
                    <w:tl2br w:val="nil"/>
                    <w:tr2bl w:val="nil"/>
                  </w:tcBorders>
                  <w:noWrap w:val="0"/>
                  <w:vAlign w:val="center"/>
                </w:tcPr>
                <w:p w14:paraId="400AB16B">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olor w:val="auto"/>
                      <w:sz w:val="21"/>
                      <w:szCs w:val="21"/>
                      <w:lang w:val="en-US" w:eastAsia="zh-CN"/>
                    </w:rPr>
                  </w:pPr>
                </w:p>
              </w:tc>
              <w:tc>
                <w:tcPr>
                  <w:tcW w:w="644" w:type="pct"/>
                  <w:tcBorders>
                    <w:tl2br w:val="nil"/>
                    <w:tr2bl w:val="nil"/>
                  </w:tcBorders>
                  <w:noWrap w:val="0"/>
                  <w:vAlign w:val="center"/>
                </w:tcPr>
                <w:p w14:paraId="5F1D628F">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olor w:val="auto"/>
                      <w:sz w:val="21"/>
                      <w:szCs w:val="21"/>
                      <w:lang w:val="en-US" w:eastAsia="zh-CN"/>
                    </w:rPr>
                  </w:pPr>
                </w:p>
              </w:tc>
              <w:tc>
                <w:tcPr>
                  <w:tcW w:w="1959" w:type="pct"/>
                  <w:tcBorders>
                    <w:tl2br w:val="nil"/>
                    <w:tr2bl w:val="nil"/>
                  </w:tcBorders>
                  <w:noWrap w:val="0"/>
                  <w:vAlign w:val="center"/>
                </w:tcPr>
                <w:p w14:paraId="6BE23C47">
                  <w:pPr>
                    <w:keepNext w:val="0"/>
                    <w:keepLines w:val="0"/>
                    <w:pageBreakBefore w:val="0"/>
                    <w:widowControl w:val="0"/>
                    <w:kinsoku/>
                    <w:wordWrap/>
                    <w:overflowPunct/>
                    <w:topLinePunct w:val="0"/>
                    <w:autoSpaceDE/>
                    <w:autoSpaceDN/>
                    <w:bidi w:val="0"/>
                    <w:spacing w:line="240" w:lineRule="auto"/>
                    <w:ind w:left="0" w:leftChars="0"/>
                    <w:jc w:val="center"/>
                    <w:textAlignment w:val="auto"/>
                    <w:rPr>
                      <w:rFonts w:hint="default" w:ascii="Times New Roman" w:hAnsi="Times New Roman" w:eastAsia="宋体"/>
                      <w:color w:val="auto"/>
                      <w:sz w:val="21"/>
                      <w:szCs w:val="21"/>
                      <w:lang w:val="en-US" w:eastAsia="zh-CN"/>
                    </w:rPr>
                  </w:pPr>
                </w:p>
              </w:tc>
              <w:tc>
                <w:tcPr>
                  <w:tcW w:w="766" w:type="pct"/>
                  <w:tcBorders>
                    <w:tl2br w:val="nil"/>
                    <w:tr2bl w:val="nil"/>
                  </w:tcBorders>
                  <w:noWrap w:val="0"/>
                  <w:vAlign w:val="center"/>
                </w:tcPr>
                <w:p w14:paraId="6D5CC4DC">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olor w:val="auto"/>
                      <w:sz w:val="21"/>
                      <w:szCs w:val="21"/>
                      <w:lang w:val="en-US" w:eastAsia="zh-CN"/>
                    </w:rPr>
                  </w:pPr>
                </w:p>
              </w:tc>
            </w:tr>
            <w:tr w14:paraId="6A5643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99" w:type="pct"/>
                  <w:tcBorders>
                    <w:tl2br w:val="nil"/>
                    <w:tr2bl w:val="nil"/>
                  </w:tcBorders>
                  <w:noWrap w:val="0"/>
                  <w:vAlign w:val="center"/>
                </w:tcPr>
                <w:p w14:paraId="5B49E1AB">
                  <w:pPr>
                    <w:pStyle w:val="28"/>
                    <w:keepNext w:val="0"/>
                    <w:keepLines w:val="0"/>
                    <w:pageBreakBefore w:val="0"/>
                    <w:widowControl w:val="0"/>
                    <w:kinsoku/>
                    <w:wordWrap/>
                    <w:overflowPunct/>
                    <w:topLinePunct w:val="0"/>
                    <w:autoSpaceDE/>
                    <w:autoSpaceDN/>
                    <w:bidi w:val="0"/>
                    <w:spacing w:before="0" w:beforeLines="0" w:after="0" w:afterLines="0" w:line="240" w:lineRule="auto"/>
                    <w:jc w:val="center"/>
                    <w:textAlignment w:val="auto"/>
                    <w:rPr>
                      <w:rFonts w:hint="default" w:ascii="Times New Roman" w:hAnsi="Times New Roman" w:eastAsia="宋体"/>
                      <w:color w:val="auto"/>
                      <w:sz w:val="21"/>
                      <w:szCs w:val="21"/>
                      <w:lang w:val="en-US" w:eastAsia="zh-CN"/>
                    </w:rPr>
                  </w:pPr>
                </w:p>
              </w:tc>
              <w:tc>
                <w:tcPr>
                  <w:tcW w:w="931" w:type="pct"/>
                  <w:tcBorders>
                    <w:tl2br w:val="nil"/>
                    <w:tr2bl w:val="nil"/>
                  </w:tcBorders>
                  <w:noWrap w:val="0"/>
                  <w:vAlign w:val="center"/>
                </w:tcPr>
                <w:p w14:paraId="72EF6E59">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olor w:val="auto"/>
                      <w:sz w:val="21"/>
                      <w:szCs w:val="21"/>
                      <w:lang w:val="en-US" w:eastAsia="zh-CN"/>
                    </w:rPr>
                  </w:pPr>
                </w:p>
              </w:tc>
              <w:tc>
                <w:tcPr>
                  <w:tcW w:w="644" w:type="pct"/>
                  <w:tcBorders>
                    <w:tl2br w:val="nil"/>
                    <w:tr2bl w:val="nil"/>
                  </w:tcBorders>
                  <w:noWrap w:val="0"/>
                  <w:vAlign w:val="center"/>
                </w:tcPr>
                <w:p w14:paraId="3F1F285D">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olor w:val="auto"/>
                      <w:sz w:val="21"/>
                      <w:szCs w:val="21"/>
                      <w:lang w:val="en-US" w:eastAsia="zh-CN"/>
                    </w:rPr>
                  </w:pPr>
                </w:p>
              </w:tc>
              <w:tc>
                <w:tcPr>
                  <w:tcW w:w="1959" w:type="pct"/>
                  <w:tcBorders>
                    <w:tl2br w:val="nil"/>
                    <w:tr2bl w:val="nil"/>
                  </w:tcBorders>
                  <w:noWrap w:val="0"/>
                  <w:vAlign w:val="center"/>
                </w:tcPr>
                <w:p w14:paraId="62B970D8">
                  <w:pPr>
                    <w:keepNext w:val="0"/>
                    <w:keepLines w:val="0"/>
                    <w:pageBreakBefore w:val="0"/>
                    <w:widowControl w:val="0"/>
                    <w:kinsoku/>
                    <w:wordWrap/>
                    <w:overflowPunct/>
                    <w:topLinePunct w:val="0"/>
                    <w:autoSpaceDE/>
                    <w:autoSpaceDN/>
                    <w:bidi w:val="0"/>
                    <w:spacing w:line="240" w:lineRule="auto"/>
                    <w:ind w:left="0" w:leftChars="0"/>
                    <w:jc w:val="center"/>
                    <w:textAlignment w:val="auto"/>
                    <w:rPr>
                      <w:rFonts w:ascii="Times New Roman" w:hAnsi="Times New Roman" w:eastAsia="宋体"/>
                      <w:color w:val="auto"/>
                      <w:sz w:val="21"/>
                      <w:szCs w:val="21"/>
                    </w:rPr>
                  </w:pPr>
                </w:p>
              </w:tc>
              <w:tc>
                <w:tcPr>
                  <w:tcW w:w="766" w:type="pct"/>
                  <w:tcBorders>
                    <w:tl2br w:val="nil"/>
                    <w:tr2bl w:val="nil"/>
                  </w:tcBorders>
                  <w:noWrap w:val="0"/>
                  <w:vAlign w:val="center"/>
                </w:tcPr>
                <w:p w14:paraId="70B91115">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宋体"/>
                      <w:color w:val="auto"/>
                      <w:sz w:val="21"/>
                      <w:szCs w:val="21"/>
                    </w:rPr>
                  </w:pPr>
                </w:p>
              </w:tc>
            </w:tr>
            <w:tr w14:paraId="1190E4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99" w:type="pct"/>
                  <w:tcBorders>
                    <w:tl2br w:val="nil"/>
                    <w:tr2bl w:val="nil"/>
                  </w:tcBorders>
                  <w:noWrap w:val="0"/>
                  <w:vAlign w:val="center"/>
                </w:tcPr>
                <w:p w14:paraId="41B04B9A">
                  <w:pPr>
                    <w:pStyle w:val="28"/>
                    <w:keepNext w:val="0"/>
                    <w:keepLines w:val="0"/>
                    <w:pageBreakBefore w:val="0"/>
                    <w:widowControl w:val="0"/>
                    <w:kinsoku/>
                    <w:wordWrap/>
                    <w:overflowPunct/>
                    <w:topLinePunct w:val="0"/>
                    <w:autoSpaceDE/>
                    <w:autoSpaceDN/>
                    <w:bidi w:val="0"/>
                    <w:spacing w:before="0" w:beforeLines="0" w:after="0" w:afterLines="0" w:line="240" w:lineRule="auto"/>
                    <w:jc w:val="center"/>
                    <w:textAlignment w:val="auto"/>
                    <w:rPr>
                      <w:rFonts w:hint="default" w:ascii="Times New Roman" w:hAnsi="Times New Roman" w:eastAsia="宋体"/>
                      <w:color w:val="auto"/>
                      <w:sz w:val="21"/>
                      <w:szCs w:val="21"/>
                      <w:lang w:val="en-US" w:eastAsia="zh-CN"/>
                    </w:rPr>
                  </w:pPr>
                </w:p>
              </w:tc>
              <w:tc>
                <w:tcPr>
                  <w:tcW w:w="931" w:type="pct"/>
                  <w:tcBorders>
                    <w:tl2br w:val="nil"/>
                    <w:tr2bl w:val="nil"/>
                  </w:tcBorders>
                  <w:noWrap w:val="0"/>
                  <w:vAlign w:val="center"/>
                </w:tcPr>
                <w:p w14:paraId="536DB48C">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olor w:val="auto"/>
                      <w:sz w:val="21"/>
                      <w:szCs w:val="21"/>
                      <w:lang w:val="en-US" w:eastAsia="zh-CN"/>
                    </w:rPr>
                  </w:pPr>
                </w:p>
              </w:tc>
              <w:tc>
                <w:tcPr>
                  <w:tcW w:w="644" w:type="pct"/>
                  <w:tcBorders>
                    <w:tl2br w:val="nil"/>
                    <w:tr2bl w:val="nil"/>
                  </w:tcBorders>
                  <w:noWrap w:val="0"/>
                  <w:vAlign w:val="center"/>
                </w:tcPr>
                <w:p w14:paraId="15CE5CC4">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olor w:val="auto"/>
                      <w:sz w:val="21"/>
                      <w:szCs w:val="21"/>
                      <w:lang w:val="en-US" w:eastAsia="zh-CN"/>
                    </w:rPr>
                  </w:pPr>
                </w:p>
              </w:tc>
              <w:tc>
                <w:tcPr>
                  <w:tcW w:w="1959" w:type="pct"/>
                  <w:tcBorders>
                    <w:tl2br w:val="nil"/>
                    <w:tr2bl w:val="nil"/>
                  </w:tcBorders>
                  <w:noWrap w:val="0"/>
                  <w:vAlign w:val="center"/>
                </w:tcPr>
                <w:p w14:paraId="155D9C6C">
                  <w:pPr>
                    <w:keepNext w:val="0"/>
                    <w:keepLines w:val="0"/>
                    <w:pageBreakBefore w:val="0"/>
                    <w:widowControl w:val="0"/>
                    <w:kinsoku/>
                    <w:wordWrap/>
                    <w:overflowPunct/>
                    <w:topLinePunct w:val="0"/>
                    <w:autoSpaceDE/>
                    <w:autoSpaceDN/>
                    <w:bidi w:val="0"/>
                    <w:spacing w:line="240" w:lineRule="auto"/>
                    <w:ind w:left="0" w:leftChars="0"/>
                    <w:jc w:val="center"/>
                    <w:textAlignment w:val="auto"/>
                    <w:rPr>
                      <w:rFonts w:ascii="Times New Roman" w:hAnsi="Times New Roman" w:eastAsia="宋体"/>
                      <w:color w:val="auto"/>
                      <w:sz w:val="21"/>
                      <w:szCs w:val="21"/>
                    </w:rPr>
                  </w:pPr>
                </w:p>
              </w:tc>
              <w:tc>
                <w:tcPr>
                  <w:tcW w:w="766" w:type="pct"/>
                  <w:tcBorders>
                    <w:tl2br w:val="nil"/>
                    <w:tr2bl w:val="nil"/>
                  </w:tcBorders>
                  <w:noWrap w:val="0"/>
                  <w:vAlign w:val="center"/>
                </w:tcPr>
                <w:p w14:paraId="77FDADD6">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olor w:val="auto"/>
                      <w:sz w:val="21"/>
                      <w:szCs w:val="21"/>
                      <w:lang w:val="en-US" w:eastAsia="zh-CN"/>
                    </w:rPr>
                  </w:pPr>
                </w:p>
              </w:tc>
            </w:tr>
            <w:tr w14:paraId="05DA62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99" w:type="pct"/>
                  <w:tcBorders>
                    <w:tl2br w:val="nil"/>
                    <w:tr2bl w:val="nil"/>
                  </w:tcBorders>
                  <w:noWrap w:val="0"/>
                  <w:vAlign w:val="center"/>
                </w:tcPr>
                <w:p w14:paraId="12EDBCD0">
                  <w:pPr>
                    <w:pStyle w:val="28"/>
                    <w:keepNext w:val="0"/>
                    <w:keepLines w:val="0"/>
                    <w:pageBreakBefore w:val="0"/>
                    <w:widowControl w:val="0"/>
                    <w:kinsoku/>
                    <w:wordWrap/>
                    <w:overflowPunct/>
                    <w:topLinePunct w:val="0"/>
                    <w:autoSpaceDE/>
                    <w:autoSpaceDN/>
                    <w:bidi w:val="0"/>
                    <w:spacing w:before="0" w:beforeLines="0" w:after="0" w:afterLines="0" w:line="240" w:lineRule="auto"/>
                    <w:jc w:val="center"/>
                    <w:textAlignment w:val="auto"/>
                    <w:rPr>
                      <w:rFonts w:hint="default" w:ascii="Times New Roman" w:hAnsi="Times New Roman" w:eastAsia="宋体"/>
                      <w:color w:val="auto"/>
                      <w:sz w:val="21"/>
                      <w:szCs w:val="21"/>
                      <w:lang w:val="en-US" w:eastAsia="zh-CN"/>
                    </w:rPr>
                  </w:pPr>
                </w:p>
              </w:tc>
              <w:tc>
                <w:tcPr>
                  <w:tcW w:w="931" w:type="pct"/>
                  <w:tcBorders>
                    <w:tl2br w:val="nil"/>
                    <w:tr2bl w:val="nil"/>
                  </w:tcBorders>
                  <w:noWrap w:val="0"/>
                  <w:vAlign w:val="center"/>
                </w:tcPr>
                <w:p w14:paraId="5AD90F22">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olor w:val="auto"/>
                      <w:sz w:val="21"/>
                      <w:szCs w:val="21"/>
                      <w:lang w:val="en-US" w:eastAsia="zh-CN"/>
                    </w:rPr>
                  </w:pPr>
                </w:p>
              </w:tc>
              <w:tc>
                <w:tcPr>
                  <w:tcW w:w="644" w:type="pct"/>
                  <w:tcBorders>
                    <w:tl2br w:val="nil"/>
                    <w:tr2bl w:val="nil"/>
                  </w:tcBorders>
                  <w:noWrap w:val="0"/>
                  <w:vAlign w:val="center"/>
                </w:tcPr>
                <w:p w14:paraId="379B7365">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lang w:val="en-US" w:eastAsia="zh-CN"/>
                    </w:rPr>
                  </w:pPr>
                </w:p>
              </w:tc>
              <w:tc>
                <w:tcPr>
                  <w:tcW w:w="1959" w:type="pct"/>
                  <w:tcBorders>
                    <w:tl2br w:val="nil"/>
                    <w:tr2bl w:val="nil"/>
                  </w:tcBorders>
                  <w:noWrap w:val="0"/>
                  <w:vAlign w:val="center"/>
                </w:tcPr>
                <w:p w14:paraId="11A9D706">
                  <w:pPr>
                    <w:keepNext w:val="0"/>
                    <w:keepLines w:val="0"/>
                    <w:pageBreakBefore w:val="0"/>
                    <w:widowControl w:val="0"/>
                    <w:kinsoku/>
                    <w:wordWrap/>
                    <w:overflowPunct/>
                    <w:topLinePunct w:val="0"/>
                    <w:autoSpaceDE/>
                    <w:autoSpaceDN/>
                    <w:bidi w:val="0"/>
                    <w:spacing w:line="240" w:lineRule="auto"/>
                    <w:ind w:left="0" w:leftChars="0"/>
                    <w:jc w:val="center"/>
                    <w:textAlignment w:val="auto"/>
                    <w:rPr>
                      <w:rFonts w:ascii="Times New Roman" w:hAnsi="Times New Roman" w:eastAsia="宋体"/>
                      <w:color w:val="auto"/>
                      <w:sz w:val="21"/>
                      <w:szCs w:val="21"/>
                    </w:rPr>
                  </w:pPr>
                </w:p>
              </w:tc>
              <w:tc>
                <w:tcPr>
                  <w:tcW w:w="766" w:type="pct"/>
                  <w:tcBorders>
                    <w:tl2br w:val="nil"/>
                    <w:tr2bl w:val="nil"/>
                  </w:tcBorders>
                  <w:noWrap w:val="0"/>
                  <w:vAlign w:val="center"/>
                </w:tcPr>
                <w:p w14:paraId="530FE9DC">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olor w:val="auto"/>
                      <w:sz w:val="21"/>
                      <w:szCs w:val="21"/>
                      <w:lang w:val="en-US" w:eastAsia="zh-CN"/>
                    </w:rPr>
                  </w:pPr>
                </w:p>
              </w:tc>
            </w:tr>
            <w:tr w14:paraId="769D39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99" w:type="pct"/>
                  <w:tcBorders>
                    <w:tl2br w:val="nil"/>
                    <w:tr2bl w:val="nil"/>
                  </w:tcBorders>
                  <w:noWrap w:val="0"/>
                  <w:vAlign w:val="center"/>
                </w:tcPr>
                <w:p w14:paraId="01662D6E">
                  <w:pPr>
                    <w:pStyle w:val="28"/>
                    <w:keepNext w:val="0"/>
                    <w:keepLines w:val="0"/>
                    <w:pageBreakBefore w:val="0"/>
                    <w:widowControl w:val="0"/>
                    <w:kinsoku/>
                    <w:wordWrap/>
                    <w:overflowPunct/>
                    <w:topLinePunct w:val="0"/>
                    <w:autoSpaceDE/>
                    <w:autoSpaceDN/>
                    <w:bidi w:val="0"/>
                    <w:spacing w:before="0" w:beforeLines="0" w:after="0" w:afterLines="0" w:line="240" w:lineRule="auto"/>
                    <w:jc w:val="center"/>
                    <w:textAlignment w:val="auto"/>
                    <w:rPr>
                      <w:rFonts w:hint="default" w:ascii="Times New Roman" w:hAnsi="Times New Roman" w:eastAsia="宋体"/>
                      <w:color w:val="auto"/>
                      <w:sz w:val="21"/>
                      <w:szCs w:val="21"/>
                      <w:lang w:val="en-US" w:eastAsia="zh-CN"/>
                    </w:rPr>
                  </w:pPr>
                </w:p>
              </w:tc>
              <w:tc>
                <w:tcPr>
                  <w:tcW w:w="931" w:type="pct"/>
                  <w:tcBorders>
                    <w:tl2br w:val="nil"/>
                    <w:tr2bl w:val="nil"/>
                  </w:tcBorders>
                  <w:noWrap w:val="0"/>
                  <w:vAlign w:val="center"/>
                </w:tcPr>
                <w:p w14:paraId="639ABFB5">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lang w:val="en-US" w:eastAsia="zh-CN"/>
                    </w:rPr>
                  </w:pPr>
                </w:p>
              </w:tc>
              <w:tc>
                <w:tcPr>
                  <w:tcW w:w="644" w:type="pct"/>
                  <w:tcBorders>
                    <w:tl2br w:val="nil"/>
                    <w:tr2bl w:val="nil"/>
                  </w:tcBorders>
                  <w:noWrap w:val="0"/>
                  <w:vAlign w:val="center"/>
                </w:tcPr>
                <w:p w14:paraId="1A5BE31D">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olor w:val="auto"/>
                      <w:sz w:val="21"/>
                      <w:szCs w:val="21"/>
                      <w:lang w:val="en-US" w:eastAsia="zh-CN"/>
                    </w:rPr>
                  </w:pPr>
                </w:p>
              </w:tc>
              <w:tc>
                <w:tcPr>
                  <w:tcW w:w="1959" w:type="pct"/>
                  <w:tcBorders>
                    <w:tl2br w:val="nil"/>
                    <w:tr2bl w:val="nil"/>
                  </w:tcBorders>
                  <w:noWrap w:val="0"/>
                  <w:vAlign w:val="center"/>
                </w:tcPr>
                <w:p w14:paraId="1AD3EB4B">
                  <w:pPr>
                    <w:keepNext w:val="0"/>
                    <w:keepLines w:val="0"/>
                    <w:pageBreakBefore w:val="0"/>
                    <w:widowControl w:val="0"/>
                    <w:kinsoku/>
                    <w:wordWrap/>
                    <w:overflowPunct/>
                    <w:topLinePunct w:val="0"/>
                    <w:autoSpaceDE/>
                    <w:autoSpaceDN/>
                    <w:bidi w:val="0"/>
                    <w:spacing w:line="240" w:lineRule="auto"/>
                    <w:ind w:left="0" w:leftChars="0"/>
                    <w:jc w:val="center"/>
                    <w:textAlignment w:val="auto"/>
                    <w:rPr>
                      <w:rFonts w:ascii="Times New Roman" w:hAnsi="Times New Roman" w:eastAsia="宋体"/>
                      <w:color w:val="auto"/>
                      <w:sz w:val="21"/>
                      <w:szCs w:val="21"/>
                    </w:rPr>
                  </w:pPr>
                </w:p>
              </w:tc>
              <w:tc>
                <w:tcPr>
                  <w:tcW w:w="766" w:type="pct"/>
                  <w:tcBorders>
                    <w:tl2br w:val="nil"/>
                    <w:tr2bl w:val="nil"/>
                  </w:tcBorders>
                  <w:noWrap w:val="0"/>
                  <w:vAlign w:val="center"/>
                </w:tcPr>
                <w:p w14:paraId="25F8BB44">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宋体"/>
                      <w:color w:val="auto"/>
                      <w:sz w:val="21"/>
                      <w:szCs w:val="21"/>
                    </w:rPr>
                  </w:pPr>
                </w:p>
              </w:tc>
            </w:tr>
            <w:tr w14:paraId="6B7D8A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99" w:type="pct"/>
                  <w:tcBorders>
                    <w:tl2br w:val="nil"/>
                    <w:tr2bl w:val="nil"/>
                  </w:tcBorders>
                  <w:noWrap w:val="0"/>
                  <w:vAlign w:val="center"/>
                </w:tcPr>
                <w:p w14:paraId="77BCAC9A">
                  <w:pPr>
                    <w:pStyle w:val="28"/>
                    <w:keepNext w:val="0"/>
                    <w:keepLines w:val="0"/>
                    <w:pageBreakBefore w:val="0"/>
                    <w:widowControl w:val="0"/>
                    <w:kinsoku/>
                    <w:wordWrap/>
                    <w:overflowPunct/>
                    <w:topLinePunct w:val="0"/>
                    <w:autoSpaceDE/>
                    <w:autoSpaceDN/>
                    <w:bidi w:val="0"/>
                    <w:spacing w:before="0" w:beforeLines="0" w:after="0" w:afterLines="0" w:line="240" w:lineRule="auto"/>
                    <w:jc w:val="center"/>
                    <w:textAlignment w:val="auto"/>
                    <w:rPr>
                      <w:rFonts w:hint="default" w:ascii="Times New Roman" w:hAnsi="Times New Roman" w:eastAsia="宋体"/>
                      <w:color w:val="auto"/>
                      <w:sz w:val="21"/>
                      <w:szCs w:val="21"/>
                      <w:lang w:val="en-US" w:eastAsia="zh-CN"/>
                    </w:rPr>
                  </w:pPr>
                </w:p>
              </w:tc>
              <w:tc>
                <w:tcPr>
                  <w:tcW w:w="931" w:type="pct"/>
                  <w:tcBorders>
                    <w:tl2br w:val="nil"/>
                    <w:tr2bl w:val="nil"/>
                  </w:tcBorders>
                  <w:noWrap w:val="0"/>
                  <w:vAlign w:val="center"/>
                </w:tcPr>
                <w:p w14:paraId="1DEC910A">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lang w:val="en-US" w:eastAsia="zh-CN"/>
                    </w:rPr>
                  </w:pPr>
                </w:p>
              </w:tc>
              <w:tc>
                <w:tcPr>
                  <w:tcW w:w="644" w:type="pct"/>
                  <w:tcBorders>
                    <w:tl2br w:val="nil"/>
                    <w:tr2bl w:val="nil"/>
                  </w:tcBorders>
                  <w:noWrap w:val="0"/>
                  <w:vAlign w:val="center"/>
                </w:tcPr>
                <w:p w14:paraId="45395846">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olor w:val="auto"/>
                      <w:sz w:val="21"/>
                      <w:szCs w:val="21"/>
                      <w:lang w:val="en-US" w:eastAsia="zh-CN"/>
                    </w:rPr>
                  </w:pPr>
                </w:p>
              </w:tc>
              <w:tc>
                <w:tcPr>
                  <w:tcW w:w="1959" w:type="pct"/>
                  <w:tcBorders>
                    <w:tl2br w:val="nil"/>
                    <w:tr2bl w:val="nil"/>
                  </w:tcBorders>
                  <w:noWrap w:val="0"/>
                  <w:vAlign w:val="center"/>
                </w:tcPr>
                <w:p w14:paraId="777145F2">
                  <w:pPr>
                    <w:keepNext w:val="0"/>
                    <w:keepLines w:val="0"/>
                    <w:pageBreakBefore w:val="0"/>
                    <w:widowControl w:val="0"/>
                    <w:kinsoku/>
                    <w:wordWrap/>
                    <w:overflowPunct/>
                    <w:topLinePunct w:val="0"/>
                    <w:autoSpaceDE/>
                    <w:autoSpaceDN/>
                    <w:bidi w:val="0"/>
                    <w:spacing w:line="240" w:lineRule="auto"/>
                    <w:ind w:left="0" w:leftChars="0"/>
                    <w:jc w:val="center"/>
                    <w:textAlignment w:val="auto"/>
                    <w:rPr>
                      <w:rFonts w:ascii="Times New Roman" w:hAnsi="Times New Roman" w:eastAsia="宋体"/>
                      <w:color w:val="auto"/>
                      <w:sz w:val="21"/>
                      <w:szCs w:val="21"/>
                    </w:rPr>
                  </w:pPr>
                </w:p>
              </w:tc>
              <w:tc>
                <w:tcPr>
                  <w:tcW w:w="766" w:type="pct"/>
                  <w:tcBorders>
                    <w:tl2br w:val="nil"/>
                    <w:tr2bl w:val="nil"/>
                  </w:tcBorders>
                  <w:noWrap w:val="0"/>
                  <w:vAlign w:val="center"/>
                </w:tcPr>
                <w:p w14:paraId="1ADA53B1">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宋体"/>
                      <w:color w:val="auto"/>
                      <w:sz w:val="21"/>
                      <w:szCs w:val="21"/>
                    </w:rPr>
                  </w:pPr>
                </w:p>
              </w:tc>
            </w:tr>
            <w:tr w14:paraId="3EE327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99" w:type="pct"/>
                  <w:tcBorders>
                    <w:tl2br w:val="nil"/>
                    <w:tr2bl w:val="nil"/>
                  </w:tcBorders>
                  <w:noWrap w:val="0"/>
                  <w:vAlign w:val="center"/>
                </w:tcPr>
                <w:p w14:paraId="1B60A6D5">
                  <w:pPr>
                    <w:pStyle w:val="28"/>
                    <w:keepNext w:val="0"/>
                    <w:keepLines w:val="0"/>
                    <w:pageBreakBefore w:val="0"/>
                    <w:widowControl w:val="0"/>
                    <w:kinsoku/>
                    <w:wordWrap/>
                    <w:overflowPunct/>
                    <w:topLinePunct w:val="0"/>
                    <w:autoSpaceDE/>
                    <w:autoSpaceDN/>
                    <w:bidi w:val="0"/>
                    <w:spacing w:before="0" w:beforeLines="0" w:after="0" w:afterLines="0" w:line="240" w:lineRule="auto"/>
                    <w:jc w:val="center"/>
                    <w:textAlignment w:val="auto"/>
                    <w:rPr>
                      <w:rFonts w:hint="default" w:ascii="Times New Roman" w:hAnsi="Times New Roman" w:eastAsia="宋体"/>
                      <w:color w:val="auto"/>
                      <w:sz w:val="21"/>
                      <w:szCs w:val="21"/>
                      <w:lang w:val="en-US" w:eastAsia="zh-CN"/>
                    </w:rPr>
                  </w:pPr>
                </w:p>
              </w:tc>
              <w:tc>
                <w:tcPr>
                  <w:tcW w:w="931" w:type="pct"/>
                  <w:tcBorders>
                    <w:tl2br w:val="nil"/>
                    <w:tr2bl w:val="nil"/>
                  </w:tcBorders>
                  <w:noWrap w:val="0"/>
                  <w:vAlign w:val="center"/>
                </w:tcPr>
                <w:p w14:paraId="1EFF45D7">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lang w:val="en-US" w:eastAsia="zh-CN"/>
                    </w:rPr>
                  </w:pPr>
                </w:p>
              </w:tc>
              <w:tc>
                <w:tcPr>
                  <w:tcW w:w="644" w:type="pct"/>
                  <w:tcBorders>
                    <w:tl2br w:val="nil"/>
                    <w:tr2bl w:val="nil"/>
                  </w:tcBorders>
                  <w:noWrap w:val="0"/>
                  <w:vAlign w:val="center"/>
                </w:tcPr>
                <w:p w14:paraId="2EB7A50B">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olor w:val="auto"/>
                      <w:sz w:val="21"/>
                      <w:szCs w:val="21"/>
                      <w:lang w:val="en-US" w:eastAsia="zh-CN"/>
                    </w:rPr>
                  </w:pPr>
                </w:p>
              </w:tc>
              <w:tc>
                <w:tcPr>
                  <w:tcW w:w="1959" w:type="pct"/>
                  <w:tcBorders>
                    <w:tl2br w:val="nil"/>
                    <w:tr2bl w:val="nil"/>
                  </w:tcBorders>
                  <w:noWrap w:val="0"/>
                  <w:vAlign w:val="center"/>
                </w:tcPr>
                <w:p w14:paraId="333769B4">
                  <w:pPr>
                    <w:keepNext w:val="0"/>
                    <w:keepLines w:val="0"/>
                    <w:pageBreakBefore w:val="0"/>
                    <w:widowControl w:val="0"/>
                    <w:kinsoku/>
                    <w:wordWrap/>
                    <w:overflowPunct/>
                    <w:topLinePunct w:val="0"/>
                    <w:autoSpaceDE/>
                    <w:autoSpaceDN/>
                    <w:bidi w:val="0"/>
                    <w:spacing w:line="240" w:lineRule="auto"/>
                    <w:ind w:left="0" w:leftChars="0"/>
                    <w:jc w:val="center"/>
                    <w:textAlignment w:val="auto"/>
                    <w:rPr>
                      <w:rFonts w:ascii="Times New Roman" w:hAnsi="Times New Roman" w:eastAsia="宋体"/>
                      <w:color w:val="auto"/>
                      <w:sz w:val="21"/>
                      <w:szCs w:val="21"/>
                    </w:rPr>
                  </w:pPr>
                </w:p>
              </w:tc>
              <w:tc>
                <w:tcPr>
                  <w:tcW w:w="766" w:type="pct"/>
                  <w:tcBorders>
                    <w:tl2br w:val="nil"/>
                    <w:tr2bl w:val="nil"/>
                  </w:tcBorders>
                  <w:noWrap w:val="0"/>
                  <w:vAlign w:val="center"/>
                </w:tcPr>
                <w:p w14:paraId="6E670D7A">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宋体"/>
                      <w:color w:val="auto"/>
                      <w:sz w:val="21"/>
                      <w:szCs w:val="21"/>
                    </w:rPr>
                  </w:pPr>
                </w:p>
              </w:tc>
            </w:tr>
            <w:tr w14:paraId="45D4CE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99" w:type="pct"/>
                  <w:tcBorders>
                    <w:tl2br w:val="nil"/>
                    <w:tr2bl w:val="nil"/>
                  </w:tcBorders>
                  <w:noWrap w:val="0"/>
                  <w:vAlign w:val="center"/>
                </w:tcPr>
                <w:p w14:paraId="2B55B640">
                  <w:pPr>
                    <w:pStyle w:val="28"/>
                    <w:keepNext w:val="0"/>
                    <w:keepLines w:val="0"/>
                    <w:pageBreakBefore w:val="0"/>
                    <w:widowControl w:val="0"/>
                    <w:kinsoku/>
                    <w:wordWrap/>
                    <w:overflowPunct/>
                    <w:topLinePunct w:val="0"/>
                    <w:autoSpaceDE/>
                    <w:autoSpaceDN/>
                    <w:bidi w:val="0"/>
                    <w:spacing w:before="0" w:beforeLines="0" w:after="0" w:afterLines="0" w:line="240" w:lineRule="auto"/>
                    <w:jc w:val="center"/>
                    <w:textAlignment w:val="auto"/>
                    <w:rPr>
                      <w:rFonts w:hint="default" w:ascii="Times New Roman" w:hAnsi="Times New Roman" w:eastAsia="宋体"/>
                      <w:color w:val="auto"/>
                      <w:sz w:val="21"/>
                      <w:szCs w:val="21"/>
                      <w:lang w:val="en-US" w:eastAsia="zh-CN"/>
                    </w:rPr>
                  </w:pPr>
                </w:p>
              </w:tc>
              <w:tc>
                <w:tcPr>
                  <w:tcW w:w="931" w:type="pct"/>
                  <w:tcBorders>
                    <w:tl2br w:val="nil"/>
                    <w:tr2bl w:val="nil"/>
                  </w:tcBorders>
                  <w:noWrap w:val="0"/>
                  <w:vAlign w:val="center"/>
                </w:tcPr>
                <w:p w14:paraId="276F6E41">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lang w:val="en-US" w:eastAsia="zh-CN"/>
                    </w:rPr>
                  </w:pPr>
                </w:p>
              </w:tc>
              <w:tc>
                <w:tcPr>
                  <w:tcW w:w="644" w:type="pct"/>
                  <w:tcBorders>
                    <w:tl2br w:val="nil"/>
                    <w:tr2bl w:val="nil"/>
                  </w:tcBorders>
                  <w:noWrap w:val="0"/>
                  <w:vAlign w:val="center"/>
                </w:tcPr>
                <w:p w14:paraId="019552BD">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lang w:val="en-US" w:eastAsia="zh-CN"/>
                    </w:rPr>
                  </w:pPr>
                </w:p>
              </w:tc>
              <w:tc>
                <w:tcPr>
                  <w:tcW w:w="1959" w:type="pct"/>
                  <w:tcBorders>
                    <w:tl2br w:val="nil"/>
                    <w:tr2bl w:val="nil"/>
                  </w:tcBorders>
                  <w:noWrap w:val="0"/>
                  <w:vAlign w:val="center"/>
                </w:tcPr>
                <w:p w14:paraId="661755CC">
                  <w:pPr>
                    <w:keepNext w:val="0"/>
                    <w:keepLines w:val="0"/>
                    <w:pageBreakBefore w:val="0"/>
                    <w:widowControl w:val="0"/>
                    <w:kinsoku/>
                    <w:wordWrap/>
                    <w:overflowPunct/>
                    <w:topLinePunct w:val="0"/>
                    <w:autoSpaceDE/>
                    <w:autoSpaceDN/>
                    <w:bidi w:val="0"/>
                    <w:spacing w:line="240" w:lineRule="auto"/>
                    <w:ind w:left="0" w:leftChars="0"/>
                    <w:jc w:val="center"/>
                    <w:textAlignment w:val="auto"/>
                    <w:rPr>
                      <w:rFonts w:ascii="Times New Roman" w:hAnsi="Times New Roman" w:eastAsia="宋体"/>
                      <w:color w:val="auto"/>
                      <w:sz w:val="21"/>
                      <w:szCs w:val="21"/>
                    </w:rPr>
                  </w:pPr>
                </w:p>
              </w:tc>
              <w:tc>
                <w:tcPr>
                  <w:tcW w:w="766" w:type="pct"/>
                  <w:tcBorders>
                    <w:tl2br w:val="nil"/>
                    <w:tr2bl w:val="nil"/>
                  </w:tcBorders>
                  <w:noWrap w:val="0"/>
                  <w:vAlign w:val="center"/>
                </w:tcPr>
                <w:p w14:paraId="4D704CBB">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hAnsi="Times New Roman" w:eastAsia="宋体"/>
                      <w:color w:val="auto"/>
                      <w:sz w:val="21"/>
                      <w:szCs w:val="21"/>
                    </w:rPr>
                  </w:pPr>
                </w:p>
              </w:tc>
            </w:tr>
            <w:tr w14:paraId="361E09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99" w:type="pct"/>
                  <w:tcBorders>
                    <w:tl2br w:val="nil"/>
                    <w:tr2bl w:val="nil"/>
                  </w:tcBorders>
                  <w:noWrap w:val="0"/>
                  <w:vAlign w:val="center"/>
                </w:tcPr>
                <w:p w14:paraId="781B5BFF">
                  <w:pPr>
                    <w:pStyle w:val="28"/>
                    <w:keepNext w:val="0"/>
                    <w:keepLines w:val="0"/>
                    <w:pageBreakBefore w:val="0"/>
                    <w:widowControl w:val="0"/>
                    <w:kinsoku/>
                    <w:wordWrap/>
                    <w:overflowPunct/>
                    <w:topLinePunct w:val="0"/>
                    <w:autoSpaceDE/>
                    <w:autoSpaceDN/>
                    <w:bidi w:val="0"/>
                    <w:spacing w:before="0" w:beforeLines="0" w:after="0" w:afterLines="0" w:line="240" w:lineRule="auto"/>
                    <w:jc w:val="center"/>
                    <w:textAlignment w:val="auto"/>
                    <w:rPr>
                      <w:rFonts w:hint="default" w:ascii="Times New Roman" w:hAnsi="Times New Roman" w:eastAsia="宋体"/>
                      <w:color w:val="auto"/>
                      <w:sz w:val="21"/>
                      <w:szCs w:val="21"/>
                      <w:lang w:val="en-US" w:eastAsia="zh-CN"/>
                    </w:rPr>
                  </w:pPr>
                </w:p>
              </w:tc>
              <w:tc>
                <w:tcPr>
                  <w:tcW w:w="931" w:type="pct"/>
                  <w:tcBorders>
                    <w:tl2br w:val="nil"/>
                    <w:tr2bl w:val="nil"/>
                  </w:tcBorders>
                  <w:noWrap w:val="0"/>
                  <w:vAlign w:val="center"/>
                </w:tcPr>
                <w:p w14:paraId="5D506278">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lang w:val="en-US" w:eastAsia="zh-CN"/>
                    </w:rPr>
                  </w:pPr>
                </w:p>
              </w:tc>
              <w:tc>
                <w:tcPr>
                  <w:tcW w:w="644" w:type="pct"/>
                  <w:tcBorders>
                    <w:tl2br w:val="nil"/>
                    <w:tr2bl w:val="nil"/>
                  </w:tcBorders>
                  <w:noWrap w:val="0"/>
                  <w:vAlign w:val="center"/>
                </w:tcPr>
                <w:p w14:paraId="5C6EB982">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lang w:val="en-US" w:eastAsia="zh-CN"/>
                    </w:rPr>
                  </w:pPr>
                </w:p>
              </w:tc>
              <w:tc>
                <w:tcPr>
                  <w:tcW w:w="1959" w:type="pct"/>
                  <w:tcBorders>
                    <w:tl2br w:val="nil"/>
                    <w:tr2bl w:val="nil"/>
                  </w:tcBorders>
                  <w:noWrap w:val="0"/>
                  <w:vAlign w:val="center"/>
                </w:tcPr>
                <w:p w14:paraId="4AC20F09">
                  <w:pPr>
                    <w:keepNext w:val="0"/>
                    <w:keepLines w:val="0"/>
                    <w:pageBreakBefore w:val="0"/>
                    <w:widowControl w:val="0"/>
                    <w:kinsoku/>
                    <w:wordWrap/>
                    <w:overflowPunct/>
                    <w:topLinePunct w:val="0"/>
                    <w:autoSpaceDE/>
                    <w:autoSpaceDN/>
                    <w:bidi w:val="0"/>
                    <w:spacing w:line="240" w:lineRule="auto"/>
                    <w:ind w:left="0" w:leftChars="0"/>
                    <w:jc w:val="center"/>
                    <w:textAlignment w:val="auto"/>
                    <w:rPr>
                      <w:rFonts w:hint="eastAsia" w:ascii="Times New Roman" w:hAnsi="Times New Roman" w:eastAsia="宋体"/>
                      <w:color w:val="auto"/>
                      <w:sz w:val="21"/>
                      <w:szCs w:val="21"/>
                    </w:rPr>
                  </w:pPr>
                </w:p>
              </w:tc>
              <w:tc>
                <w:tcPr>
                  <w:tcW w:w="766" w:type="pct"/>
                  <w:tcBorders>
                    <w:tl2br w:val="nil"/>
                    <w:tr2bl w:val="nil"/>
                  </w:tcBorders>
                  <w:noWrap w:val="0"/>
                  <w:vAlign w:val="center"/>
                </w:tcPr>
                <w:p w14:paraId="5950CD94">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rPr>
                  </w:pPr>
                </w:p>
              </w:tc>
            </w:tr>
            <w:tr w14:paraId="122062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99" w:type="pct"/>
                  <w:tcBorders>
                    <w:tl2br w:val="nil"/>
                    <w:tr2bl w:val="nil"/>
                  </w:tcBorders>
                  <w:noWrap w:val="0"/>
                  <w:vAlign w:val="center"/>
                </w:tcPr>
                <w:p w14:paraId="0297FF5E">
                  <w:pPr>
                    <w:pStyle w:val="28"/>
                    <w:keepNext w:val="0"/>
                    <w:keepLines w:val="0"/>
                    <w:pageBreakBefore w:val="0"/>
                    <w:widowControl w:val="0"/>
                    <w:kinsoku/>
                    <w:wordWrap/>
                    <w:overflowPunct/>
                    <w:topLinePunct w:val="0"/>
                    <w:autoSpaceDE/>
                    <w:autoSpaceDN/>
                    <w:bidi w:val="0"/>
                    <w:spacing w:before="0" w:beforeLines="0" w:after="0" w:afterLines="0" w:line="240" w:lineRule="auto"/>
                    <w:jc w:val="center"/>
                    <w:textAlignment w:val="auto"/>
                    <w:rPr>
                      <w:rFonts w:hint="default" w:ascii="Times New Roman" w:hAnsi="Times New Roman" w:eastAsia="宋体"/>
                      <w:color w:val="auto"/>
                      <w:sz w:val="21"/>
                      <w:szCs w:val="21"/>
                      <w:lang w:val="en-US" w:eastAsia="zh-CN"/>
                    </w:rPr>
                  </w:pPr>
                </w:p>
              </w:tc>
              <w:tc>
                <w:tcPr>
                  <w:tcW w:w="931" w:type="pct"/>
                  <w:tcBorders>
                    <w:tl2br w:val="nil"/>
                    <w:tr2bl w:val="nil"/>
                  </w:tcBorders>
                  <w:noWrap w:val="0"/>
                  <w:vAlign w:val="center"/>
                </w:tcPr>
                <w:p w14:paraId="55DDBBF6">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lang w:val="en-US" w:eastAsia="zh-CN"/>
                    </w:rPr>
                  </w:pPr>
                </w:p>
              </w:tc>
              <w:tc>
                <w:tcPr>
                  <w:tcW w:w="644" w:type="pct"/>
                  <w:tcBorders>
                    <w:tl2br w:val="nil"/>
                    <w:tr2bl w:val="nil"/>
                  </w:tcBorders>
                  <w:noWrap w:val="0"/>
                  <w:vAlign w:val="center"/>
                </w:tcPr>
                <w:p w14:paraId="53ED2D27">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lang w:val="en-US" w:eastAsia="zh-CN"/>
                    </w:rPr>
                  </w:pPr>
                </w:p>
              </w:tc>
              <w:tc>
                <w:tcPr>
                  <w:tcW w:w="1959" w:type="pct"/>
                  <w:tcBorders>
                    <w:tl2br w:val="nil"/>
                    <w:tr2bl w:val="nil"/>
                  </w:tcBorders>
                  <w:noWrap w:val="0"/>
                  <w:vAlign w:val="center"/>
                </w:tcPr>
                <w:p w14:paraId="7A10376C">
                  <w:pPr>
                    <w:keepNext w:val="0"/>
                    <w:keepLines w:val="0"/>
                    <w:pageBreakBefore w:val="0"/>
                    <w:widowControl w:val="0"/>
                    <w:kinsoku/>
                    <w:wordWrap/>
                    <w:overflowPunct/>
                    <w:topLinePunct w:val="0"/>
                    <w:autoSpaceDE/>
                    <w:autoSpaceDN/>
                    <w:bidi w:val="0"/>
                    <w:spacing w:line="240" w:lineRule="auto"/>
                    <w:ind w:left="0" w:leftChars="0"/>
                    <w:jc w:val="center"/>
                    <w:textAlignment w:val="auto"/>
                    <w:rPr>
                      <w:rFonts w:ascii="Times New Roman" w:hAnsi="Times New Roman" w:eastAsia="宋体"/>
                      <w:color w:val="auto"/>
                      <w:sz w:val="21"/>
                      <w:szCs w:val="21"/>
                    </w:rPr>
                  </w:pPr>
                </w:p>
              </w:tc>
              <w:tc>
                <w:tcPr>
                  <w:tcW w:w="766" w:type="pct"/>
                  <w:tcBorders>
                    <w:tl2br w:val="nil"/>
                    <w:tr2bl w:val="nil"/>
                  </w:tcBorders>
                  <w:noWrap w:val="0"/>
                  <w:vAlign w:val="center"/>
                </w:tcPr>
                <w:p w14:paraId="3F6099C2">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olor w:val="auto"/>
                      <w:sz w:val="21"/>
                      <w:szCs w:val="21"/>
                      <w:lang w:val="en-US" w:eastAsia="zh-CN"/>
                    </w:rPr>
                  </w:pPr>
                </w:p>
              </w:tc>
            </w:tr>
          </w:tbl>
          <w:p w14:paraId="62BE4F21">
            <w:pPr>
              <w:pStyle w:val="4"/>
              <w:bidi w:val="0"/>
              <w:rPr>
                <w:rFonts w:hint="eastAsia"/>
                <w:color w:val="auto"/>
                <w:lang w:val="en-US" w:eastAsia="zh-CN"/>
              </w:rPr>
            </w:pPr>
            <w:bookmarkStart w:id="26" w:name="_Toc10657"/>
            <w:r>
              <w:rPr>
                <w:rFonts w:hint="eastAsia"/>
                <w:color w:val="auto"/>
                <w:lang w:val="en-US" w:eastAsia="zh-CN"/>
              </w:rPr>
              <w:t>2.1.6主要原辅材料</w:t>
            </w:r>
            <w:bookmarkEnd w:id="26"/>
          </w:p>
          <w:p w14:paraId="726CB098">
            <w:pPr>
              <w:pStyle w:val="24"/>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firstLine="482" w:firstLineChars="200"/>
              <w:jc w:val="both"/>
              <w:textAlignment w:val="auto"/>
              <w:rPr>
                <w:rFonts w:hint="default"/>
                <w:color w:val="auto"/>
                <w:lang w:val="en-US" w:eastAsia="zh-CN"/>
              </w:rPr>
            </w:pPr>
            <w:r>
              <w:rPr>
                <w:rFonts w:hint="eastAsia"/>
                <w:color w:val="auto"/>
                <w:lang w:val="en-US" w:eastAsia="zh-CN"/>
              </w:rPr>
              <w:t>项目主要原辅材料详见表2.1-5，主要原辅材料理化性质详见2.1-6。</w:t>
            </w:r>
          </w:p>
          <w:p w14:paraId="08348C87">
            <w:pPr>
              <w:pStyle w:val="24"/>
              <w:bidi w:val="0"/>
              <w:rPr>
                <w:rFonts w:hint="default"/>
                <w:color w:val="auto"/>
                <w:lang w:val="en-US" w:eastAsia="zh-CN"/>
              </w:rPr>
            </w:pPr>
            <w:r>
              <w:rPr>
                <w:rFonts w:hint="eastAsia"/>
                <w:color w:val="auto"/>
                <w:lang w:val="en-US" w:eastAsia="zh-CN"/>
              </w:rPr>
              <w:t>表2.1-5  项目主要原辅材料表</w:t>
            </w:r>
            <w:r>
              <w:rPr>
                <w:rFonts w:hint="eastAsia" w:cs="Times New Roman"/>
                <w:b/>
                <w:color w:val="auto"/>
                <w:kern w:val="0"/>
                <w:sz w:val="24"/>
                <w:szCs w:val="20"/>
                <w:lang w:val="en-US" w:eastAsia="zh-CN" w:bidi="ar-SA"/>
              </w:rPr>
              <w:t>（涉密）</w:t>
            </w:r>
          </w:p>
          <w:tbl>
            <w:tblPr>
              <w:tblStyle w:val="1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85"/>
              <w:gridCol w:w="1258"/>
              <w:gridCol w:w="1332"/>
              <w:gridCol w:w="1332"/>
              <w:gridCol w:w="1332"/>
              <w:gridCol w:w="1332"/>
              <w:gridCol w:w="1349"/>
            </w:tblGrid>
            <w:tr w14:paraId="170E76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32" w:hRule="atLeast"/>
              </w:trPr>
              <w:tc>
                <w:tcPr>
                  <w:tcW w:w="288" w:type="pct"/>
                  <w:tcBorders>
                    <w:tl2br w:val="nil"/>
                    <w:tr2bl w:val="nil"/>
                  </w:tcBorders>
                  <w:noWrap w:val="0"/>
                  <w:vAlign w:val="center"/>
                </w:tcPr>
                <w:p w14:paraId="176C83D4">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b/>
                      <w:bCs/>
                      <w:color w:val="auto"/>
                      <w:sz w:val="21"/>
                      <w:szCs w:val="21"/>
                      <w:shd w:val="clear" w:color="auto" w:fill="auto"/>
                      <w:lang w:val="en-US" w:eastAsia="zh-CN"/>
                    </w:rPr>
                  </w:pPr>
                </w:p>
              </w:tc>
              <w:tc>
                <w:tcPr>
                  <w:tcW w:w="747" w:type="pct"/>
                  <w:tcBorders>
                    <w:tl2br w:val="nil"/>
                    <w:tr2bl w:val="nil"/>
                  </w:tcBorders>
                  <w:noWrap w:val="0"/>
                  <w:vAlign w:val="center"/>
                </w:tcPr>
                <w:p w14:paraId="10463F75">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b/>
                      <w:bCs/>
                      <w:color w:val="auto"/>
                      <w:sz w:val="21"/>
                      <w:szCs w:val="21"/>
                      <w:shd w:val="clear" w:color="auto" w:fill="auto"/>
                      <w:lang w:val="en-US" w:eastAsia="zh-CN"/>
                    </w:rPr>
                  </w:pPr>
                </w:p>
              </w:tc>
              <w:tc>
                <w:tcPr>
                  <w:tcW w:w="791" w:type="pct"/>
                  <w:tcBorders>
                    <w:tl2br w:val="nil"/>
                    <w:tr2bl w:val="nil"/>
                  </w:tcBorders>
                  <w:noWrap w:val="0"/>
                  <w:vAlign w:val="center"/>
                </w:tcPr>
                <w:p w14:paraId="7DDF53E9">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b/>
                      <w:bCs/>
                      <w:color w:val="auto"/>
                      <w:sz w:val="21"/>
                      <w:szCs w:val="21"/>
                      <w:shd w:val="clear" w:color="auto" w:fill="auto"/>
                      <w:lang w:val="en-US" w:eastAsia="zh-CN"/>
                    </w:rPr>
                  </w:pPr>
                </w:p>
              </w:tc>
              <w:tc>
                <w:tcPr>
                  <w:tcW w:w="791" w:type="pct"/>
                  <w:tcBorders>
                    <w:tl2br w:val="nil"/>
                    <w:tr2bl w:val="nil"/>
                  </w:tcBorders>
                  <w:noWrap w:val="0"/>
                  <w:vAlign w:val="center"/>
                </w:tcPr>
                <w:p w14:paraId="108CFB59">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s="Times New Roman"/>
                      <w:b/>
                      <w:bCs/>
                      <w:color w:val="auto"/>
                      <w:sz w:val="21"/>
                      <w:szCs w:val="21"/>
                      <w:shd w:val="clear" w:color="auto" w:fill="auto"/>
                      <w:lang w:val="en-US" w:eastAsia="zh-CN"/>
                    </w:rPr>
                  </w:pPr>
                </w:p>
              </w:tc>
              <w:tc>
                <w:tcPr>
                  <w:tcW w:w="791" w:type="pct"/>
                  <w:tcBorders>
                    <w:tl2br w:val="nil"/>
                    <w:tr2bl w:val="nil"/>
                  </w:tcBorders>
                  <w:noWrap w:val="0"/>
                  <w:vAlign w:val="center"/>
                </w:tcPr>
                <w:p w14:paraId="1F167B40">
                  <w:pPr>
                    <w:pStyle w:val="28"/>
                    <w:keepNext w:val="0"/>
                    <w:keepLines w:val="0"/>
                    <w:pageBreakBefore w:val="0"/>
                    <w:kinsoku/>
                    <w:wordWrap/>
                    <w:overflowPunct/>
                    <w:topLinePunct w:val="0"/>
                    <w:autoSpaceDE/>
                    <w:autoSpaceDN/>
                    <w:bidi w:val="0"/>
                    <w:spacing w:before="0" w:beforeLines="0" w:after="0" w:afterLines="0"/>
                    <w:jc w:val="center"/>
                    <w:rPr>
                      <w:rFonts w:hint="eastAsia" w:ascii="Times New Roman" w:hAnsi="Times New Roman" w:eastAsia="宋体" w:cs="Times New Roman"/>
                      <w:b/>
                      <w:bCs/>
                      <w:color w:val="auto"/>
                      <w:sz w:val="21"/>
                      <w:szCs w:val="21"/>
                      <w:shd w:val="clear" w:color="auto" w:fill="auto"/>
                      <w:lang w:val="en-US" w:eastAsia="zh-CN"/>
                    </w:rPr>
                  </w:pPr>
                </w:p>
              </w:tc>
              <w:tc>
                <w:tcPr>
                  <w:tcW w:w="791" w:type="pct"/>
                  <w:tcBorders>
                    <w:tl2br w:val="nil"/>
                    <w:tr2bl w:val="nil"/>
                  </w:tcBorders>
                  <w:noWrap w:val="0"/>
                  <w:vAlign w:val="center"/>
                </w:tcPr>
                <w:p w14:paraId="5A615CC5">
                  <w:pPr>
                    <w:pStyle w:val="28"/>
                    <w:keepNext w:val="0"/>
                    <w:keepLines w:val="0"/>
                    <w:pageBreakBefore w:val="0"/>
                    <w:kinsoku/>
                    <w:wordWrap/>
                    <w:overflowPunct/>
                    <w:topLinePunct w:val="0"/>
                    <w:autoSpaceDE/>
                    <w:autoSpaceDN/>
                    <w:bidi w:val="0"/>
                    <w:spacing w:before="0" w:beforeLines="0" w:after="0" w:afterLines="0"/>
                    <w:jc w:val="center"/>
                    <w:rPr>
                      <w:rFonts w:hint="eastAsia" w:ascii="Times New Roman" w:hAnsi="Times New Roman" w:eastAsia="宋体" w:cs="Times New Roman"/>
                      <w:b/>
                      <w:bCs/>
                      <w:color w:val="auto"/>
                      <w:sz w:val="21"/>
                      <w:szCs w:val="21"/>
                      <w:shd w:val="clear" w:color="auto" w:fill="auto"/>
                      <w:lang w:val="en-US" w:eastAsia="zh-CN"/>
                    </w:rPr>
                  </w:pPr>
                </w:p>
              </w:tc>
              <w:tc>
                <w:tcPr>
                  <w:tcW w:w="797" w:type="pct"/>
                  <w:tcBorders>
                    <w:tl2br w:val="nil"/>
                    <w:tr2bl w:val="nil"/>
                  </w:tcBorders>
                  <w:noWrap w:val="0"/>
                  <w:vAlign w:val="center"/>
                </w:tcPr>
                <w:p w14:paraId="2A6ACD3E">
                  <w:pPr>
                    <w:pStyle w:val="28"/>
                    <w:keepNext w:val="0"/>
                    <w:keepLines w:val="0"/>
                    <w:pageBreakBefore w:val="0"/>
                    <w:kinsoku/>
                    <w:wordWrap/>
                    <w:overflowPunct/>
                    <w:topLinePunct w:val="0"/>
                    <w:autoSpaceDE/>
                    <w:autoSpaceDN/>
                    <w:bidi w:val="0"/>
                    <w:spacing w:before="0" w:beforeLines="0" w:after="0" w:afterLines="0"/>
                    <w:jc w:val="center"/>
                    <w:rPr>
                      <w:rFonts w:hint="eastAsia" w:ascii="Times New Roman" w:hAnsi="Times New Roman" w:eastAsia="宋体" w:cs="Times New Roman"/>
                      <w:b/>
                      <w:bCs/>
                      <w:color w:val="auto"/>
                      <w:sz w:val="21"/>
                      <w:szCs w:val="21"/>
                      <w:shd w:val="clear" w:color="auto" w:fill="auto"/>
                      <w:lang w:val="en-US" w:eastAsia="zh-CN"/>
                    </w:rPr>
                  </w:pPr>
                </w:p>
              </w:tc>
            </w:tr>
            <w:tr w14:paraId="52EF84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88" w:type="pct"/>
                  <w:tcBorders>
                    <w:tl2br w:val="nil"/>
                    <w:tr2bl w:val="nil"/>
                  </w:tcBorders>
                  <w:noWrap w:val="0"/>
                  <w:vAlign w:val="center"/>
                </w:tcPr>
                <w:p w14:paraId="1FD8310D">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p>
              </w:tc>
              <w:tc>
                <w:tcPr>
                  <w:tcW w:w="1248" w:type="dxa"/>
                  <w:tcBorders>
                    <w:tl2br w:val="nil"/>
                    <w:tr2bl w:val="nil"/>
                  </w:tcBorders>
                  <w:noWrap w:val="0"/>
                  <w:vAlign w:val="center"/>
                </w:tcPr>
                <w:p w14:paraId="702EE4F1">
                  <w:pPr>
                    <w:pStyle w:val="28"/>
                    <w:bidi w:val="0"/>
                    <w:snapToGrid w:val="0"/>
                    <w:ind w:left="0" w:leftChars="0" w:right="0" w:rightChars="0" w:firstLine="0" w:firstLineChars="0"/>
                    <w:jc w:val="center"/>
                    <w:rPr>
                      <w:rFonts w:hint="default" w:ascii="Times New Roman" w:hAnsi="Times New Roman" w:eastAsia="宋体"/>
                      <w:color w:val="auto"/>
                      <w:sz w:val="21"/>
                      <w:szCs w:val="21"/>
                      <w:shd w:val="clear" w:color="auto" w:fill="auto"/>
                      <w:lang w:val="en-US" w:eastAsia="zh-CN"/>
                    </w:rPr>
                  </w:pPr>
                </w:p>
              </w:tc>
              <w:tc>
                <w:tcPr>
                  <w:tcW w:w="1322" w:type="dxa"/>
                  <w:tcBorders>
                    <w:tl2br w:val="nil"/>
                    <w:tr2bl w:val="nil"/>
                  </w:tcBorders>
                  <w:noWrap w:val="0"/>
                  <w:vAlign w:val="center"/>
                </w:tcPr>
                <w:p w14:paraId="50FDCB98">
                  <w:pPr>
                    <w:pStyle w:val="28"/>
                    <w:bidi w:val="0"/>
                    <w:snapToGrid w:val="0"/>
                    <w:ind w:left="0" w:leftChars="0" w:right="0" w:rightChars="0"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1290" w:type="dxa"/>
                  <w:tcBorders>
                    <w:tl2br w:val="nil"/>
                    <w:tr2bl w:val="nil"/>
                  </w:tcBorders>
                  <w:noWrap w:val="0"/>
                  <w:vAlign w:val="center"/>
                </w:tcPr>
                <w:p w14:paraId="00411257">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p>
              </w:tc>
              <w:tc>
                <w:tcPr>
                  <w:tcW w:w="1290" w:type="dxa"/>
                  <w:tcBorders>
                    <w:tl2br w:val="nil"/>
                    <w:tr2bl w:val="nil"/>
                  </w:tcBorders>
                  <w:noWrap w:val="0"/>
                  <w:vAlign w:val="center"/>
                </w:tcPr>
                <w:p w14:paraId="64040316">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c>
                <w:tcPr>
                  <w:tcW w:w="1290" w:type="dxa"/>
                  <w:tcBorders>
                    <w:tl2br w:val="nil"/>
                    <w:tr2bl w:val="nil"/>
                  </w:tcBorders>
                  <w:noWrap w:val="0"/>
                  <w:vAlign w:val="center"/>
                </w:tcPr>
                <w:p w14:paraId="02D7ABAD">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c>
                <w:tcPr>
                  <w:tcW w:w="1306" w:type="dxa"/>
                  <w:tcBorders>
                    <w:tl2br w:val="nil"/>
                    <w:tr2bl w:val="nil"/>
                  </w:tcBorders>
                  <w:noWrap w:val="0"/>
                  <w:vAlign w:val="center"/>
                </w:tcPr>
                <w:p w14:paraId="16EB7D9C">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r>
            <w:tr w14:paraId="49A5CC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88" w:type="pct"/>
                  <w:tcBorders>
                    <w:tl2br w:val="nil"/>
                    <w:tr2bl w:val="nil"/>
                  </w:tcBorders>
                  <w:noWrap w:val="0"/>
                  <w:vAlign w:val="center"/>
                </w:tcPr>
                <w:p w14:paraId="449C5A6E">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p>
              </w:tc>
              <w:tc>
                <w:tcPr>
                  <w:tcW w:w="1248" w:type="dxa"/>
                  <w:tcBorders>
                    <w:tl2br w:val="nil"/>
                    <w:tr2bl w:val="nil"/>
                  </w:tcBorders>
                  <w:noWrap w:val="0"/>
                  <w:vAlign w:val="center"/>
                </w:tcPr>
                <w:p w14:paraId="1B946A43">
                  <w:pPr>
                    <w:pStyle w:val="28"/>
                    <w:bidi w:val="0"/>
                    <w:snapToGrid w:val="0"/>
                    <w:ind w:left="0" w:leftChars="0" w:right="0" w:rightChars="0" w:firstLine="0" w:firstLineChars="0"/>
                    <w:jc w:val="center"/>
                    <w:rPr>
                      <w:rFonts w:hint="default" w:ascii="Times New Roman" w:hAnsi="Times New Roman" w:eastAsia="宋体"/>
                      <w:color w:val="auto"/>
                      <w:sz w:val="21"/>
                      <w:szCs w:val="21"/>
                      <w:shd w:val="clear" w:color="auto" w:fill="auto"/>
                      <w:lang w:val="en-US" w:eastAsia="zh-CN"/>
                    </w:rPr>
                  </w:pPr>
                </w:p>
              </w:tc>
              <w:tc>
                <w:tcPr>
                  <w:tcW w:w="1322" w:type="dxa"/>
                  <w:tcBorders>
                    <w:tl2br w:val="nil"/>
                    <w:tr2bl w:val="nil"/>
                  </w:tcBorders>
                  <w:noWrap w:val="0"/>
                  <w:vAlign w:val="center"/>
                </w:tcPr>
                <w:p w14:paraId="5B642367">
                  <w:pPr>
                    <w:pStyle w:val="28"/>
                    <w:bidi w:val="0"/>
                    <w:snapToGrid w:val="0"/>
                    <w:ind w:left="0" w:leftChars="0" w:right="0" w:rightChars="0"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1290" w:type="dxa"/>
                  <w:tcBorders>
                    <w:tl2br w:val="nil"/>
                    <w:tr2bl w:val="nil"/>
                  </w:tcBorders>
                  <w:noWrap w:val="0"/>
                  <w:vAlign w:val="center"/>
                </w:tcPr>
                <w:p w14:paraId="5E44BDF3">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p>
              </w:tc>
              <w:tc>
                <w:tcPr>
                  <w:tcW w:w="1290" w:type="dxa"/>
                  <w:tcBorders>
                    <w:tl2br w:val="nil"/>
                    <w:tr2bl w:val="nil"/>
                  </w:tcBorders>
                  <w:noWrap w:val="0"/>
                  <w:vAlign w:val="center"/>
                </w:tcPr>
                <w:p w14:paraId="18D6F998">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p>
              </w:tc>
              <w:tc>
                <w:tcPr>
                  <w:tcW w:w="1290" w:type="dxa"/>
                  <w:tcBorders>
                    <w:tl2br w:val="nil"/>
                    <w:tr2bl w:val="nil"/>
                  </w:tcBorders>
                  <w:noWrap w:val="0"/>
                  <w:vAlign w:val="center"/>
                </w:tcPr>
                <w:p w14:paraId="7509AF18">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c>
                <w:tcPr>
                  <w:tcW w:w="1306" w:type="dxa"/>
                  <w:tcBorders>
                    <w:tl2br w:val="nil"/>
                    <w:tr2bl w:val="nil"/>
                  </w:tcBorders>
                  <w:noWrap w:val="0"/>
                  <w:vAlign w:val="center"/>
                </w:tcPr>
                <w:p w14:paraId="786B1AD9">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r>
            <w:tr w14:paraId="3BE435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88" w:type="pct"/>
                  <w:tcBorders>
                    <w:tl2br w:val="nil"/>
                    <w:tr2bl w:val="nil"/>
                  </w:tcBorders>
                  <w:noWrap w:val="0"/>
                  <w:vAlign w:val="center"/>
                </w:tcPr>
                <w:p w14:paraId="4A2BF45E">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p>
              </w:tc>
              <w:tc>
                <w:tcPr>
                  <w:tcW w:w="1248" w:type="dxa"/>
                  <w:tcBorders>
                    <w:tl2br w:val="nil"/>
                    <w:tr2bl w:val="nil"/>
                  </w:tcBorders>
                  <w:noWrap w:val="0"/>
                  <w:vAlign w:val="center"/>
                </w:tcPr>
                <w:p w14:paraId="6A90EC1A">
                  <w:pPr>
                    <w:pStyle w:val="28"/>
                    <w:bidi w:val="0"/>
                    <w:snapToGrid w:val="0"/>
                    <w:ind w:left="0" w:leftChars="0" w:right="0" w:rightChars="0" w:firstLine="0" w:firstLineChars="0"/>
                    <w:jc w:val="center"/>
                    <w:rPr>
                      <w:rFonts w:hint="eastAsia" w:ascii="Times New Roman" w:hAnsi="Times New Roman" w:eastAsia="宋体" w:cs="Times New Roman"/>
                      <w:color w:val="auto"/>
                      <w:sz w:val="21"/>
                      <w:szCs w:val="21"/>
                      <w:shd w:val="clear" w:color="auto" w:fill="auto"/>
                      <w:lang w:val="en-US" w:eastAsia="zh-CN"/>
                    </w:rPr>
                  </w:pPr>
                </w:p>
              </w:tc>
              <w:tc>
                <w:tcPr>
                  <w:tcW w:w="1322" w:type="dxa"/>
                  <w:tcBorders>
                    <w:tl2br w:val="nil"/>
                    <w:tr2bl w:val="nil"/>
                  </w:tcBorders>
                  <w:noWrap w:val="0"/>
                  <w:vAlign w:val="center"/>
                </w:tcPr>
                <w:p w14:paraId="5325860F">
                  <w:pPr>
                    <w:pStyle w:val="28"/>
                    <w:bidi w:val="0"/>
                    <w:snapToGrid w:val="0"/>
                    <w:ind w:left="0" w:leftChars="0" w:right="0" w:rightChars="0"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1290" w:type="dxa"/>
                  <w:tcBorders>
                    <w:tl2br w:val="nil"/>
                    <w:tr2bl w:val="nil"/>
                  </w:tcBorders>
                  <w:noWrap w:val="0"/>
                  <w:vAlign w:val="center"/>
                </w:tcPr>
                <w:p w14:paraId="314DBC66">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p>
              </w:tc>
              <w:tc>
                <w:tcPr>
                  <w:tcW w:w="1290" w:type="dxa"/>
                  <w:tcBorders>
                    <w:tl2br w:val="nil"/>
                    <w:tr2bl w:val="nil"/>
                  </w:tcBorders>
                  <w:noWrap w:val="0"/>
                  <w:vAlign w:val="center"/>
                </w:tcPr>
                <w:p w14:paraId="5A061DA5">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c>
                <w:tcPr>
                  <w:tcW w:w="1290" w:type="dxa"/>
                  <w:tcBorders>
                    <w:tl2br w:val="nil"/>
                    <w:tr2bl w:val="nil"/>
                  </w:tcBorders>
                  <w:noWrap w:val="0"/>
                  <w:vAlign w:val="center"/>
                </w:tcPr>
                <w:p w14:paraId="38B21752">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c>
                <w:tcPr>
                  <w:tcW w:w="1306" w:type="dxa"/>
                  <w:tcBorders>
                    <w:tl2br w:val="nil"/>
                    <w:tr2bl w:val="nil"/>
                  </w:tcBorders>
                  <w:noWrap w:val="0"/>
                  <w:vAlign w:val="center"/>
                </w:tcPr>
                <w:p w14:paraId="55715CE3">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r>
            <w:tr w14:paraId="380626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88" w:type="pct"/>
                  <w:tcBorders>
                    <w:tl2br w:val="nil"/>
                    <w:tr2bl w:val="nil"/>
                  </w:tcBorders>
                  <w:noWrap w:val="0"/>
                  <w:vAlign w:val="center"/>
                </w:tcPr>
                <w:p w14:paraId="6D157495">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p>
              </w:tc>
              <w:tc>
                <w:tcPr>
                  <w:tcW w:w="1248" w:type="dxa"/>
                  <w:tcBorders>
                    <w:tl2br w:val="nil"/>
                    <w:tr2bl w:val="nil"/>
                  </w:tcBorders>
                  <w:noWrap w:val="0"/>
                  <w:vAlign w:val="center"/>
                </w:tcPr>
                <w:p w14:paraId="6277275D">
                  <w:pPr>
                    <w:pStyle w:val="28"/>
                    <w:bidi w:val="0"/>
                    <w:snapToGrid w:val="0"/>
                    <w:ind w:left="0" w:leftChars="0" w:right="0" w:rightChars="0"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1322" w:type="dxa"/>
                  <w:tcBorders>
                    <w:tl2br w:val="nil"/>
                    <w:tr2bl w:val="nil"/>
                  </w:tcBorders>
                  <w:noWrap w:val="0"/>
                  <w:vAlign w:val="center"/>
                </w:tcPr>
                <w:p w14:paraId="6726046D">
                  <w:pPr>
                    <w:pStyle w:val="28"/>
                    <w:bidi w:val="0"/>
                    <w:snapToGrid w:val="0"/>
                    <w:ind w:left="0" w:leftChars="0" w:right="0" w:rightChars="0"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1290" w:type="dxa"/>
                  <w:tcBorders>
                    <w:tl2br w:val="nil"/>
                    <w:tr2bl w:val="nil"/>
                  </w:tcBorders>
                  <w:noWrap w:val="0"/>
                  <w:vAlign w:val="center"/>
                </w:tcPr>
                <w:p w14:paraId="3BF100A9">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p>
              </w:tc>
              <w:tc>
                <w:tcPr>
                  <w:tcW w:w="1290" w:type="dxa"/>
                  <w:tcBorders>
                    <w:tl2br w:val="nil"/>
                    <w:tr2bl w:val="nil"/>
                  </w:tcBorders>
                  <w:noWrap w:val="0"/>
                  <w:vAlign w:val="center"/>
                </w:tcPr>
                <w:p w14:paraId="34144DA4">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c>
                <w:tcPr>
                  <w:tcW w:w="1290" w:type="dxa"/>
                  <w:tcBorders>
                    <w:tl2br w:val="nil"/>
                    <w:tr2bl w:val="nil"/>
                  </w:tcBorders>
                  <w:noWrap w:val="0"/>
                  <w:vAlign w:val="center"/>
                </w:tcPr>
                <w:p w14:paraId="5BDCE8FA">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c>
                <w:tcPr>
                  <w:tcW w:w="1306" w:type="dxa"/>
                  <w:tcBorders>
                    <w:tl2br w:val="nil"/>
                    <w:tr2bl w:val="nil"/>
                  </w:tcBorders>
                  <w:noWrap w:val="0"/>
                  <w:vAlign w:val="center"/>
                </w:tcPr>
                <w:p w14:paraId="5E3066E5">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r>
            <w:tr w14:paraId="424D71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88" w:type="pct"/>
                  <w:tcBorders>
                    <w:tl2br w:val="nil"/>
                    <w:tr2bl w:val="nil"/>
                  </w:tcBorders>
                  <w:noWrap w:val="0"/>
                  <w:vAlign w:val="center"/>
                </w:tcPr>
                <w:p w14:paraId="54E25D2C">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p>
              </w:tc>
              <w:tc>
                <w:tcPr>
                  <w:tcW w:w="1248" w:type="dxa"/>
                  <w:tcBorders>
                    <w:tl2br w:val="nil"/>
                    <w:tr2bl w:val="nil"/>
                  </w:tcBorders>
                  <w:noWrap w:val="0"/>
                  <w:vAlign w:val="center"/>
                </w:tcPr>
                <w:p w14:paraId="60CB8767">
                  <w:pPr>
                    <w:pStyle w:val="28"/>
                    <w:bidi w:val="0"/>
                    <w:snapToGrid w:val="0"/>
                    <w:ind w:left="0" w:leftChars="0" w:right="0" w:rightChars="0" w:firstLine="0" w:firstLineChars="0"/>
                    <w:jc w:val="center"/>
                    <w:rPr>
                      <w:rFonts w:hint="eastAsia" w:ascii="Times New Roman" w:hAnsi="Times New Roman" w:eastAsia="宋体" w:cs="Times New Roman"/>
                      <w:color w:val="auto"/>
                      <w:sz w:val="21"/>
                      <w:szCs w:val="21"/>
                      <w:shd w:val="clear" w:color="auto" w:fill="auto"/>
                      <w:lang w:val="en-US" w:eastAsia="zh-CN"/>
                    </w:rPr>
                  </w:pPr>
                </w:p>
              </w:tc>
              <w:tc>
                <w:tcPr>
                  <w:tcW w:w="1322" w:type="dxa"/>
                  <w:tcBorders>
                    <w:tl2br w:val="nil"/>
                    <w:tr2bl w:val="nil"/>
                  </w:tcBorders>
                  <w:noWrap w:val="0"/>
                  <w:vAlign w:val="center"/>
                </w:tcPr>
                <w:p w14:paraId="65C53023">
                  <w:pPr>
                    <w:pStyle w:val="28"/>
                    <w:bidi w:val="0"/>
                    <w:snapToGrid w:val="0"/>
                    <w:ind w:left="0" w:leftChars="0" w:right="0" w:rightChars="0"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1290" w:type="dxa"/>
                  <w:tcBorders>
                    <w:tl2br w:val="nil"/>
                    <w:tr2bl w:val="nil"/>
                  </w:tcBorders>
                  <w:noWrap w:val="0"/>
                  <w:vAlign w:val="center"/>
                </w:tcPr>
                <w:p w14:paraId="5A229172">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p>
              </w:tc>
              <w:tc>
                <w:tcPr>
                  <w:tcW w:w="1290" w:type="dxa"/>
                  <w:tcBorders>
                    <w:tl2br w:val="nil"/>
                    <w:tr2bl w:val="nil"/>
                  </w:tcBorders>
                  <w:noWrap w:val="0"/>
                  <w:vAlign w:val="center"/>
                </w:tcPr>
                <w:p w14:paraId="11B788C3">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c>
                <w:tcPr>
                  <w:tcW w:w="1290" w:type="dxa"/>
                  <w:tcBorders>
                    <w:tl2br w:val="nil"/>
                    <w:tr2bl w:val="nil"/>
                  </w:tcBorders>
                  <w:noWrap w:val="0"/>
                  <w:vAlign w:val="center"/>
                </w:tcPr>
                <w:p w14:paraId="47316746">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c>
                <w:tcPr>
                  <w:tcW w:w="1306" w:type="dxa"/>
                  <w:tcBorders>
                    <w:tl2br w:val="nil"/>
                    <w:tr2bl w:val="nil"/>
                  </w:tcBorders>
                  <w:noWrap w:val="0"/>
                  <w:vAlign w:val="center"/>
                </w:tcPr>
                <w:p w14:paraId="05CF7BDB">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r>
            <w:tr w14:paraId="59FA35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88" w:type="pct"/>
                  <w:tcBorders>
                    <w:tl2br w:val="nil"/>
                    <w:tr2bl w:val="nil"/>
                  </w:tcBorders>
                  <w:noWrap w:val="0"/>
                  <w:vAlign w:val="center"/>
                </w:tcPr>
                <w:p w14:paraId="289FB43A">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p>
              </w:tc>
              <w:tc>
                <w:tcPr>
                  <w:tcW w:w="1248" w:type="dxa"/>
                  <w:tcBorders>
                    <w:tl2br w:val="nil"/>
                    <w:tr2bl w:val="nil"/>
                  </w:tcBorders>
                  <w:noWrap w:val="0"/>
                  <w:vAlign w:val="center"/>
                </w:tcPr>
                <w:p w14:paraId="5FF40DFE">
                  <w:pPr>
                    <w:pStyle w:val="28"/>
                    <w:bidi w:val="0"/>
                    <w:snapToGrid w:val="0"/>
                    <w:ind w:left="0" w:leftChars="0" w:right="0" w:rightChars="0" w:firstLine="0" w:firstLineChars="0"/>
                    <w:jc w:val="center"/>
                    <w:rPr>
                      <w:rFonts w:hint="eastAsia" w:ascii="Times New Roman" w:hAnsi="Times New Roman" w:eastAsia="宋体" w:cs="Times New Roman"/>
                      <w:color w:val="auto"/>
                      <w:sz w:val="21"/>
                      <w:szCs w:val="21"/>
                      <w:shd w:val="clear" w:color="auto" w:fill="auto"/>
                      <w:lang w:val="en-US" w:eastAsia="zh-CN"/>
                    </w:rPr>
                  </w:pPr>
                </w:p>
              </w:tc>
              <w:tc>
                <w:tcPr>
                  <w:tcW w:w="1322" w:type="dxa"/>
                  <w:tcBorders>
                    <w:tl2br w:val="nil"/>
                    <w:tr2bl w:val="nil"/>
                  </w:tcBorders>
                  <w:noWrap w:val="0"/>
                  <w:vAlign w:val="center"/>
                </w:tcPr>
                <w:p w14:paraId="4518C6D5">
                  <w:pPr>
                    <w:pStyle w:val="28"/>
                    <w:bidi w:val="0"/>
                    <w:snapToGrid w:val="0"/>
                    <w:ind w:left="0" w:leftChars="0" w:right="0" w:rightChars="0"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1290" w:type="dxa"/>
                  <w:tcBorders>
                    <w:tl2br w:val="nil"/>
                    <w:tr2bl w:val="nil"/>
                  </w:tcBorders>
                  <w:noWrap w:val="0"/>
                  <w:vAlign w:val="center"/>
                </w:tcPr>
                <w:p w14:paraId="1B0D840A">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p>
              </w:tc>
              <w:tc>
                <w:tcPr>
                  <w:tcW w:w="1290" w:type="dxa"/>
                  <w:tcBorders>
                    <w:tl2br w:val="nil"/>
                    <w:tr2bl w:val="nil"/>
                  </w:tcBorders>
                  <w:noWrap w:val="0"/>
                  <w:vAlign w:val="center"/>
                </w:tcPr>
                <w:p w14:paraId="18DE9C26">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c>
                <w:tcPr>
                  <w:tcW w:w="1290" w:type="dxa"/>
                  <w:tcBorders>
                    <w:tl2br w:val="nil"/>
                    <w:tr2bl w:val="nil"/>
                  </w:tcBorders>
                  <w:noWrap w:val="0"/>
                  <w:vAlign w:val="center"/>
                </w:tcPr>
                <w:p w14:paraId="4521EC57">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c>
                <w:tcPr>
                  <w:tcW w:w="1306" w:type="dxa"/>
                  <w:tcBorders>
                    <w:tl2br w:val="nil"/>
                    <w:tr2bl w:val="nil"/>
                  </w:tcBorders>
                  <w:noWrap w:val="0"/>
                  <w:vAlign w:val="center"/>
                </w:tcPr>
                <w:p w14:paraId="544EAE14">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r>
            <w:tr w14:paraId="0FD317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88" w:type="pct"/>
                  <w:tcBorders>
                    <w:tl2br w:val="nil"/>
                    <w:tr2bl w:val="nil"/>
                  </w:tcBorders>
                  <w:noWrap w:val="0"/>
                  <w:vAlign w:val="center"/>
                </w:tcPr>
                <w:p w14:paraId="006681F3">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p>
              </w:tc>
              <w:tc>
                <w:tcPr>
                  <w:tcW w:w="1248" w:type="dxa"/>
                  <w:tcBorders>
                    <w:tl2br w:val="nil"/>
                    <w:tr2bl w:val="nil"/>
                  </w:tcBorders>
                  <w:noWrap w:val="0"/>
                  <w:vAlign w:val="center"/>
                </w:tcPr>
                <w:p w14:paraId="2E25F6CE">
                  <w:pPr>
                    <w:pStyle w:val="28"/>
                    <w:bidi w:val="0"/>
                    <w:snapToGrid w:val="0"/>
                    <w:ind w:left="0" w:leftChars="0" w:right="0" w:rightChars="0" w:firstLine="0" w:firstLineChars="0"/>
                    <w:jc w:val="center"/>
                    <w:rPr>
                      <w:rFonts w:hint="eastAsia" w:ascii="Times New Roman" w:hAnsi="Times New Roman" w:eastAsia="宋体" w:cs="Times New Roman"/>
                      <w:color w:val="auto"/>
                      <w:sz w:val="21"/>
                      <w:szCs w:val="21"/>
                      <w:shd w:val="clear" w:color="auto" w:fill="auto"/>
                      <w:lang w:val="en-US" w:eastAsia="zh-CN"/>
                    </w:rPr>
                  </w:pPr>
                </w:p>
              </w:tc>
              <w:tc>
                <w:tcPr>
                  <w:tcW w:w="1322" w:type="dxa"/>
                  <w:tcBorders>
                    <w:tl2br w:val="nil"/>
                    <w:tr2bl w:val="nil"/>
                  </w:tcBorders>
                  <w:noWrap w:val="0"/>
                  <w:vAlign w:val="center"/>
                </w:tcPr>
                <w:p w14:paraId="25C64CC5">
                  <w:pPr>
                    <w:pStyle w:val="28"/>
                    <w:bidi w:val="0"/>
                    <w:snapToGrid w:val="0"/>
                    <w:ind w:left="0" w:leftChars="0" w:right="0" w:rightChars="0"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1290" w:type="dxa"/>
                  <w:tcBorders>
                    <w:tl2br w:val="nil"/>
                    <w:tr2bl w:val="nil"/>
                  </w:tcBorders>
                  <w:noWrap w:val="0"/>
                  <w:vAlign w:val="center"/>
                </w:tcPr>
                <w:p w14:paraId="65F09085">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p>
              </w:tc>
              <w:tc>
                <w:tcPr>
                  <w:tcW w:w="1290" w:type="dxa"/>
                  <w:tcBorders>
                    <w:tl2br w:val="nil"/>
                    <w:tr2bl w:val="nil"/>
                  </w:tcBorders>
                  <w:noWrap w:val="0"/>
                  <w:vAlign w:val="center"/>
                </w:tcPr>
                <w:p w14:paraId="162B3A42">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c>
                <w:tcPr>
                  <w:tcW w:w="1290" w:type="dxa"/>
                  <w:tcBorders>
                    <w:tl2br w:val="nil"/>
                    <w:tr2bl w:val="nil"/>
                  </w:tcBorders>
                  <w:noWrap w:val="0"/>
                  <w:vAlign w:val="center"/>
                </w:tcPr>
                <w:p w14:paraId="37D54372">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c>
                <w:tcPr>
                  <w:tcW w:w="1306" w:type="dxa"/>
                  <w:tcBorders>
                    <w:tl2br w:val="nil"/>
                    <w:tr2bl w:val="nil"/>
                  </w:tcBorders>
                  <w:noWrap w:val="0"/>
                  <w:vAlign w:val="center"/>
                </w:tcPr>
                <w:p w14:paraId="27849091">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r>
            <w:tr w14:paraId="07D4F9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88" w:type="pct"/>
                  <w:tcBorders>
                    <w:tl2br w:val="nil"/>
                    <w:tr2bl w:val="nil"/>
                  </w:tcBorders>
                  <w:noWrap w:val="0"/>
                  <w:vAlign w:val="center"/>
                </w:tcPr>
                <w:p w14:paraId="26FBF52C">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p>
              </w:tc>
              <w:tc>
                <w:tcPr>
                  <w:tcW w:w="1248" w:type="dxa"/>
                  <w:tcBorders>
                    <w:tl2br w:val="nil"/>
                    <w:tr2bl w:val="nil"/>
                  </w:tcBorders>
                  <w:noWrap w:val="0"/>
                  <w:vAlign w:val="center"/>
                </w:tcPr>
                <w:p w14:paraId="78E36B60">
                  <w:pPr>
                    <w:pStyle w:val="28"/>
                    <w:bidi w:val="0"/>
                    <w:snapToGrid w:val="0"/>
                    <w:ind w:left="0" w:leftChars="0" w:right="0" w:rightChars="0" w:firstLine="0" w:firstLineChars="0"/>
                    <w:jc w:val="center"/>
                    <w:rPr>
                      <w:rFonts w:hint="eastAsia" w:ascii="Times New Roman" w:hAnsi="Times New Roman" w:eastAsia="宋体" w:cs="Times New Roman"/>
                      <w:color w:val="auto"/>
                      <w:sz w:val="21"/>
                      <w:szCs w:val="21"/>
                      <w:shd w:val="clear" w:color="auto" w:fill="auto"/>
                      <w:lang w:val="en-US" w:eastAsia="zh-CN"/>
                    </w:rPr>
                  </w:pPr>
                </w:p>
              </w:tc>
              <w:tc>
                <w:tcPr>
                  <w:tcW w:w="1322" w:type="dxa"/>
                  <w:tcBorders>
                    <w:tl2br w:val="nil"/>
                    <w:tr2bl w:val="nil"/>
                  </w:tcBorders>
                  <w:noWrap w:val="0"/>
                  <w:vAlign w:val="center"/>
                </w:tcPr>
                <w:p w14:paraId="74CCC0FB">
                  <w:pPr>
                    <w:pStyle w:val="28"/>
                    <w:bidi w:val="0"/>
                    <w:snapToGrid w:val="0"/>
                    <w:ind w:left="0" w:leftChars="0" w:right="0" w:rightChars="0" w:firstLine="0" w:firstLineChars="0"/>
                    <w:jc w:val="center"/>
                    <w:rPr>
                      <w:rFonts w:hint="default" w:ascii="Times New Roman" w:hAnsi="Times New Roman" w:eastAsia="宋体" w:cs="Times New Roman"/>
                      <w:color w:val="auto"/>
                      <w:sz w:val="21"/>
                      <w:szCs w:val="21"/>
                      <w:shd w:val="clear" w:color="auto" w:fill="auto"/>
                      <w:lang w:val="en-US" w:eastAsia="zh-CN"/>
                    </w:rPr>
                  </w:pPr>
                </w:p>
              </w:tc>
              <w:tc>
                <w:tcPr>
                  <w:tcW w:w="1290" w:type="dxa"/>
                  <w:tcBorders>
                    <w:tl2br w:val="nil"/>
                    <w:tr2bl w:val="nil"/>
                  </w:tcBorders>
                  <w:noWrap w:val="0"/>
                  <w:vAlign w:val="center"/>
                </w:tcPr>
                <w:p w14:paraId="30D731BD">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p>
              </w:tc>
              <w:tc>
                <w:tcPr>
                  <w:tcW w:w="1290" w:type="dxa"/>
                  <w:tcBorders>
                    <w:tl2br w:val="nil"/>
                    <w:tr2bl w:val="nil"/>
                  </w:tcBorders>
                  <w:noWrap w:val="0"/>
                  <w:vAlign w:val="center"/>
                </w:tcPr>
                <w:p w14:paraId="59382C3D">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c>
                <w:tcPr>
                  <w:tcW w:w="1290" w:type="dxa"/>
                  <w:tcBorders>
                    <w:tl2br w:val="nil"/>
                    <w:tr2bl w:val="nil"/>
                  </w:tcBorders>
                  <w:noWrap w:val="0"/>
                  <w:vAlign w:val="center"/>
                </w:tcPr>
                <w:p w14:paraId="02BE5CD9">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c>
                <w:tcPr>
                  <w:tcW w:w="1306" w:type="dxa"/>
                  <w:tcBorders>
                    <w:tl2br w:val="nil"/>
                    <w:tr2bl w:val="nil"/>
                  </w:tcBorders>
                  <w:noWrap w:val="0"/>
                  <w:vAlign w:val="center"/>
                </w:tcPr>
                <w:p w14:paraId="369A4348">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r>
            <w:tr w14:paraId="76B5A9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88" w:type="pct"/>
                  <w:tcBorders>
                    <w:tl2br w:val="nil"/>
                    <w:tr2bl w:val="nil"/>
                  </w:tcBorders>
                  <w:noWrap w:val="0"/>
                  <w:vAlign w:val="center"/>
                </w:tcPr>
                <w:p w14:paraId="4765895A">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p>
              </w:tc>
              <w:tc>
                <w:tcPr>
                  <w:tcW w:w="747" w:type="pct"/>
                  <w:tcBorders>
                    <w:tl2br w:val="nil"/>
                    <w:tr2bl w:val="nil"/>
                  </w:tcBorders>
                  <w:noWrap w:val="0"/>
                  <w:vAlign w:val="center"/>
                </w:tcPr>
                <w:p w14:paraId="31781956">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s="Times New Roman"/>
                      <w:color w:val="auto"/>
                      <w:sz w:val="21"/>
                      <w:szCs w:val="21"/>
                      <w:shd w:val="clear" w:color="auto" w:fill="auto"/>
                      <w:lang w:val="en-US" w:eastAsia="zh-CN"/>
                    </w:rPr>
                  </w:pPr>
                </w:p>
              </w:tc>
              <w:tc>
                <w:tcPr>
                  <w:tcW w:w="791" w:type="pct"/>
                  <w:tcBorders>
                    <w:tl2br w:val="nil"/>
                    <w:tr2bl w:val="nil"/>
                  </w:tcBorders>
                  <w:noWrap w:val="0"/>
                  <w:vAlign w:val="center"/>
                </w:tcPr>
                <w:p w14:paraId="7F937A53">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s="Times New Roman"/>
                      <w:color w:val="auto"/>
                      <w:sz w:val="21"/>
                      <w:szCs w:val="21"/>
                      <w:shd w:val="clear" w:color="auto" w:fill="auto"/>
                      <w:lang w:val="en-US" w:eastAsia="zh-CN"/>
                    </w:rPr>
                  </w:pPr>
                </w:p>
              </w:tc>
              <w:tc>
                <w:tcPr>
                  <w:tcW w:w="1290" w:type="dxa"/>
                  <w:tcBorders>
                    <w:tl2br w:val="nil"/>
                    <w:tr2bl w:val="nil"/>
                  </w:tcBorders>
                  <w:noWrap w:val="0"/>
                  <w:vAlign w:val="center"/>
                </w:tcPr>
                <w:p w14:paraId="063AC236">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p>
              </w:tc>
              <w:tc>
                <w:tcPr>
                  <w:tcW w:w="1290" w:type="dxa"/>
                  <w:tcBorders>
                    <w:tl2br w:val="nil"/>
                    <w:tr2bl w:val="nil"/>
                  </w:tcBorders>
                  <w:noWrap w:val="0"/>
                  <w:vAlign w:val="center"/>
                </w:tcPr>
                <w:p w14:paraId="63D0DEF7">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c>
                <w:tcPr>
                  <w:tcW w:w="1290" w:type="dxa"/>
                  <w:tcBorders>
                    <w:tl2br w:val="nil"/>
                    <w:tr2bl w:val="nil"/>
                  </w:tcBorders>
                  <w:noWrap w:val="0"/>
                  <w:vAlign w:val="center"/>
                </w:tcPr>
                <w:p w14:paraId="46BE3BA3">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c>
                <w:tcPr>
                  <w:tcW w:w="1306" w:type="dxa"/>
                  <w:tcBorders>
                    <w:tl2br w:val="nil"/>
                    <w:tr2bl w:val="nil"/>
                  </w:tcBorders>
                  <w:noWrap w:val="0"/>
                  <w:vAlign w:val="center"/>
                </w:tcPr>
                <w:p w14:paraId="2D2D99CC">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r>
            <w:tr w14:paraId="4B683A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88" w:type="pct"/>
                  <w:tcBorders>
                    <w:tl2br w:val="nil"/>
                    <w:tr2bl w:val="nil"/>
                  </w:tcBorders>
                  <w:noWrap w:val="0"/>
                  <w:vAlign w:val="center"/>
                </w:tcPr>
                <w:p w14:paraId="4D719155">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p>
              </w:tc>
              <w:tc>
                <w:tcPr>
                  <w:tcW w:w="747" w:type="pct"/>
                  <w:tcBorders>
                    <w:tl2br w:val="nil"/>
                    <w:tr2bl w:val="nil"/>
                  </w:tcBorders>
                  <w:noWrap w:val="0"/>
                  <w:vAlign w:val="center"/>
                </w:tcPr>
                <w:p w14:paraId="51C07201">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s="Times New Roman"/>
                      <w:color w:val="auto"/>
                      <w:sz w:val="21"/>
                      <w:szCs w:val="21"/>
                      <w:shd w:val="clear" w:color="auto" w:fill="auto"/>
                      <w:lang w:val="en-US" w:eastAsia="zh-CN"/>
                    </w:rPr>
                  </w:pPr>
                </w:p>
              </w:tc>
              <w:tc>
                <w:tcPr>
                  <w:tcW w:w="791" w:type="pct"/>
                  <w:tcBorders>
                    <w:tl2br w:val="nil"/>
                    <w:tr2bl w:val="nil"/>
                  </w:tcBorders>
                  <w:noWrap w:val="0"/>
                  <w:vAlign w:val="center"/>
                </w:tcPr>
                <w:p w14:paraId="6FCA245F">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s="Times New Roman"/>
                      <w:color w:val="auto"/>
                      <w:sz w:val="21"/>
                      <w:szCs w:val="21"/>
                      <w:shd w:val="clear" w:color="auto" w:fill="auto"/>
                      <w:lang w:val="en-US" w:eastAsia="zh-CN"/>
                    </w:rPr>
                  </w:pPr>
                </w:p>
              </w:tc>
              <w:tc>
                <w:tcPr>
                  <w:tcW w:w="1290" w:type="dxa"/>
                  <w:tcBorders>
                    <w:tl2br w:val="nil"/>
                    <w:tr2bl w:val="nil"/>
                  </w:tcBorders>
                  <w:noWrap w:val="0"/>
                  <w:vAlign w:val="center"/>
                </w:tcPr>
                <w:p w14:paraId="31EA1751">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p>
              </w:tc>
              <w:tc>
                <w:tcPr>
                  <w:tcW w:w="1290" w:type="dxa"/>
                  <w:tcBorders>
                    <w:tl2br w:val="nil"/>
                    <w:tr2bl w:val="nil"/>
                  </w:tcBorders>
                  <w:noWrap w:val="0"/>
                  <w:vAlign w:val="center"/>
                </w:tcPr>
                <w:p w14:paraId="58D5E8C2">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c>
                <w:tcPr>
                  <w:tcW w:w="1290" w:type="dxa"/>
                  <w:tcBorders>
                    <w:tl2br w:val="nil"/>
                    <w:tr2bl w:val="nil"/>
                  </w:tcBorders>
                  <w:noWrap w:val="0"/>
                  <w:vAlign w:val="center"/>
                </w:tcPr>
                <w:p w14:paraId="06265B68">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c>
                <w:tcPr>
                  <w:tcW w:w="1306" w:type="dxa"/>
                  <w:tcBorders>
                    <w:tl2br w:val="nil"/>
                    <w:tr2bl w:val="nil"/>
                  </w:tcBorders>
                  <w:noWrap w:val="0"/>
                  <w:vAlign w:val="center"/>
                </w:tcPr>
                <w:p w14:paraId="06DC8314">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r>
            <w:tr w14:paraId="2A081C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88" w:type="pct"/>
                  <w:tcBorders>
                    <w:tl2br w:val="nil"/>
                    <w:tr2bl w:val="nil"/>
                  </w:tcBorders>
                  <w:noWrap w:val="0"/>
                  <w:vAlign w:val="center"/>
                </w:tcPr>
                <w:p w14:paraId="744EC2A1">
                  <w:pPr>
                    <w:jc w:val="center"/>
                    <w:rPr>
                      <w:rFonts w:hint="default" w:ascii="Times New Roman" w:hAnsi="Times New Roman" w:eastAsia="宋体"/>
                      <w:color w:val="auto"/>
                      <w:lang w:val="en-US" w:eastAsia="zh-CN"/>
                    </w:rPr>
                  </w:pPr>
                </w:p>
              </w:tc>
              <w:tc>
                <w:tcPr>
                  <w:tcW w:w="747" w:type="pct"/>
                  <w:tcBorders>
                    <w:tl2br w:val="nil"/>
                    <w:tr2bl w:val="nil"/>
                  </w:tcBorders>
                  <w:noWrap w:val="0"/>
                  <w:vAlign w:val="center"/>
                </w:tcPr>
                <w:p w14:paraId="6ACD53F3">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s="Times New Roman"/>
                      <w:color w:val="auto"/>
                      <w:sz w:val="21"/>
                      <w:szCs w:val="21"/>
                      <w:shd w:val="clear" w:color="auto" w:fill="auto"/>
                      <w:lang w:val="en-US" w:eastAsia="zh-CN"/>
                    </w:rPr>
                  </w:pPr>
                </w:p>
              </w:tc>
              <w:tc>
                <w:tcPr>
                  <w:tcW w:w="791" w:type="pct"/>
                  <w:tcBorders>
                    <w:tl2br w:val="nil"/>
                    <w:tr2bl w:val="nil"/>
                  </w:tcBorders>
                  <w:noWrap w:val="0"/>
                  <w:vAlign w:val="center"/>
                </w:tcPr>
                <w:p w14:paraId="7B86AC13">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s="Times New Roman"/>
                      <w:color w:val="auto"/>
                      <w:sz w:val="21"/>
                      <w:szCs w:val="21"/>
                      <w:shd w:val="clear" w:color="auto" w:fill="auto"/>
                      <w:lang w:val="en-US" w:eastAsia="zh-CN"/>
                    </w:rPr>
                  </w:pPr>
                </w:p>
              </w:tc>
              <w:tc>
                <w:tcPr>
                  <w:tcW w:w="1290" w:type="dxa"/>
                  <w:tcBorders>
                    <w:tl2br w:val="nil"/>
                    <w:tr2bl w:val="nil"/>
                  </w:tcBorders>
                  <w:noWrap w:val="0"/>
                  <w:vAlign w:val="center"/>
                </w:tcPr>
                <w:p w14:paraId="3EB7C128">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p>
              </w:tc>
              <w:tc>
                <w:tcPr>
                  <w:tcW w:w="1290" w:type="dxa"/>
                  <w:tcBorders>
                    <w:tl2br w:val="nil"/>
                    <w:tr2bl w:val="nil"/>
                  </w:tcBorders>
                  <w:noWrap w:val="0"/>
                  <w:vAlign w:val="center"/>
                </w:tcPr>
                <w:p w14:paraId="14C628CE">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c>
                <w:tcPr>
                  <w:tcW w:w="1290" w:type="dxa"/>
                  <w:tcBorders>
                    <w:tl2br w:val="nil"/>
                    <w:tr2bl w:val="nil"/>
                  </w:tcBorders>
                  <w:noWrap w:val="0"/>
                  <w:vAlign w:val="center"/>
                </w:tcPr>
                <w:p w14:paraId="50B777BB">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c>
                <w:tcPr>
                  <w:tcW w:w="1306" w:type="dxa"/>
                  <w:tcBorders>
                    <w:tl2br w:val="nil"/>
                    <w:tr2bl w:val="nil"/>
                  </w:tcBorders>
                  <w:noWrap w:val="0"/>
                  <w:vAlign w:val="center"/>
                </w:tcPr>
                <w:p w14:paraId="4B9492B5">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r>
            <w:tr w14:paraId="16E2AE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88" w:type="pct"/>
                  <w:tcBorders>
                    <w:tl2br w:val="nil"/>
                    <w:tr2bl w:val="nil"/>
                  </w:tcBorders>
                  <w:noWrap w:val="0"/>
                  <w:vAlign w:val="center"/>
                </w:tcPr>
                <w:p w14:paraId="2830E92B">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p>
              </w:tc>
              <w:tc>
                <w:tcPr>
                  <w:tcW w:w="747" w:type="pct"/>
                  <w:tcBorders>
                    <w:tl2br w:val="nil"/>
                    <w:tr2bl w:val="nil"/>
                  </w:tcBorders>
                  <w:noWrap w:val="0"/>
                  <w:vAlign w:val="center"/>
                </w:tcPr>
                <w:p w14:paraId="5B4B5F36">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p>
              </w:tc>
              <w:tc>
                <w:tcPr>
                  <w:tcW w:w="791" w:type="pct"/>
                  <w:tcBorders>
                    <w:tl2br w:val="nil"/>
                    <w:tr2bl w:val="nil"/>
                  </w:tcBorders>
                  <w:noWrap w:val="0"/>
                  <w:vAlign w:val="center"/>
                </w:tcPr>
                <w:p w14:paraId="7170AFF4">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s="Times New Roman"/>
                      <w:color w:val="auto"/>
                      <w:sz w:val="21"/>
                      <w:szCs w:val="21"/>
                      <w:shd w:val="clear" w:color="auto" w:fill="auto"/>
                      <w:lang w:val="en-US" w:eastAsia="zh-CN"/>
                    </w:rPr>
                  </w:pPr>
                </w:p>
              </w:tc>
              <w:tc>
                <w:tcPr>
                  <w:tcW w:w="1290" w:type="dxa"/>
                  <w:tcBorders>
                    <w:tl2br w:val="nil"/>
                    <w:tr2bl w:val="nil"/>
                  </w:tcBorders>
                  <w:noWrap w:val="0"/>
                  <w:vAlign w:val="center"/>
                </w:tcPr>
                <w:p w14:paraId="5CC0A161">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p>
              </w:tc>
              <w:tc>
                <w:tcPr>
                  <w:tcW w:w="1290" w:type="dxa"/>
                  <w:tcBorders>
                    <w:tl2br w:val="nil"/>
                    <w:tr2bl w:val="nil"/>
                  </w:tcBorders>
                  <w:noWrap w:val="0"/>
                  <w:vAlign w:val="center"/>
                </w:tcPr>
                <w:p w14:paraId="02C0FE10">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c>
                <w:tcPr>
                  <w:tcW w:w="1290" w:type="dxa"/>
                  <w:tcBorders>
                    <w:tl2br w:val="nil"/>
                    <w:tr2bl w:val="nil"/>
                  </w:tcBorders>
                  <w:noWrap w:val="0"/>
                  <w:vAlign w:val="center"/>
                </w:tcPr>
                <w:p w14:paraId="718337D6">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c>
                <w:tcPr>
                  <w:tcW w:w="1306" w:type="dxa"/>
                  <w:tcBorders>
                    <w:tl2br w:val="nil"/>
                    <w:tr2bl w:val="nil"/>
                  </w:tcBorders>
                  <w:noWrap w:val="0"/>
                  <w:vAlign w:val="center"/>
                </w:tcPr>
                <w:p w14:paraId="7313F439">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p>
              </w:tc>
            </w:tr>
            <w:tr w14:paraId="2872B4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5000" w:type="pct"/>
                  <w:gridSpan w:val="7"/>
                  <w:tcBorders>
                    <w:tl2br w:val="nil"/>
                    <w:tr2bl w:val="nil"/>
                  </w:tcBorders>
                  <w:noWrap w:val="0"/>
                  <w:vAlign w:val="center"/>
                </w:tcPr>
                <w:p w14:paraId="6E67695D">
                  <w:pPr>
                    <w:keepNext w:val="0"/>
                    <w:keepLines w:val="0"/>
                    <w:pageBreakBefore w:val="0"/>
                    <w:widowControl/>
                    <w:suppressLineNumbers w:val="0"/>
                    <w:kinsoku/>
                    <w:wordWrap/>
                    <w:overflowPunct/>
                    <w:topLinePunct w:val="0"/>
                    <w:autoSpaceDE/>
                    <w:autoSpaceDN/>
                    <w:bidi w:val="0"/>
                    <w:jc w:val="left"/>
                    <w:rPr>
                      <w:rFonts w:ascii="Times New Roman" w:hAnsi="Times New Roman" w:eastAsia="宋体" w:cs="宋体"/>
                      <w:color w:val="auto"/>
                      <w:kern w:val="0"/>
                      <w:sz w:val="18"/>
                      <w:szCs w:val="18"/>
                      <w:shd w:val="clear" w:color="auto" w:fill="auto"/>
                      <w:lang w:val="en-US" w:eastAsia="zh-CN" w:bidi="ar"/>
                    </w:rPr>
                  </w:pPr>
                  <w:r>
                    <w:rPr>
                      <w:rFonts w:ascii="Times New Roman" w:hAnsi="Times New Roman" w:eastAsia="宋体" w:cs="宋体"/>
                      <w:color w:val="auto"/>
                      <w:kern w:val="0"/>
                      <w:sz w:val="18"/>
                      <w:szCs w:val="18"/>
                      <w:shd w:val="clear" w:color="auto" w:fill="auto"/>
                      <w:lang w:val="en-US" w:eastAsia="zh-CN" w:bidi="ar"/>
                    </w:rPr>
                    <w:t>注：</w:t>
                  </w:r>
                </w:p>
                <w:p w14:paraId="2FE32AB7">
                  <w:pPr>
                    <w:keepNext w:val="0"/>
                    <w:keepLines w:val="0"/>
                    <w:pageBreakBefore w:val="0"/>
                    <w:widowControl/>
                    <w:suppressLineNumbers w:val="0"/>
                    <w:kinsoku/>
                    <w:wordWrap/>
                    <w:overflowPunct/>
                    <w:topLinePunct w:val="0"/>
                    <w:autoSpaceDE/>
                    <w:autoSpaceDN/>
                    <w:bidi w:val="0"/>
                    <w:jc w:val="left"/>
                    <w:rPr>
                      <w:rFonts w:ascii="Times New Roman" w:hAnsi="Times New Roman" w:eastAsia="宋体" w:cs="宋体"/>
                      <w:color w:val="auto"/>
                      <w:kern w:val="0"/>
                      <w:sz w:val="18"/>
                      <w:szCs w:val="18"/>
                      <w:shd w:val="clear" w:color="auto" w:fill="auto"/>
                      <w:lang w:val="en-US" w:eastAsia="zh-CN" w:bidi="ar"/>
                    </w:rPr>
                  </w:pPr>
                  <w:r>
                    <w:rPr>
                      <w:rFonts w:hint="eastAsia" w:ascii="Times New Roman" w:hAnsi="Times New Roman" w:eastAsia="宋体" w:cs="宋体"/>
                      <w:color w:val="auto"/>
                      <w:kern w:val="0"/>
                      <w:sz w:val="18"/>
                      <w:szCs w:val="18"/>
                      <w:shd w:val="clear" w:color="auto" w:fill="auto"/>
                      <w:lang w:val="en-US" w:eastAsia="zh-CN" w:bidi="ar"/>
                    </w:rPr>
                    <w:t>1.</w:t>
                  </w:r>
                  <w:r>
                    <w:rPr>
                      <w:rFonts w:ascii="Times New Roman" w:hAnsi="Times New Roman" w:eastAsia="宋体" w:cs="宋体"/>
                      <w:color w:val="auto"/>
                      <w:kern w:val="0"/>
                      <w:sz w:val="18"/>
                      <w:szCs w:val="18"/>
                      <w:shd w:val="clear" w:color="auto" w:fill="auto"/>
                      <w:lang w:val="en-US" w:eastAsia="zh-CN" w:bidi="ar"/>
                    </w:rPr>
                    <w:t>最大储存量按照项目月均用量、厂区仓储常规周转量核算，符合安全生产及环评存储规范；</w:t>
                  </w:r>
                </w:p>
                <w:p w14:paraId="2B8E6425">
                  <w:pPr>
                    <w:keepNext w:val="0"/>
                    <w:keepLines w:val="0"/>
                    <w:pageBreakBefore w:val="0"/>
                    <w:widowControl/>
                    <w:suppressLineNumbers w:val="0"/>
                    <w:kinsoku/>
                    <w:wordWrap/>
                    <w:overflowPunct/>
                    <w:topLinePunct w:val="0"/>
                    <w:autoSpaceDE/>
                    <w:autoSpaceDN/>
                    <w:bidi w:val="0"/>
                    <w:jc w:val="left"/>
                    <w:rPr>
                      <w:rFonts w:ascii="Times New Roman" w:hAnsi="Times New Roman" w:eastAsia="宋体" w:cs="宋体"/>
                      <w:color w:val="auto"/>
                      <w:kern w:val="0"/>
                      <w:sz w:val="18"/>
                      <w:szCs w:val="18"/>
                      <w:shd w:val="clear" w:color="auto" w:fill="auto"/>
                      <w:lang w:val="en-US" w:eastAsia="zh-CN" w:bidi="ar"/>
                    </w:rPr>
                  </w:pPr>
                  <w:r>
                    <w:rPr>
                      <w:rFonts w:hint="eastAsia" w:ascii="Times New Roman" w:hAnsi="Times New Roman" w:eastAsia="宋体" w:cs="宋体"/>
                      <w:color w:val="auto"/>
                      <w:kern w:val="0"/>
                      <w:sz w:val="18"/>
                      <w:szCs w:val="18"/>
                      <w:shd w:val="clear" w:color="auto" w:fill="auto"/>
                      <w:lang w:val="en-US" w:eastAsia="zh-CN" w:bidi="ar"/>
                    </w:rPr>
                    <w:t>2.</w:t>
                  </w:r>
                  <w:r>
                    <w:rPr>
                      <w:rFonts w:ascii="Times New Roman" w:hAnsi="Times New Roman" w:eastAsia="宋体" w:cs="宋体"/>
                      <w:color w:val="auto"/>
                      <w:kern w:val="0"/>
                      <w:sz w:val="18"/>
                      <w:szCs w:val="18"/>
                      <w:shd w:val="clear" w:color="auto" w:fill="auto"/>
                      <w:lang w:val="en-US" w:eastAsia="zh-CN" w:bidi="ar"/>
                    </w:rPr>
                    <w:t>乙醚、乙醇、丙酮属于易燃危险化学品，单独分区密闭储存，配备防爆、通风、消防设施；</w:t>
                  </w:r>
                </w:p>
                <w:p w14:paraId="748E73DD">
                  <w:pPr>
                    <w:keepNext w:val="0"/>
                    <w:keepLines w:val="0"/>
                    <w:pageBreakBefore w:val="0"/>
                    <w:widowControl/>
                    <w:suppressLineNumbers w:val="0"/>
                    <w:kinsoku/>
                    <w:wordWrap/>
                    <w:overflowPunct/>
                    <w:topLinePunct w:val="0"/>
                    <w:autoSpaceDE/>
                    <w:autoSpaceDN/>
                    <w:bidi w:val="0"/>
                    <w:jc w:val="left"/>
                    <w:rPr>
                      <w:rFonts w:ascii="Times New Roman" w:hAnsi="Times New Roman" w:eastAsia="宋体" w:cs="宋体"/>
                      <w:color w:val="auto"/>
                      <w:kern w:val="0"/>
                      <w:sz w:val="18"/>
                      <w:szCs w:val="18"/>
                      <w:shd w:val="clear" w:color="auto" w:fill="auto"/>
                      <w:lang w:val="en-US" w:eastAsia="zh-CN" w:bidi="ar"/>
                    </w:rPr>
                  </w:pPr>
                  <w:r>
                    <w:rPr>
                      <w:rFonts w:hint="eastAsia" w:cs="宋体"/>
                      <w:color w:val="auto"/>
                      <w:kern w:val="0"/>
                      <w:sz w:val="18"/>
                      <w:szCs w:val="18"/>
                      <w:shd w:val="clear" w:color="auto" w:fill="auto"/>
                      <w:lang w:val="en-US" w:eastAsia="zh-CN" w:bidi="ar"/>
                    </w:rPr>
                    <w:t>3.</w:t>
                  </w:r>
                  <w:r>
                    <w:rPr>
                      <w:rFonts w:ascii="Times New Roman" w:hAnsi="Times New Roman" w:eastAsia="宋体" w:cs="宋体"/>
                      <w:color w:val="auto"/>
                      <w:kern w:val="0"/>
                      <w:sz w:val="18"/>
                      <w:szCs w:val="18"/>
                      <w:shd w:val="clear" w:color="auto" w:fill="auto"/>
                      <w:lang w:val="en-US" w:eastAsia="zh-CN" w:bidi="ar"/>
                    </w:rPr>
                    <w:t>粉末类、镀膜原料需干燥防尘储存，避免受潮变质</w:t>
                  </w:r>
                  <w:r>
                    <w:rPr>
                      <w:rFonts w:hint="eastAsia" w:ascii="Times New Roman" w:hAnsi="Times New Roman" w:eastAsia="宋体" w:cs="宋体"/>
                      <w:color w:val="auto"/>
                      <w:kern w:val="0"/>
                      <w:sz w:val="18"/>
                      <w:szCs w:val="18"/>
                      <w:shd w:val="clear" w:color="auto" w:fill="auto"/>
                      <w:lang w:val="en-US" w:eastAsia="zh-CN" w:bidi="ar"/>
                    </w:rPr>
                    <w:t>；</w:t>
                  </w:r>
                </w:p>
                <w:p w14:paraId="641D73FD">
                  <w:pPr>
                    <w:keepNext w:val="0"/>
                    <w:keepLines w:val="0"/>
                    <w:pageBreakBefore w:val="0"/>
                    <w:widowControl/>
                    <w:suppressLineNumbers w:val="0"/>
                    <w:kinsoku/>
                    <w:wordWrap/>
                    <w:overflowPunct/>
                    <w:topLinePunct w:val="0"/>
                    <w:autoSpaceDE/>
                    <w:autoSpaceDN/>
                    <w:bidi w:val="0"/>
                    <w:jc w:val="left"/>
                    <w:rPr>
                      <w:rFonts w:hint="default" w:ascii="Times New Roman" w:hAnsi="Times New Roman" w:eastAsia="宋体" w:cs="宋体"/>
                      <w:color w:val="auto"/>
                      <w:kern w:val="0"/>
                      <w:sz w:val="18"/>
                      <w:szCs w:val="18"/>
                      <w:shd w:val="clear" w:color="auto" w:fill="auto"/>
                      <w:lang w:val="en-US" w:eastAsia="zh-CN" w:bidi="ar"/>
                    </w:rPr>
                  </w:pPr>
                  <w:r>
                    <w:rPr>
                      <w:rFonts w:hint="eastAsia" w:cs="宋体"/>
                      <w:color w:val="auto"/>
                      <w:kern w:val="0"/>
                      <w:sz w:val="18"/>
                      <w:szCs w:val="18"/>
                      <w:shd w:val="clear" w:color="auto" w:fill="auto"/>
                      <w:lang w:val="en-US" w:eastAsia="zh-CN" w:bidi="ar"/>
                    </w:rPr>
                    <w:t>4.</w:t>
                  </w:r>
                  <w:r>
                    <w:rPr>
                      <w:rFonts w:hint="eastAsia" w:ascii="Times New Roman" w:hAnsi="Times New Roman" w:eastAsia="宋体" w:cs="宋体"/>
                      <w:color w:val="auto"/>
                      <w:kern w:val="0"/>
                      <w:sz w:val="18"/>
                      <w:szCs w:val="18"/>
                      <w:shd w:val="clear" w:color="auto" w:fill="auto"/>
                      <w:lang w:val="en-US" w:eastAsia="zh-CN" w:bidi="ar"/>
                    </w:rPr>
                    <w:t>涉及浓度的原辅材料均已换算成纯物质的量计。</w:t>
                  </w:r>
                </w:p>
              </w:tc>
            </w:tr>
          </w:tbl>
          <w:p w14:paraId="322D0F96">
            <w:pPr>
              <w:pStyle w:val="24"/>
              <w:bidi w:val="0"/>
              <w:rPr>
                <w:rFonts w:hint="default"/>
                <w:color w:val="auto"/>
                <w:lang w:val="en-US" w:eastAsia="zh-CN"/>
              </w:rPr>
            </w:pPr>
            <w:r>
              <w:rPr>
                <w:rFonts w:hint="eastAsia"/>
                <w:color w:val="auto"/>
                <w:lang w:val="en-US" w:eastAsia="zh-CN"/>
              </w:rPr>
              <w:t>表2.1-6  主要原辅材料理化性质表</w:t>
            </w:r>
            <w:r>
              <w:rPr>
                <w:rFonts w:hint="eastAsia" w:cs="Times New Roman"/>
                <w:b/>
                <w:color w:val="auto"/>
                <w:kern w:val="0"/>
                <w:sz w:val="24"/>
                <w:szCs w:val="20"/>
                <w:lang w:val="en-US" w:eastAsia="zh-CN" w:bidi="ar-SA"/>
              </w:rPr>
              <w:t>（涉密）</w:t>
            </w:r>
          </w:p>
          <w:tbl>
            <w:tblPr>
              <w:tblStyle w:val="1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639"/>
              <w:gridCol w:w="2537"/>
              <w:gridCol w:w="1974"/>
              <w:gridCol w:w="2270"/>
            </w:tblGrid>
            <w:tr w14:paraId="169314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 w:hRule="atLeast"/>
                <w:jc w:val="center"/>
              </w:trPr>
              <w:tc>
                <w:tcPr>
                  <w:tcW w:w="973" w:type="pct"/>
                  <w:tcBorders>
                    <w:tl2br w:val="nil"/>
                    <w:tr2bl w:val="nil"/>
                  </w:tcBorders>
                  <w:noWrap w:val="0"/>
                  <w:vAlign w:val="center"/>
                </w:tcPr>
                <w:p w14:paraId="17446F64">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b/>
                      <w:bCs/>
                      <w:color w:val="auto"/>
                      <w:sz w:val="21"/>
                      <w:szCs w:val="21"/>
                    </w:rPr>
                  </w:pPr>
                </w:p>
              </w:tc>
              <w:tc>
                <w:tcPr>
                  <w:tcW w:w="1506" w:type="pct"/>
                  <w:tcBorders>
                    <w:tl2br w:val="nil"/>
                    <w:tr2bl w:val="nil"/>
                  </w:tcBorders>
                  <w:noWrap w:val="0"/>
                  <w:vAlign w:val="center"/>
                </w:tcPr>
                <w:p w14:paraId="0F7B7EA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b/>
                      <w:bCs/>
                      <w:color w:val="auto"/>
                      <w:sz w:val="21"/>
                      <w:szCs w:val="21"/>
                    </w:rPr>
                  </w:pPr>
                </w:p>
              </w:tc>
              <w:tc>
                <w:tcPr>
                  <w:tcW w:w="1172" w:type="pct"/>
                  <w:tcBorders>
                    <w:tl2br w:val="nil"/>
                    <w:tr2bl w:val="nil"/>
                  </w:tcBorders>
                  <w:noWrap w:val="0"/>
                  <w:vAlign w:val="center"/>
                </w:tcPr>
                <w:p w14:paraId="0114F9B9">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b/>
                      <w:bCs/>
                      <w:color w:val="auto"/>
                      <w:sz w:val="21"/>
                      <w:szCs w:val="21"/>
                    </w:rPr>
                  </w:pPr>
                </w:p>
              </w:tc>
              <w:tc>
                <w:tcPr>
                  <w:tcW w:w="1347" w:type="pct"/>
                  <w:tcBorders>
                    <w:tl2br w:val="nil"/>
                    <w:tr2bl w:val="nil"/>
                  </w:tcBorders>
                  <w:noWrap w:val="0"/>
                  <w:vAlign w:val="center"/>
                </w:tcPr>
                <w:p w14:paraId="50A62762">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b/>
                      <w:bCs/>
                      <w:color w:val="auto"/>
                      <w:sz w:val="21"/>
                      <w:szCs w:val="21"/>
                    </w:rPr>
                  </w:pPr>
                </w:p>
              </w:tc>
            </w:tr>
            <w:tr w14:paraId="655C8F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605" w:hRule="atLeast"/>
                <w:jc w:val="center"/>
              </w:trPr>
              <w:tc>
                <w:tcPr>
                  <w:tcW w:w="973" w:type="pct"/>
                  <w:tcBorders>
                    <w:tl2br w:val="nil"/>
                    <w:tr2bl w:val="nil"/>
                  </w:tcBorders>
                  <w:noWrap w:val="0"/>
                  <w:vAlign w:val="center"/>
                </w:tcPr>
                <w:p w14:paraId="58441506">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c>
                <w:tcPr>
                  <w:tcW w:w="1506" w:type="pct"/>
                  <w:tcBorders>
                    <w:tl2br w:val="nil"/>
                    <w:tr2bl w:val="nil"/>
                  </w:tcBorders>
                  <w:noWrap w:val="0"/>
                  <w:vAlign w:val="center"/>
                </w:tcPr>
                <w:p w14:paraId="50BD74B3">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c>
                <w:tcPr>
                  <w:tcW w:w="1172" w:type="pct"/>
                  <w:tcBorders>
                    <w:tl2br w:val="nil"/>
                    <w:tr2bl w:val="nil"/>
                  </w:tcBorders>
                  <w:noWrap w:val="0"/>
                  <w:vAlign w:val="center"/>
                </w:tcPr>
                <w:p w14:paraId="358AC893">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c>
                <w:tcPr>
                  <w:tcW w:w="1347" w:type="pct"/>
                  <w:tcBorders>
                    <w:tl2br w:val="nil"/>
                    <w:tr2bl w:val="nil"/>
                  </w:tcBorders>
                  <w:noWrap w:val="0"/>
                  <w:vAlign w:val="center"/>
                </w:tcPr>
                <w:p w14:paraId="4E91DD75">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r>
            <w:tr w14:paraId="16C8B8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 w:hRule="atLeast"/>
                <w:jc w:val="center"/>
              </w:trPr>
              <w:tc>
                <w:tcPr>
                  <w:tcW w:w="973" w:type="pct"/>
                  <w:tcBorders>
                    <w:tl2br w:val="nil"/>
                    <w:tr2bl w:val="nil"/>
                  </w:tcBorders>
                  <w:noWrap w:val="0"/>
                  <w:vAlign w:val="center"/>
                </w:tcPr>
                <w:p w14:paraId="39070A1D">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c>
                <w:tcPr>
                  <w:tcW w:w="1506" w:type="pct"/>
                  <w:tcBorders>
                    <w:tl2br w:val="nil"/>
                    <w:tr2bl w:val="nil"/>
                  </w:tcBorders>
                  <w:noWrap w:val="0"/>
                  <w:vAlign w:val="center"/>
                </w:tcPr>
                <w:p w14:paraId="77AADD94">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c>
                <w:tcPr>
                  <w:tcW w:w="1172" w:type="pct"/>
                  <w:tcBorders>
                    <w:tl2br w:val="nil"/>
                    <w:tr2bl w:val="nil"/>
                  </w:tcBorders>
                  <w:noWrap w:val="0"/>
                  <w:vAlign w:val="center"/>
                </w:tcPr>
                <w:p w14:paraId="609DBF3F">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c>
                <w:tcPr>
                  <w:tcW w:w="1347" w:type="pct"/>
                  <w:tcBorders>
                    <w:tl2br w:val="nil"/>
                    <w:tr2bl w:val="nil"/>
                  </w:tcBorders>
                  <w:noWrap w:val="0"/>
                  <w:vAlign w:val="center"/>
                </w:tcPr>
                <w:p w14:paraId="01CD48CC">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r>
            <w:tr w14:paraId="02DC60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 w:hRule="atLeast"/>
                <w:jc w:val="center"/>
              </w:trPr>
              <w:tc>
                <w:tcPr>
                  <w:tcW w:w="973" w:type="pct"/>
                  <w:tcBorders>
                    <w:tl2br w:val="nil"/>
                    <w:tr2bl w:val="nil"/>
                  </w:tcBorders>
                  <w:noWrap w:val="0"/>
                  <w:vAlign w:val="center"/>
                </w:tcPr>
                <w:p w14:paraId="2555474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c>
                <w:tcPr>
                  <w:tcW w:w="1506" w:type="pct"/>
                  <w:tcBorders>
                    <w:tl2br w:val="nil"/>
                    <w:tr2bl w:val="nil"/>
                  </w:tcBorders>
                  <w:noWrap w:val="0"/>
                  <w:vAlign w:val="center"/>
                </w:tcPr>
                <w:p w14:paraId="4F8DA5C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c>
                <w:tcPr>
                  <w:tcW w:w="1172" w:type="pct"/>
                  <w:tcBorders>
                    <w:tl2br w:val="nil"/>
                    <w:tr2bl w:val="nil"/>
                  </w:tcBorders>
                  <w:noWrap w:val="0"/>
                  <w:vAlign w:val="center"/>
                </w:tcPr>
                <w:p w14:paraId="10A16A0C">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c>
                <w:tcPr>
                  <w:tcW w:w="1347" w:type="pct"/>
                  <w:tcBorders>
                    <w:tl2br w:val="nil"/>
                    <w:tr2bl w:val="nil"/>
                  </w:tcBorders>
                  <w:noWrap w:val="0"/>
                  <w:vAlign w:val="center"/>
                </w:tcPr>
                <w:p w14:paraId="0DA7BCF2">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r>
            <w:tr w14:paraId="535A56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 w:hRule="atLeast"/>
                <w:jc w:val="center"/>
              </w:trPr>
              <w:tc>
                <w:tcPr>
                  <w:tcW w:w="973" w:type="pct"/>
                  <w:tcBorders>
                    <w:tl2br w:val="nil"/>
                    <w:tr2bl w:val="nil"/>
                  </w:tcBorders>
                  <w:noWrap w:val="0"/>
                  <w:vAlign w:val="center"/>
                </w:tcPr>
                <w:p w14:paraId="197F8321">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c>
                <w:tcPr>
                  <w:tcW w:w="1506" w:type="pct"/>
                  <w:tcBorders>
                    <w:tl2br w:val="nil"/>
                    <w:tr2bl w:val="nil"/>
                  </w:tcBorders>
                  <w:noWrap w:val="0"/>
                  <w:vAlign w:val="center"/>
                </w:tcPr>
                <w:p w14:paraId="5EBB0A0C">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c>
                <w:tcPr>
                  <w:tcW w:w="1172" w:type="pct"/>
                  <w:tcBorders>
                    <w:tl2br w:val="nil"/>
                    <w:tr2bl w:val="nil"/>
                  </w:tcBorders>
                  <w:noWrap w:val="0"/>
                  <w:vAlign w:val="center"/>
                </w:tcPr>
                <w:p w14:paraId="416FD22F">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c>
                <w:tcPr>
                  <w:tcW w:w="1347" w:type="pct"/>
                  <w:tcBorders>
                    <w:tl2br w:val="nil"/>
                    <w:tr2bl w:val="nil"/>
                  </w:tcBorders>
                  <w:noWrap w:val="0"/>
                  <w:vAlign w:val="center"/>
                </w:tcPr>
                <w:p w14:paraId="6ECB9755">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r>
            <w:tr w14:paraId="110067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 w:hRule="atLeast"/>
                <w:jc w:val="center"/>
              </w:trPr>
              <w:tc>
                <w:tcPr>
                  <w:tcW w:w="973" w:type="pct"/>
                  <w:tcBorders>
                    <w:tl2br w:val="nil"/>
                    <w:tr2bl w:val="nil"/>
                  </w:tcBorders>
                  <w:noWrap w:val="0"/>
                  <w:vAlign w:val="center"/>
                </w:tcPr>
                <w:p w14:paraId="66DEF4C6">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eastAsia" w:ascii="Times New Roman" w:hAnsi="Times New Roman" w:eastAsia="宋体"/>
                      <w:color w:val="auto"/>
                      <w:sz w:val="21"/>
                      <w:szCs w:val="21"/>
                      <w:lang w:val="en-US" w:eastAsia="zh-CN"/>
                    </w:rPr>
                  </w:pPr>
                </w:p>
              </w:tc>
              <w:tc>
                <w:tcPr>
                  <w:tcW w:w="1506" w:type="pct"/>
                  <w:tcBorders>
                    <w:tl2br w:val="nil"/>
                    <w:tr2bl w:val="nil"/>
                  </w:tcBorders>
                  <w:noWrap w:val="0"/>
                  <w:vAlign w:val="center"/>
                </w:tcPr>
                <w:p w14:paraId="190FBD95">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eastAsia" w:ascii="Times New Roman" w:hAnsi="Times New Roman" w:eastAsia="宋体"/>
                      <w:color w:val="auto"/>
                      <w:sz w:val="21"/>
                      <w:szCs w:val="21"/>
                      <w:lang w:eastAsia="zh-CN"/>
                    </w:rPr>
                  </w:pPr>
                </w:p>
              </w:tc>
              <w:tc>
                <w:tcPr>
                  <w:tcW w:w="1172" w:type="pct"/>
                  <w:tcBorders>
                    <w:tl2br w:val="nil"/>
                    <w:tr2bl w:val="nil"/>
                  </w:tcBorders>
                  <w:noWrap w:val="0"/>
                  <w:vAlign w:val="center"/>
                </w:tcPr>
                <w:p w14:paraId="611EFF67">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c>
                <w:tcPr>
                  <w:tcW w:w="1347" w:type="pct"/>
                  <w:tcBorders>
                    <w:tl2br w:val="nil"/>
                    <w:tr2bl w:val="nil"/>
                  </w:tcBorders>
                  <w:noWrap w:val="0"/>
                  <w:vAlign w:val="center"/>
                </w:tcPr>
                <w:p w14:paraId="03802C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Times New Roman" w:hAnsi="Times New Roman" w:eastAsia="宋体"/>
                      <w:color w:val="auto"/>
                      <w:sz w:val="21"/>
                      <w:szCs w:val="21"/>
                    </w:rPr>
                  </w:pPr>
                </w:p>
              </w:tc>
            </w:tr>
            <w:tr w14:paraId="1EE492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22" w:hRule="atLeast"/>
                <w:jc w:val="center"/>
              </w:trPr>
              <w:tc>
                <w:tcPr>
                  <w:tcW w:w="973" w:type="pct"/>
                  <w:tcBorders>
                    <w:tl2br w:val="nil"/>
                    <w:tr2bl w:val="nil"/>
                  </w:tcBorders>
                  <w:noWrap w:val="0"/>
                  <w:vAlign w:val="center"/>
                </w:tcPr>
                <w:p w14:paraId="7C9D5BDA">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c>
                <w:tcPr>
                  <w:tcW w:w="1506" w:type="pct"/>
                  <w:tcBorders>
                    <w:tl2br w:val="nil"/>
                    <w:tr2bl w:val="nil"/>
                  </w:tcBorders>
                  <w:noWrap w:val="0"/>
                  <w:vAlign w:val="center"/>
                </w:tcPr>
                <w:p w14:paraId="5DF2F30F">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c>
                <w:tcPr>
                  <w:tcW w:w="1172" w:type="pct"/>
                  <w:tcBorders>
                    <w:tl2br w:val="nil"/>
                    <w:tr2bl w:val="nil"/>
                  </w:tcBorders>
                  <w:noWrap w:val="0"/>
                  <w:vAlign w:val="center"/>
                </w:tcPr>
                <w:p w14:paraId="76FC0C1C">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c>
                <w:tcPr>
                  <w:tcW w:w="1347" w:type="pct"/>
                  <w:tcBorders>
                    <w:tl2br w:val="nil"/>
                    <w:tr2bl w:val="nil"/>
                  </w:tcBorders>
                  <w:noWrap w:val="0"/>
                  <w:vAlign w:val="center"/>
                </w:tcPr>
                <w:p w14:paraId="61EE8E5D">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r>
            <w:tr w14:paraId="093CCD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38" w:hRule="atLeast"/>
                <w:jc w:val="center"/>
              </w:trPr>
              <w:tc>
                <w:tcPr>
                  <w:tcW w:w="973" w:type="pct"/>
                  <w:tcBorders>
                    <w:tl2br w:val="nil"/>
                    <w:tr2bl w:val="nil"/>
                  </w:tcBorders>
                  <w:noWrap w:val="0"/>
                  <w:vAlign w:val="center"/>
                </w:tcPr>
                <w:p w14:paraId="4FE4FF15">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c>
                <w:tcPr>
                  <w:tcW w:w="1506" w:type="pct"/>
                  <w:tcBorders>
                    <w:tl2br w:val="nil"/>
                    <w:tr2bl w:val="nil"/>
                  </w:tcBorders>
                  <w:noWrap w:val="0"/>
                  <w:vAlign w:val="center"/>
                </w:tcPr>
                <w:p w14:paraId="0A748DB4">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c>
                <w:tcPr>
                  <w:tcW w:w="1172" w:type="pct"/>
                  <w:tcBorders>
                    <w:tl2br w:val="nil"/>
                    <w:tr2bl w:val="nil"/>
                  </w:tcBorders>
                  <w:noWrap w:val="0"/>
                  <w:vAlign w:val="center"/>
                </w:tcPr>
                <w:p w14:paraId="7DD67138">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c>
                <w:tcPr>
                  <w:tcW w:w="1347" w:type="pct"/>
                  <w:tcBorders>
                    <w:tl2br w:val="nil"/>
                    <w:tr2bl w:val="nil"/>
                  </w:tcBorders>
                  <w:noWrap w:val="0"/>
                  <w:vAlign w:val="center"/>
                </w:tcPr>
                <w:p w14:paraId="5E2A9485">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r>
            <w:tr w14:paraId="07DE56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973" w:type="pct"/>
                  <w:tcBorders>
                    <w:tl2br w:val="nil"/>
                    <w:tr2bl w:val="nil"/>
                  </w:tcBorders>
                  <w:noWrap w:val="0"/>
                  <w:vAlign w:val="center"/>
                </w:tcPr>
                <w:p w14:paraId="5652F934">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c>
                <w:tcPr>
                  <w:tcW w:w="1506" w:type="pct"/>
                  <w:tcBorders>
                    <w:tl2br w:val="nil"/>
                    <w:tr2bl w:val="nil"/>
                  </w:tcBorders>
                  <w:noWrap w:val="0"/>
                  <w:vAlign w:val="center"/>
                </w:tcPr>
                <w:p w14:paraId="04A1731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c>
                <w:tcPr>
                  <w:tcW w:w="1172" w:type="pct"/>
                  <w:tcBorders>
                    <w:tl2br w:val="nil"/>
                    <w:tr2bl w:val="nil"/>
                  </w:tcBorders>
                  <w:noWrap w:val="0"/>
                  <w:vAlign w:val="center"/>
                </w:tcPr>
                <w:p w14:paraId="6BDAE82A">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c>
                <w:tcPr>
                  <w:tcW w:w="1347" w:type="pct"/>
                  <w:tcBorders>
                    <w:tl2br w:val="nil"/>
                    <w:tr2bl w:val="nil"/>
                  </w:tcBorders>
                  <w:noWrap w:val="0"/>
                  <w:vAlign w:val="center"/>
                </w:tcPr>
                <w:p w14:paraId="6C0BB7EE">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r>
            <w:tr w14:paraId="7C05A6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6" w:hRule="atLeast"/>
                <w:jc w:val="center"/>
              </w:trPr>
              <w:tc>
                <w:tcPr>
                  <w:tcW w:w="973" w:type="pct"/>
                  <w:tcBorders>
                    <w:tl2br w:val="nil"/>
                    <w:tr2bl w:val="nil"/>
                  </w:tcBorders>
                  <w:noWrap w:val="0"/>
                  <w:vAlign w:val="center"/>
                </w:tcPr>
                <w:p w14:paraId="697D6A2F">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eastAsia" w:ascii="Times New Roman" w:hAnsi="Times New Roman" w:eastAsia="宋体"/>
                      <w:color w:val="auto"/>
                      <w:sz w:val="21"/>
                      <w:szCs w:val="21"/>
                      <w:lang w:val="en-US" w:eastAsia="zh-CN"/>
                    </w:rPr>
                  </w:pPr>
                </w:p>
              </w:tc>
              <w:tc>
                <w:tcPr>
                  <w:tcW w:w="1506" w:type="pct"/>
                  <w:tcBorders>
                    <w:tl2br w:val="nil"/>
                    <w:tr2bl w:val="nil"/>
                  </w:tcBorders>
                  <w:noWrap w:val="0"/>
                  <w:vAlign w:val="center"/>
                </w:tcPr>
                <w:p w14:paraId="0D9D61A6">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rPr>
                  </w:pPr>
                </w:p>
              </w:tc>
              <w:tc>
                <w:tcPr>
                  <w:tcW w:w="1172" w:type="pct"/>
                  <w:tcBorders>
                    <w:tl2br w:val="nil"/>
                    <w:tr2bl w:val="nil"/>
                  </w:tcBorders>
                  <w:noWrap w:val="0"/>
                  <w:vAlign w:val="center"/>
                </w:tcPr>
                <w:p w14:paraId="5EA1CF09">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eastAsia" w:ascii="Times New Roman" w:hAnsi="Times New Roman" w:eastAsia="宋体"/>
                      <w:color w:val="auto"/>
                      <w:sz w:val="21"/>
                      <w:szCs w:val="21"/>
                      <w:lang w:val="en-US" w:eastAsia="zh-CN"/>
                    </w:rPr>
                  </w:pPr>
                </w:p>
              </w:tc>
              <w:tc>
                <w:tcPr>
                  <w:tcW w:w="1347" w:type="pct"/>
                  <w:tcBorders>
                    <w:tl2br w:val="nil"/>
                    <w:tr2bl w:val="nil"/>
                  </w:tcBorders>
                  <w:noWrap w:val="0"/>
                  <w:vAlign w:val="center"/>
                </w:tcPr>
                <w:p w14:paraId="3A98257B">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eastAsia" w:ascii="Times New Roman" w:hAnsi="Times New Roman" w:eastAsia="宋体"/>
                      <w:color w:val="auto"/>
                      <w:sz w:val="21"/>
                      <w:szCs w:val="21"/>
                      <w:lang w:val="en-US" w:eastAsia="zh-CN"/>
                    </w:rPr>
                  </w:pPr>
                </w:p>
              </w:tc>
            </w:tr>
          </w:tbl>
          <w:p w14:paraId="6C66F1BD">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27" w:name="_Toc17091"/>
            <w:r>
              <w:rPr>
                <w:rFonts w:hint="eastAsia" w:ascii="Times New Roman" w:hAnsi="Times New Roman" w:eastAsia="宋体" w:cs="Times New Roman"/>
                <w:b/>
                <w:color w:val="auto"/>
                <w:kern w:val="2"/>
                <w:sz w:val="24"/>
                <w:szCs w:val="24"/>
                <w:lang w:val="en-US" w:eastAsia="zh-CN" w:bidi="ar-SA"/>
              </w:rPr>
              <w:t>2.1.7项目主要能源消耗</w:t>
            </w:r>
            <w:bookmarkEnd w:id="27"/>
          </w:p>
          <w:p w14:paraId="58E0C847">
            <w:pPr>
              <w:widowControl w:val="0"/>
              <w:bidi w:val="0"/>
              <w:adjustRightInd w:val="0"/>
              <w:snapToGrid w:val="0"/>
              <w:spacing w:before="10" w:beforeLines="10" w:after="10" w:afterLines="10"/>
              <w:jc w:val="center"/>
              <w:rPr>
                <w:rFonts w:hint="eastAsia"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表2.1-7  项目主要能源消耗</w:t>
            </w:r>
            <w:r>
              <w:rPr>
                <w:rFonts w:hint="eastAsia" w:cs="Times New Roman"/>
                <w:b/>
                <w:color w:val="auto"/>
                <w:kern w:val="0"/>
                <w:sz w:val="24"/>
                <w:szCs w:val="20"/>
                <w:lang w:val="en-US" w:eastAsia="zh-CN" w:bidi="ar-SA"/>
              </w:rPr>
              <w:t>（涉密）</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9"/>
              <w:gridCol w:w="2089"/>
              <w:gridCol w:w="2089"/>
              <w:gridCol w:w="2090"/>
            </w:tblGrid>
            <w:tr w14:paraId="4AA46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9" w:type="dxa"/>
                  <w:tcBorders>
                    <w:top w:val="single" w:color="auto" w:sz="12" w:space="0"/>
                  </w:tcBorders>
                  <w:noWrap w:val="0"/>
                  <w:vAlign w:val="top"/>
                </w:tcPr>
                <w:p w14:paraId="536DFE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color w:val="auto"/>
                      <w:kern w:val="0"/>
                      <w:sz w:val="24"/>
                      <w:szCs w:val="20"/>
                      <w:vertAlign w:val="baseline"/>
                      <w:lang w:val="en-US" w:eastAsia="zh-CN" w:bidi="ar-SA"/>
                    </w:rPr>
                  </w:pPr>
                </w:p>
              </w:tc>
              <w:tc>
                <w:tcPr>
                  <w:tcW w:w="2089" w:type="dxa"/>
                  <w:tcBorders>
                    <w:top w:val="single" w:color="auto" w:sz="12" w:space="0"/>
                  </w:tcBorders>
                  <w:noWrap w:val="0"/>
                  <w:vAlign w:val="top"/>
                </w:tcPr>
                <w:p w14:paraId="4F97B8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color w:val="auto"/>
                      <w:kern w:val="0"/>
                      <w:sz w:val="24"/>
                      <w:szCs w:val="20"/>
                      <w:vertAlign w:val="baseline"/>
                      <w:lang w:val="en-US" w:eastAsia="zh-CN" w:bidi="ar-SA"/>
                    </w:rPr>
                  </w:pPr>
                </w:p>
              </w:tc>
              <w:tc>
                <w:tcPr>
                  <w:tcW w:w="2089" w:type="dxa"/>
                  <w:tcBorders>
                    <w:top w:val="single" w:color="auto" w:sz="12" w:space="0"/>
                  </w:tcBorders>
                  <w:noWrap w:val="0"/>
                  <w:vAlign w:val="top"/>
                </w:tcPr>
                <w:p w14:paraId="17AF1D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color w:val="auto"/>
                      <w:kern w:val="0"/>
                      <w:sz w:val="24"/>
                      <w:szCs w:val="20"/>
                      <w:vertAlign w:val="baseline"/>
                      <w:lang w:val="en-US" w:eastAsia="zh-CN" w:bidi="ar-SA"/>
                    </w:rPr>
                  </w:pPr>
                </w:p>
              </w:tc>
              <w:tc>
                <w:tcPr>
                  <w:tcW w:w="2090" w:type="dxa"/>
                  <w:tcBorders>
                    <w:top w:val="single" w:color="auto" w:sz="12" w:space="0"/>
                    <w:right w:val="nil"/>
                  </w:tcBorders>
                  <w:noWrap w:val="0"/>
                  <w:vAlign w:val="top"/>
                </w:tcPr>
                <w:p w14:paraId="28239A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color w:val="auto"/>
                      <w:kern w:val="0"/>
                      <w:sz w:val="24"/>
                      <w:szCs w:val="20"/>
                      <w:vertAlign w:val="baseline"/>
                      <w:lang w:val="en-US" w:eastAsia="zh-CN" w:bidi="ar-SA"/>
                    </w:rPr>
                  </w:pPr>
                </w:p>
              </w:tc>
            </w:tr>
            <w:tr w14:paraId="21B4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9" w:type="dxa"/>
                  <w:tcBorders>
                    <w:left w:val="nil"/>
                  </w:tcBorders>
                  <w:noWrap w:val="0"/>
                  <w:vAlign w:val="top"/>
                </w:tcPr>
                <w:p w14:paraId="18D892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color w:val="auto"/>
                      <w:kern w:val="0"/>
                      <w:sz w:val="24"/>
                      <w:szCs w:val="20"/>
                      <w:vertAlign w:val="baseline"/>
                      <w:lang w:val="en-US" w:eastAsia="zh-CN" w:bidi="ar-SA"/>
                    </w:rPr>
                  </w:pPr>
                </w:p>
              </w:tc>
              <w:tc>
                <w:tcPr>
                  <w:tcW w:w="2089" w:type="dxa"/>
                  <w:noWrap w:val="0"/>
                  <w:vAlign w:val="top"/>
                </w:tcPr>
                <w:p w14:paraId="20848B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color w:val="auto"/>
                      <w:kern w:val="0"/>
                      <w:sz w:val="24"/>
                      <w:szCs w:val="20"/>
                      <w:vertAlign w:val="baseline"/>
                      <w:lang w:val="en-US" w:eastAsia="zh-CN" w:bidi="ar-SA"/>
                    </w:rPr>
                  </w:pPr>
                </w:p>
              </w:tc>
              <w:tc>
                <w:tcPr>
                  <w:tcW w:w="2089" w:type="dxa"/>
                  <w:noWrap w:val="0"/>
                  <w:vAlign w:val="top"/>
                </w:tcPr>
                <w:p w14:paraId="41F904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color w:val="auto"/>
                      <w:kern w:val="0"/>
                      <w:sz w:val="24"/>
                      <w:szCs w:val="20"/>
                      <w:vertAlign w:val="baseline"/>
                      <w:lang w:val="en-US" w:eastAsia="zh-CN" w:bidi="ar-SA"/>
                    </w:rPr>
                  </w:pPr>
                </w:p>
              </w:tc>
              <w:tc>
                <w:tcPr>
                  <w:tcW w:w="2090" w:type="dxa"/>
                  <w:tcBorders>
                    <w:right w:val="nil"/>
                  </w:tcBorders>
                  <w:noWrap w:val="0"/>
                  <w:vAlign w:val="top"/>
                </w:tcPr>
                <w:p w14:paraId="3AF8711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color w:val="auto"/>
                      <w:kern w:val="0"/>
                      <w:sz w:val="24"/>
                      <w:szCs w:val="20"/>
                      <w:vertAlign w:val="baseline"/>
                      <w:lang w:val="en-US" w:eastAsia="zh-CN" w:bidi="ar-SA"/>
                    </w:rPr>
                  </w:pPr>
                </w:p>
              </w:tc>
            </w:tr>
            <w:tr w14:paraId="1D2B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9" w:type="dxa"/>
                  <w:tcBorders>
                    <w:left w:val="nil"/>
                    <w:bottom w:val="single" w:color="auto" w:sz="12" w:space="0"/>
                  </w:tcBorders>
                  <w:noWrap w:val="0"/>
                  <w:vAlign w:val="top"/>
                </w:tcPr>
                <w:p w14:paraId="40D075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color w:val="auto"/>
                      <w:kern w:val="0"/>
                      <w:sz w:val="24"/>
                      <w:szCs w:val="20"/>
                      <w:vertAlign w:val="baseline"/>
                      <w:lang w:val="en-US" w:eastAsia="zh-CN" w:bidi="ar-SA"/>
                    </w:rPr>
                  </w:pPr>
                </w:p>
              </w:tc>
              <w:tc>
                <w:tcPr>
                  <w:tcW w:w="2089" w:type="dxa"/>
                  <w:tcBorders>
                    <w:bottom w:val="single" w:color="auto" w:sz="12" w:space="0"/>
                  </w:tcBorders>
                  <w:noWrap w:val="0"/>
                  <w:vAlign w:val="top"/>
                </w:tcPr>
                <w:p w14:paraId="517C0B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color w:val="auto"/>
                      <w:kern w:val="0"/>
                      <w:sz w:val="24"/>
                      <w:szCs w:val="20"/>
                      <w:vertAlign w:val="baseline"/>
                      <w:lang w:val="en-US" w:eastAsia="zh-CN" w:bidi="ar-SA"/>
                    </w:rPr>
                  </w:pPr>
                </w:p>
              </w:tc>
              <w:tc>
                <w:tcPr>
                  <w:tcW w:w="2089" w:type="dxa"/>
                  <w:tcBorders>
                    <w:bottom w:val="single" w:color="auto" w:sz="12" w:space="0"/>
                  </w:tcBorders>
                  <w:noWrap w:val="0"/>
                  <w:vAlign w:val="top"/>
                </w:tcPr>
                <w:p w14:paraId="618965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color w:val="auto"/>
                      <w:kern w:val="0"/>
                      <w:sz w:val="24"/>
                      <w:szCs w:val="20"/>
                      <w:vertAlign w:val="baseline"/>
                      <w:lang w:val="en-US" w:eastAsia="zh-CN" w:bidi="ar-SA"/>
                    </w:rPr>
                  </w:pPr>
                </w:p>
              </w:tc>
              <w:tc>
                <w:tcPr>
                  <w:tcW w:w="2090" w:type="dxa"/>
                  <w:tcBorders>
                    <w:bottom w:val="single" w:color="auto" w:sz="12" w:space="0"/>
                    <w:right w:val="nil"/>
                  </w:tcBorders>
                  <w:noWrap w:val="0"/>
                  <w:vAlign w:val="top"/>
                </w:tcPr>
                <w:p w14:paraId="722579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color w:val="auto"/>
                      <w:kern w:val="0"/>
                      <w:sz w:val="24"/>
                      <w:szCs w:val="20"/>
                      <w:vertAlign w:val="baseline"/>
                      <w:lang w:val="en-US" w:eastAsia="zh-CN" w:bidi="ar-SA"/>
                    </w:rPr>
                  </w:pPr>
                </w:p>
              </w:tc>
            </w:tr>
          </w:tbl>
          <w:p w14:paraId="2C70CCF4">
            <w:pPr>
              <w:pStyle w:val="4"/>
              <w:bidi w:val="0"/>
              <w:rPr>
                <w:rFonts w:hint="eastAsia"/>
                <w:color w:val="auto"/>
                <w:lang w:val="en-US" w:eastAsia="zh-CN"/>
              </w:rPr>
            </w:pPr>
            <w:bookmarkStart w:id="28" w:name="_Toc4108"/>
            <w:r>
              <w:rPr>
                <w:rFonts w:hint="eastAsia"/>
                <w:color w:val="auto"/>
                <w:lang w:val="en-US" w:eastAsia="zh-CN"/>
              </w:rPr>
              <w:t>2.1.8项目水平衡</w:t>
            </w:r>
            <w:bookmarkEnd w:id="28"/>
          </w:p>
          <w:p w14:paraId="2BCE205E">
            <w:pPr>
              <w:pStyle w:val="25"/>
              <w:bidi w:val="0"/>
              <w:rPr>
                <w:rFonts w:hint="eastAsia"/>
                <w:color w:val="auto"/>
                <w:lang w:val="en-US" w:eastAsia="zh-CN"/>
              </w:rPr>
            </w:pPr>
            <w:r>
              <w:rPr>
                <w:rFonts w:hint="eastAsia"/>
                <w:color w:val="auto"/>
                <w:lang w:val="en-US" w:eastAsia="zh-CN"/>
              </w:rPr>
              <w:t>项目用水工序包括生产用水、职工生活用水。</w:t>
            </w:r>
          </w:p>
          <w:p w14:paraId="6A378AC4">
            <w:pPr>
              <w:pStyle w:val="25"/>
              <w:bidi w:val="0"/>
              <w:rPr>
                <w:rFonts w:hint="eastAsia"/>
                <w:color w:val="auto"/>
                <w:lang w:val="en-US" w:eastAsia="zh-CN"/>
              </w:rPr>
            </w:pPr>
            <w:r>
              <w:rPr>
                <w:rFonts w:hint="eastAsia"/>
                <w:color w:val="auto"/>
                <w:lang w:val="en-US" w:eastAsia="zh-CN"/>
              </w:rPr>
              <w:t>（1）生产用水</w:t>
            </w:r>
          </w:p>
          <w:p w14:paraId="3AB87C32">
            <w:pPr>
              <w:pStyle w:val="25"/>
              <w:bidi w:val="0"/>
              <w:rPr>
                <w:rFonts w:hint="eastAsia" w:ascii="Times New Roman" w:hAnsi="Times New Roman" w:eastAsia="宋体"/>
                <w:color w:val="auto"/>
                <w:sz w:val="24"/>
                <w:lang w:val="en-US" w:eastAsia="zh-CN"/>
              </w:rPr>
            </w:pPr>
            <w:r>
              <w:rPr>
                <w:rFonts w:hint="eastAsia" w:ascii="Times New Roman" w:hAnsi="Times New Roman" w:eastAsia="宋体"/>
                <w:color w:val="auto"/>
                <w:sz w:val="24"/>
                <w:lang w:val="en-US" w:eastAsia="zh-CN"/>
              </w:rPr>
              <w:t>生产用水包括</w:t>
            </w:r>
            <w:r>
              <w:rPr>
                <w:rFonts w:hint="eastAsia"/>
                <w:color w:val="auto"/>
                <w:sz w:val="24"/>
                <w:lang w:val="en-US" w:eastAsia="zh-CN"/>
              </w:rPr>
              <w:t>铣磨</w:t>
            </w:r>
            <w:r>
              <w:rPr>
                <w:rFonts w:hint="eastAsia" w:ascii="Times New Roman" w:hAnsi="Times New Roman" w:eastAsia="宋体"/>
                <w:color w:val="auto"/>
                <w:sz w:val="24"/>
                <w:lang w:val="en-US" w:eastAsia="zh-CN"/>
              </w:rPr>
              <w:t>用水、</w:t>
            </w:r>
            <w:r>
              <w:rPr>
                <w:rFonts w:hint="eastAsia"/>
                <w:color w:val="auto"/>
                <w:sz w:val="24"/>
                <w:lang w:val="en-US" w:eastAsia="zh-CN"/>
              </w:rPr>
              <w:t>铣磨</w:t>
            </w:r>
            <w:r>
              <w:rPr>
                <w:rFonts w:hint="eastAsia" w:ascii="Times New Roman" w:hAnsi="Times New Roman" w:eastAsia="宋体"/>
                <w:color w:val="auto"/>
                <w:sz w:val="24"/>
                <w:lang w:val="en-US" w:eastAsia="zh-CN"/>
              </w:rPr>
              <w:t>用水、研磨用水、纯水制备用水</w:t>
            </w:r>
            <w:r>
              <w:rPr>
                <w:rFonts w:hint="eastAsia" w:cs="Times New Roman"/>
                <w:color w:val="auto"/>
                <w:highlight w:val="none"/>
                <w:lang w:val="en-US" w:eastAsia="zh-CN"/>
              </w:rPr>
              <w:t>、</w:t>
            </w:r>
            <w:r>
              <w:rPr>
                <w:rFonts w:hint="eastAsia" w:ascii="Times New Roman" w:hAnsi="Times New Roman" w:eastAsia="宋体"/>
                <w:color w:val="auto"/>
                <w:sz w:val="24"/>
                <w:lang w:val="en-US" w:eastAsia="zh-CN"/>
              </w:rPr>
              <w:t>抛光用水以及</w:t>
            </w:r>
            <w:r>
              <w:rPr>
                <w:rFonts w:hint="eastAsia" w:cs="Times New Roman"/>
                <w:color w:val="auto"/>
                <w:highlight w:val="none"/>
                <w:lang w:val="en-US" w:eastAsia="zh-CN"/>
              </w:rPr>
              <w:t>喷淋塔用水</w:t>
            </w:r>
            <w:r>
              <w:rPr>
                <w:rFonts w:hint="eastAsia" w:ascii="Times New Roman" w:hAnsi="Times New Roman" w:eastAsia="宋体"/>
                <w:color w:val="auto"/>
                <w:sz w:val="24"/>
                <w:lang w:val="en-US" w:eastAsia="zh-CN"/>
              </w:rPr>
              <w:t>。</w:t>
            </w:r>
          </w:p>
          <w:p w14:paraId="32A2434F">
            <w:pPr>
              <w:pStyle w:val="25"/>
              <w:bidi w:val="0"/>
              <w:rPr>
                <w:rFonts w:hint="eastAsia" w:ascii="Times New Roman" w:hAnsi="Times New Roman" w:eastAsia="宋体"/>
                <w:color w:val="auto"/>
                <w:sz w:val="24"/>
                <w:lang w:val="en-US" w:eastAsia="zh-CN"/>
              </w:rPr>
            </w:pPr>
            <w:r>
              <w:rPr>
                <w:rFonts w:hint="eastAsia" w:ascii="Times New Roman" w:hAnsi="Times New Roman" w:eastAsia="宋体"/>
                <w:color w:val="auto"/>
                <w:sz w:val="24"/>
                <w:lang w:val="en-US" w:eastAsia="zh-CN"/>
              </w:rPr>
              <w:t>①</w:t>
            </w:r>
            <w:r>
              <w:rPr>
                <w:rFonts w:hint="eastAsia"/>
                <w:color w:val="auto"/>
                <w:sz w:val="24"/>
                <w:lang w:val="en-US" w:eastAsia="zh-CN"/>
              </w:rPr>
              <w:t>铣磨研磨</w:t>
            </w:r>
            <w:r>
              <w:rPr>
                <w:rFonts w:hint="eastAsia" w:ascii="Times New Roman" w:hAnsi="Times New Roman" w:eastAsia="宋体"/>
                <w:color w:val="auto"/>
                <w:sz w:val="24"/>
                <w:lang w:val="en-US" w:eastAsia="zh-CN"/>
              </w:rPr>
              <w:t>用水</w:t>
            </w:r>
          </w:p>
          <w:p w14:paraId="1EEA678C">
            <w:pPr>
              <w:pStyle w:val="25"/>
              <w:bidi w:val="0"/>
              <w:rPr>
                <w:rFonts w:hint="default" w:ascii="Times New Roman" w:hAnsi="Times New Roman" w:eastAsia="宋体"/>
                <w:color w:val="auto"/>
                <w:sz w:val="24"/>
                <w:lang w:val="en-US" w:eastAsia="zh-CN"/>
              </w:rPr>
            </w:pPr>
            <w:r>
              <w:rPr>
                <w:rFonts w:hint="eastAsia"/>
                <w:color w:val="auto"/>
                <w:sz w:val="24"/>
                <w:lang w:val="en-US" w:eastAsia="zh-CN"/>
              </w:rPr>
              <w:t>铣磨研磨</w:t>
            </w:r>
            <w:r>
              <w:rPr>
                <w:rFonts w:hint="default" w:ascii="Times New Roman" w:hAnsi="Times New Roman" w:eastAsia="宋体"/>
                <w:color w:val="auto"/>
                <w:sz w:val="24"/>
                <w:lang w:val="en-US" w:eastAsia="zh-CN"/>
              </w:rPr>
              <w:t>工序</w:t>
            </w:r>
            <w:r>
              <w:rPr>
                <w:rFonts w:hint="eastAsia" w:ascii="Times New Roman" w:hAnsi="Times New Roman" w:eastAsia="宋体"/>
                <w:color w:val="auto"/>
                <w:sz w:val="24"/>
                <w:lang w:val="en-US" w:eastAsia="zh-CN"/>
              </w:rPr>
              <w:t>是</w:t>
            </w:r>
            <w:r>
              <w:rPr>
                <w:rFonts w:hint="default" w:ascii="Times New Roman" w:hAnsi="Times New Roman" w:eastAsia="宋体"/>
                <w:color w:val="auto"/>
                <w:sz w:val="24"/>
                <w:lang w:val="en-US" w:eastAsia="zh-CN"/>
              </w:rPr>
              <w:t>在铣磨机上对</w:t>
            </w:r>
            <w:r>
              <w:rPr>
                <w:rFonts w:hint="eastAsia" w:ascii="Times New Roman" w:hAnsi="Times New Roman" w:eastAsia="宋体"/>
                <w:color w:val="auto"/>
                <w:sz w:val="24"/>
                <w:lang w:val="en-US" w:eastAsia="zh-CN"/>
              </w:rPr>
              <w:t>光学晶体</w:t>
            </w:r>
            <w:r>
              <w:rPr>
                <w:rFonts w:hint="default" w:ascii="Times New Roman" w:hAnsi="Times New Roman" w:eastAsia="宋体"/>
                <w:color w:val="auto"/>
                <w:sz w:val="24"/>
                <w:lang w:val="en-US" w:eastAsia="zh-CN"/>
              </w:rPr>
              <w:t>进行铣磨</w:t>
            </w:r>
            <w:r>
              <w:rPr>
                <w:rFonts w:hint="eastAsia"/>
                <w:color w:val="auto"/>
                <w:sz w:val="24"/>
                <w:lang w:val="en-US" w:eastAsia="zh-CN"/>
              </w:rPr>
              <w:t>研磨</w:t>
            </w:r>
            <w:r>
              <w:rPr>
                <w:rFonts w:hint="default" w:ascii="Times New Roman" w:hAnsi="Times New Roman" w:eastAsia="宋体"/>
                <w:color w:val="auto"/>
                <w:sz w:val="24"/>
                <w:lang w:val="en-US" w:eastAsia="zh-CN"/>
              </w:rPr>
              <w:t>操作。过程新鲜水使用量为</w:t>
            </w:r>
            <w:r>
              <w:rPr>
                <w:rFonts w:hint="eastAsia" w:ascii="Times New Roman" w:hAnsi="Times New Roman" w:eastAsia="宋体"/>
                <w:color w:val="auto"/>
                <w:sz w:val="24"/>
                <w:lang w:val="en-US" w:eastAsia="zh-CN"/>
              </w:rPr>
              <w:t>150</w:t>
            </w:r>
            <w:r>
              <w:rPr>
                <w:rFonts w:hint="default" w:ascii="Times New Roman" w:hAnsi="Times New Roman" w:eastAsia="宋体"/>
                <w:color w:val="auto"/>
                <w:sz w:val="24"/>
                <w:lang w:val="en-US" w:eastAsia="zh-CN"/>
              </w:rPr>
              <w:t>吨/年，</w:t>
            </w:r>
            <w:r>
              <w:rPr>
                <w:rFonts w:hint="eastAsia" w:ascii="Times New Roman" w:hAnsi="Times New Roman" w:eastAsia="宋体"/>
                <w:color w:val="auto"/>
                <w:sz w:val="24"/>
                <w:lang w:val="en-US" w:eastAsia="zh-CN"/>
              </w:rPr>
              <w:t>产生150吨的铣磨</w:t>
            </w:r>
            <w:r>
              <w:rPr>
                <w:rFonts w:hint="eastAsia"/>
                <w:color w:val="auto"/>
                <w:sz w:val="24"/>
                <w:lang w:val="en-US" w:eastAsia="zh-CN"/>
              </w:rPr>
              <w:t>研磨</w:t>
            </w:r>
            <w:r>
              <w:rPr>
                <w:rFonts w:hint="eastAsia" w:ascii="Times New Roman" w:hAnsi="Times New Roman" w:eastAsia="宋体"/>
                <w:color w:val="auto"/>
                <w:sz w:val="24"/>
                <w:lang w:val="en-US" w:eastAsia="zh-CN"/>
              </w:rPr>
              <w:t>废水，进入三格沉淀池沉淀处理后，进入集水调节池，再经过混凝沉淀废水处理设施处理达标后排入市政管网，纳入大学城污水处理厂。</w:t>
            </w:r>
          </w:p>
          <w:p w14:paraId="734C7E8C">
            <w:pPr>
              <w:pStyle w:val="25"/>
              <w:bidi w:val="0"/>
              <w:rPr>
                <w:rFonts w:hint="default" w:ascii="Times New Roman" w:hAnsi="Times New Roman" w:eastAsia="宋体"/>
                <w:color w:val="auto"/>
                <w:sz w:val="24"/>
                <w:lang w:val="en-US" w:eastAsia="zh-CN"/>
              </w:rPr>
            </w:pPr>
            <w:r>
              <w:rPr>
                <w:rFonts w:hint="default" w:ascii="Times New Roman" w:hAnsi="Times New Roman" w:eastAsia="宋体"/>
                <w:color w:val="auto"/>
                <w:sz w:val="24"/>
                <w:lang w:val="en-US" w:eastAsia="zh-CN"/>
              </w:rPr>
              <w:t>②</w:t>
            </w:r>
            <w:r>
              <w:rPr>
                <w:rFonts w:hint="eastAsia"/>
                <w:color w:val="auto"/>
                <w:sz w:val="24"/>
                <w:lang w:val="en-US" w:eastAsia="zh-CN"/>
              </w:rPr>
              <w:t>倒边</w:t>
            </w:r>
            <w:r>
              <w:rPr>
                <w:rFonts w:hint="default" w:ascii="Times New Roman" w:hAnsi="Times New Roman" w:eastAsia="宋体"/>
                <w:color w:val="auto"/>
                <w:sz w:val="24"/>
                <w:lang w:val="en-US" w:eastAsia="zh-CN"/>
              </w:rPr>
              <w:t>用水</w:t>
            </w:r>
          </w:p>
          <w:p w14:paraId="6188AD12">
            <w:pPr>
              <w:pStyle w:val="25"/>
              <w:bidi w:val="0"/>
              <w:rPr>
                <w:rFonts w:hint="eastAsia" w:ascii="Times New Roman" w:hAnsi="Times New Roman" w:eastAsia="宋体"/>
                <w:color w:val="auto"/>
                <w:sz w:val="24"/>
                <w:lang w:val="en-US" w:eastAsia="zh-CN"/>
              </w:rPr>
            </w:pPr>
            <w:r>
              <w:rPr>
                <w:rFonts w:hint="eastAsia"/>
                <w:color w:val="auto"/>
                <w:sz w:val="24"/>
                <w:lang w:val="en-US" w:eastAsia="zh-CN"/>
              </w:rPr>
              <w:t>倒边</w:t>
            </w:r>
            <w:r>
              <w:rPr>
                <w:rFonts w:hint="default" w:ascii="Times New Roman" w:hAnsi="Times New Roman" w:eastAsia="宋体"/>
                <w:color w:val="auto"/>
                <w:sz w:val="24"/>
                <w:lang w:val="en-US" w:eastAsia="zh-CN"/>
              </w:rPr>
              <w:t>工序在</w:t>
            </w:r>
            <w:r>
              <w:rPr>
                <w:rFonts w:hint="eastAsia"/>
                <w:color w:val="auto"/>
                <w:sz w:val="24"/>
                <w:lang w:val="en-US" w:eastAsia="zh-CN"/>
              </w:rPr>
              <w:t>铣磨</w:t>
            </w:r>
            <w:r>
              <w:rPr>
                <w:rFonts w:hint="default" w:ascii="Times New Roman" w:hAnsi="Times New Roman" w:eastAsia="宋体"/>
                <w:color w:val="auto"/>
                <w:sz w:val="24"/>
                <w:lang w:val="en-US" w:eastAsia="zh-CN"/>
              </w:rPr>
              <w:t>机上</w:t>
            </w:r>
            <w:r>
              <w:rPr>
                <w:rFonts w:hint="eastAsia"/>
                <w:color w:val="auto"/>
                <w:sz w:val="24"/>
                <w:lang w:val="en-US" w:eastAsia="zh-CN"/>
              </w:rPr>
              <w:t>对</w:t>
            </w:r>
            <w:r>
              <w:rPr>
                <w:rFonts w:hint="eastAsia" w:ascii="Times New Roman" w:hAnsi="Times New Roman" w:eastAsia="宋体"/>
                <w:color w:val="auto"/>
                <w:sz w:val="24"/>
                <w:lang w:val="en-US" w:eastAsia="zh-CN"/>
              </w:rPr>
              <w:t>晶体</w:t>
            </w:r>
            <w:r>
              <w:rPr>
                <w:rFonts w:hint="default" w:ascii="Times New Roman" w:hAnsi="Times New Roman" w:eastAsia="宋体"/>
                <w:color w:val="auto"/>
                <w:sz w:val="24"/>
                <w:lang w:val="en-US" w:eastAsia="zh-CN"/>
              </w:rPr>
              <w:t>进行</w:t>
            </w:r>
            <w:r>
              <w:rPr>
                <w:rFonts w:hint="eastAsia"/>
                <w:color w:val="auto"/>
                <w:sz w:val="24"/>
                <w:lang w:val="en-US" w:eastAsia="zh-CN"/>
              </w:rPr>
              <w:t>磨砂</w:t>
            </w:r>
            <w:r>
              <w:rPr>
                <w:rFonts w:hint="eastAsia" w:ascii="Times New Roman" w:hAnsi="Times New Roman" w:eastAsia="宋体"/>
                <w:color w:val="auto"/>
                <w:sz w:val="24"/>
                <w:lang w:val="en-US" w:eastAsia="zh-CN"/>
              </w:rPr>
              <w:t>倒角</w:t>
            </w:r>
            <w:r>
              <w:rPr>
                <w:rFonts w:hint="default" w:ascii="Times New Roman" w:hAnsi="Times New Roman" w:eastAsia="宋体"/>
                <w:color w:val="auto"/>
                <w:sz w:val="24"/>
                <w:lang w:val="en-US" w:eastAsia="zh-CN"/>
              </w:rPr>
              <w:t>，该工序新鲜水使用量为</w:t>
            </w:r>
            <w:r>
              <w:rPr>
                <w:rFonts w:hint="eastAsia" w:ascii="Times New Roman" w:hAnsi="Times New Roman" w:eastAsia="宋体"/>
                <w:color w:val="auto"/>
                <w:sz w:val="24"/>
                <w:lang w:val="en-US" w:eastAsia="zh-CN"/>
              </w:rPr>
              <w:t>350</w:t>
            </w:r>
            <w:r>
              <w:rPr>
                <w:rFonts w:hint="default" w:ascii="Times New Roman" w:hAnsi="Times New Roman" w:eastAsia="宋体"/>
                <w:color w:val="auto"/>
                <w:sz w:val="24"/>
                <w:lang w:val="en-US" w:eastAsia="zh-CN"/>
              </w:rPr>
              <w:t>吨/年。</w:t>
            </w:r>
            <w:r>
              <w:rPr>
                <w:rFonts w:hint="eastAsia"/>
                <w:color w:val="auto"/>
                <w:sz w:val="24"/>
                <w:lang w:val="en-US" w:eastAsia="zh-CN"/>
              </w:rPr>
              <w:t>倒边</w:t>
            </w:r>
            <w:r>
              <w:rPr>
                <w:rFonts w:hint="eastAsia" w:ascii="Times New Roman" w:hAnsi="Times New Roman" w:eastAsia="宋体"/>
                <w:color w:val="auto"/>
                <w:sz w:val="24"/>
                <w:lang w:val="en-US" w:eastAsia="zh-CN"/>
              </w:rPr>
              <w:t>废水进入三格沉淀池沉淀处理后，进入集水调节池，再混凝沉淀经过废水处理设施处理达标后排入市政管网，纳入大学城污水处理厂。</w:t>
            </w:r>
          </w:p>
          <w:p w14:paraId="3FB6BD42">
            <w:pPr>
              <w:pStyle w:val="25"/>
              <w:bidi w:val="0"/>
              <w:rPr>
                <w:rFonts w:hint="default" w:ascii="Times New Roman" w:hAnsi="Times New Roman" w:eastAsia="宋体"/>
                <w:color w:val="auto"/>
                <w:sz w:val="24"/>
                <w:lang w:val="en-US" w:eastAsia="zh-CN"/>
              </w:rPr>
            </w:pPr>
            <w:r>
              <w:rPr>
                <w:rFonts w:hint="default" w:ascii="Times New Roman" w:hAnsi="Times New Roman" w:eastAsia="宋体"/>
                <w:color w:val="auto"/>
                <w:sz w:val="24"/>
                <w:lang w:val="en-US" w:eastAsia="zh-CN"/>
              </w:rPr>
              <w:t>③纯水制备用水</w:t>
            </w:r>
          </w:p>
          <w:p w14:paraId="79930403">
            <w:pPr>
              <w:pStyle w:val="25"/>
              <w:bidi w:val="0"/>
              <w:rPr>
                <w:rFonts w:hint="default" w:ascii="Times New Roman" w:hAnsi="Times New Roman" w:eastAsia="宋体"/>
                <w:color w:val="auto"/>
                <w:sz w:val="24"/>
                <w:lang w:val="en-US" w:eastAsia="zh-CN"/>
              </w:rPr>
            </w:pPr>
            <w:r>
              <w:rPr>
                <w:rFonts w:hint="default" w:ascii="Times New Roman" w:hAnsi="Times New Roman" w:eastAsia="宋体" w:cs="宋体"/>
                <w:color w:val="auto"/>
                <w:kern w:val="2"/>
                <w:sz w:val="24"/>
                <w:szCs w:val="24"/>
                <w:highlight w:val="none"/>
                <w:lang w:val="en-US" w:eastAsia="zh-CN" w:bidi="ar-SA"/>
              </w:rPr>
              <w:t>本工序</w:t>
            </w:r>
            <w:r>
              <w:rPr>
                <w:rFonts w:hint="eastAsia" w:ascii="Times New Roman" w:hAnsi="Times New Roman" w:eastAsia="宋体" w:cs="宋体"/>
                <w:color w:val="auto"/>
                <w:kern w:val="2"/>
                <w:sz w:val="24"/>
                <w:szCs w:val="24"/>
                <w:highlight w:val="none"/>
                <w:lang w:val="en-US" w:eastAsia="zh-CN" w:bidi="ar-SA"/>
              </w:rPr>
              <w:t>纯水制备使用3000t/a新鲜水，通过超声波清洗机对晶体进行超声波清洗</w:t>
            </w:r>
            <w:r>
              <w:rPr>
                <w:rFonts w:hint="default" w:ascii="Times New Roman" w:hAnsi="Times New Roman" w:eastAsia="宋体" w:cs="宋体"/>
                <w:color w:val="auto"/>
                <w:kern w:val="2"/>
                <w:sz w:val="24"/>
                <w:szCs w:val="24"/>
                <w:highlight w:val="none"/>
                <w:lang w:val="en-US" w:eastAsia="zh-CN" w:bidi="ar-SA"/>
              </w:rPr>
              <w:t>，</w:t>
            </w:r>
            <w:r>
              <w:rPr>
                <w:rFonts w:hint="eastAsia" w:ascii="Times New Roman" w:hAnsi="Times New Roman" w:eastAsia="宋体" w:cs="宋体"/>
                <w:color w:val="auto"/>
                <w:kern w:val="2"/>
                <w:sz w:val="24"/>
                <w:szCs w:val="24"/>
                <w:highlight w:val="none"/>
                <w:lang w:val="en-US" w:eastAsia="zh-CN" w:bidi="ar-SA"/>
              </w:rPr>
              <w:t>制备出纯净</w:t>
            </w:r>
            <w:r>
              <w:rPr>
                <w:rFonts w:hint="default" w:ascii="Times New Roman" w:hAnsi="Times New Roman" w:eastAsia="宋体" w:cs="宋体"/>
                <w:color w:val="auto"/>
                <w:kern w:val="2"/>
                <w:sz w:val="24"/>
                <w:szCs w:val="24"/>
                <w:highlight w:val="none"/>
                <w:lang w:val="en-US" w:eastAsia="zh-CN" w:bidi="ar-SA"/>
              </w:rPr>
              <w:t>水</w:t>
            </w:r>
            <w:r>
              <w:rPr>
                <w:rFonts w:hint="eastAsia" w:ascii="Times New Roman" w:hAnsi="Times New Roman" w:eastAsia="宋体" w:cs="宋体"/>
                <w:color w:val="auto"/>
                <w:kern w:val="2"/>
                <w:sz w:val="24"/>
                <w:szCs w:val="24"/>
                <w:highlight w:val="none"/>
                <w:lang w:val="en-US" w:eastAsia="zh-CN" w:bidi="ar-SA"/>
              </w:rPr>
              <w:t>的产生</w:t>
            </w:r>
            <w:r>
              <w:rPr>
                <w:rFonts w:hint="default" w:ascii="Times New Roman" w:hAnsi="Times New Roman" w:eastAsia="宋体" w:cs="宋体"/>
                <w:color w:val="auto"/>
                <w:kern w:val="2"/>
                <w:sz w:val="24"/>
                <w:szCs w:val="24"/>
                <w:highlight w:val="none"/>
                <w:lang w:val="en-US" w:eastAsia="zh-CN" w:bidi="ar-SA"/>
              </w:rPr>
              <w:t>量为</w:t>
            </w:r>
            <w:r>
              <w:rPr>
                <w:rFonts w:hint="eastAsia" w:ascii="Times New Roman" w:hAnsi="Times New Roman" w:eastAsia="宋体" w:cs="宋体"/>
                <w:color w:val="auto"/>
                <w:kern w:val="2"/>
                <w:sz w:val="24"/>
                <w:szCs w:val="24"/>
                <w:highlight w:val="none"/>
                <w:lang w:val="en-US" w:eastAsia="zh-CN" w:bidi="ar-SA"/>
              </w:rPr>
              <w:t>1478</w:t>
            </w:r>
            <w:r>
              <w:rPr>
                <w:rFonts w:hint="default" w:ascii="Times New Roman" w:hAnsi="Times New Roman" w:eastAsia="宋体" w:cs="宋体"/>
                <w:color w:val="auto"/>
                <w:kern w:val="2"/>
                <w:sz w:val="24"/>
                <w:szCs w:val="24"/>
                <w:highlight w:val="none"/>
                <w:lang w:val="en-US" w:eastAsia="zh-CN" w:bidi="ar-SA"/>
              </w:rPr>
              <w:t>t/a，</w:t>
            </w:r>
            <w:r>
              <w:rPr>
                <w:rFonts w:hint="eastAsia" w:ascii="Times New Roman" w:hAnsi="Times New Roman" w:eastAsia="宋体" w:cs="宋体"/>
                <w:color w:val="auto"/>
                <w:kern w:val="2"/>
                <w:sz w:val="24"/>
                <w:szCs w:val="24"/>
                <w:highlight w:val="none"/>
                <w:lang w:val="en-US" w:eastAsia="zh-CN" w:bidi="ar-SA"/>
              </w:rPr>
              <w:t>纯水制备过程中产生的1522t/a非纯净水</w:t>
            </w:r>
            <w:r>
              <w:rPr>
                <w:rFonts w:hint="eastAsia" w:ascii="Times New Roman" w:hAnsi="Times New Roman" w:eastAsia="宋体" w:cs="宋体"/>
                <w:color w:val="auto"/>
                <w:kern w:val="2"/>
                <w:sz w:val="24"/>
                <w:szCs w:val="24"/>
                <w:lang w:val="en-US" w:eastAsia="zh-CN" w:bidi="ar-SA"/>
              </w:rPr>
              <w:t>；除油剂槽的废除油剂作为危险废物，委托有资质的单位处理，产生量为0.05t/a；超洗过程中产生的超洗废水量为1315t/a，其中包括789t/a清洗剂废水，526t/a纯净</w:t>
            </w:r>
            <w:r>
              <w:rPr>
                <w:rFonts w:hint="eastAsia" w:cs="宋体"/>
                <w:color w:val="auto"/>
                <w:kern w:val="2"/>
                <w:sz w:val="24"/>
                <w:szCs w:val="24"/>
                <w:lang w:val="en-US" w:eastAsia="zh-CN" w:bidi="ar-SA"/>
              </w:rPr>
              <w:t>废</w:t>
            </w:r>
            <w:r>
              <w:rPr>
                <w:rFonts w:hint="eastAsia" w:ascii="Times New Roman" w:hAnsi="Times New Roman" w:eastAsia="宋体" w:cs="宋体"/>
                <w:color w:val="auto"/>
                <w:kern w:val="2"/>
                <w:sz w:val="24"/>
                <w:szCs w:val="24"/>
                <w:lang w:val="en-US" w:eastAsia="zh-CN" w:bidi="ar-SA"/>
              </w:rPr>
              <w:t>水。1522t/a的非纯净水</w:t>
            </w:r>
            <w:r>
              <w:rPr>
                <w:rFonts w:hint="eastAsia" w:cs="宋体"/>
                <w:color w:val="auto"/>
                <w:kern w:val="2"/>
                <w:sz w:val="24"/>
                <w:szCs w:val="24"/>
                <w:lang w:val="en-US" w:eastAsia="zh-CN" w:bidi="ar-SA"/>
              </w:rPr>
              <w:t>、526t/a纯净废水和</w:t>
            </w:r>
            <w:r>
              <w:rPr>
                <w:rFonts w:hint="eastAsia" w:ascii="Times New Roman" w:hAnsi="Times New Roman" w:eastAsia="宋体" w:cs="宋体"/>
                <w:color w:val="auto"/>
                <w:kern w:val="2"/>
                <w:sz w:val="24"/>
                <w:szCs w:val="24"/>
                <w:lang w:val="en-US" w:eastAsia="zh-CN" w:bidi="ar-SA"/>
              </w:rPr>
              <w:t>生活污水一起通过污水管道排向园区内的化粪池；789t/a清洗剂废水通过接管进入厂房集水池，然后进入混凝沉淀的废水处理设施处理达标后排入市政管网，纳入大学城污水处理厂。</w:t>
            </w:r>
            <w:r>
              <w:rPr>
                <w:rFonts w:hint="eastAsia" w:ascii="Times New Roman" w:hAnsi="Times New Roman" w:eastAsia="宋体"/>
                <w:color w:val="auto"/>
                <w:sz w:val="24"/>
                <w:lang w:val="en-US" w:eastAsia="zh-CN"/>
              </w:rPr>
              <w:t>由于纯水制备设备更新优化，</w:t>
            </w:r>
            <w:r>
              <w:rPr>
                <w:rFonts w:hint="default" w:ascii="Times New Roman" w:hAnsi="Times New Roman" w:eastAsia="宋体"/>
                <w:color w:val="auto"/>
                <w:sz w:val="24"/>
                <w:lang w:val="en-US" w:eastAsia="zh-CN"/>
              </w:rPr>
              <w:t>本</w:t>
            </w:r>
            <w:r>
              <w:rPr>
                <w:rFonts w:hint="eastAsia" w:ascii="Times New Roman" w:hAnsi="Times New Roman" w:eastAsia="宋体"/>
                <w:color w:val="auto"/>
                <w:sz w:val="24"/>
                <w:lang w:val="en-US" w:eastAsia="zh-CN"/>
              </w:rPr>
              <w:t>次</w:t>
            </w:r>
            <w:r>
              <w:rPr>
                <w:rFonts w:hint="default" w:ascii="Times New Roman" w:hAnsi="Times New Roman" w:eastAsia="宋体"/>
                <w:color w:val="auto"/>
                <w:sz w:val="24"/>
                <w:lang w:val="en-US" w:eastAsia="zh-CN"/>
              </w:rPr>
              <w:t>项目引用</w:t>
            </w:r>
            <w:r>
              <w:rPr>
                <w:rFonts w:hint="eastAsia" w:ascii="Times New Roman" w:hAnsi="Times New Roman" w:eastAsia="宋体"/>
                <w:color w:val="auto"/>
                <w:sz w:val="24"/>
                <w:lang w:val="en-US" w:eastAsia="zh-CN"/>
              </w:rPr>
              <w:t>3000</w:t>
            </w:r>
            <w:r>
              <w:rPr>
                <w:rFonts w:hint="default" w:ascii="Times New Roman" w:hAnsi="Times New Roman" w:eastAsia="宋体"/>
                <w:color w:val="auto"/>
                <w:sz w:val="24"/>
                <w:lang w:val="en-US" w:eastAsia="zh-CN"/>
              </w:rPr>
              <w:t>吨/年的新鲜水进行纯水制备，滤网、活性炭、石英砂过滤后</w:t>
            </w:r>
            <w:r>
              <w:rPr>
                <w:rFonts w:hint="eastAsia" w:ascii="Times New Roman" w:hAnsi="Times New Roman" w:eastAsia="宋体"/>
                <w:color w:val="auto"/>
                <w:sz w:val="24"/>
                <w:lang w:val="en-US" w:eastAsia="zh-CN"/>
              </w:rPr>
              <w:t>（纯水制备设计方案详见附件十九），</w:t>
            </w:r>
            <w:r>
              <w:rPr>
                <w:rFonts w:hint="default" w:ascii="Times New Roman" w:hAnsi="Times New Roman" w:eastAsia="宋体"/>
                <w:color w:val="auto"/>
                <w:sz w:val="24"/>
                <w:lang w:val="en-US" w:eastAsia="zh-CN"/>
              </w:rPr>
              <w:t>能制备出</w:t>
            </w:r>
            <w:r>
              <w:rPr>
                <w:rFonts w:hint="eastAsia" w:ascii="Times New Roman" w:hAnsi="Times New Roman" w:eastAsia="宋体"/>
                <w:color w:val="auto"/>
                <w:sz w:val="24"/>
                <w:lang w:val="en-US" w:eastAsia="zh-CN"/>
              </w:rPr>
              <w:t>1478</w:t>
            </w:r>
            <w:r>
              <w:rPr>
                <w:rFonts w:hint="default" w:ascii="Times New Roman" w:hAnsi="Times New Roman" w:eastAsia="宋体"/>
                <w:color w:val="auto"/>
                <w:sz w:val="24"/>
                <w:lang w:val="en-US" w:eastAsia="zh-CN"/>
              </w:rPr>
              <w:t>吨纯净水，同时产生</w:t>
            </w:r>
            <w:r>
              <w:rPr>
                <w:rFonts w:hint="eastAsia" w:ascii="Times New Roman" w:hAnsi="Times New Roman" w:eastAsia="宋体"/>
                <w:color w:val="auto"/>
                <w:sz w:val="24"/>
                <w:lang w:val="en-US" w:eastAsia="zh-CN"/>
              </w:rPr>
              <w:t>1522</w:t>
            </w:r>
            <w:r>
              <w:rPr>
                <w:rFonts w:hint="default" w:ascii="Times New Roman" w:hAnsi="Times New Roman" w:eastAsia="宋体"/>
                <w:color w:val="auto"/>
                <w:sz w:val="24"/>
                <w:lang w:val="en-US" w:eastAsia="zh-CN"/>
              </w:rPr>
              <w:t>吨</w:t>
            </w:r>
            <w:r>
              <w:rPr>
                <w:rFonts w:hint="eastAsia" w:ascii="Times New Roman" w:hAnsi="Times New Roman" w:eastAsia="宋体"/>
                <w:color w:val="auto"/>
                <w:sz w:val="24"/>
                <w:lang w:val="en-US" w:eastAsia="zh-CN"/>
              </w:rPr>
              <w:t>非纯净</w:t>
            </w:r>
            <w:r>
              <w:rPr>
                <w:rFonts w:hint="default" w:ascii="Times New Roman" w:hAnsi="Times New Roman" w:eastAsia="宋体"/>
                <w:color w:val="auto"/>
                <w:sz w:val="24"/>
                <w:lang w:val="en-US" w:eastAsia="zh-CN"/>
              </w:rPr>
              <w:t>水，</w:t>
            </w:r>
            <w:r>
              <w:rPr>
                <w:rFonts w:hint="eastAsia" w:ascii="Times New Roman" w:hAnsi="Times New Roman" w:eastAsia="宋体"/>
                <w:color w:val="auto"/>
                <w:sz w:val="24"/>
                <w:lang w:val="en-US" w:eastAsia="zh-CN"/>
              </w:rPr>
              <w:t>非纯净</w:t>
            </w:r>
            <w:r>
              <w:rPr>
                <w:rFonts w:hint="default" w:ascii="Times New Roman" w:hAnsi="Times New Roman" w:eastAsia="宋体"/>
                <w:color w:val="auto"/>
                <w:sz w:val="24"/>
                <w:lang w:val="en-US" w:eastAsia="zh-CN"/>
              </w:rPr>
              <w:t>水排入市政管网</w:t>
            </w:r>
            <w:r>
              <w:rPr>
                <w:rFonts w:hint="eastAsia" w:ascii="Times New Roman" w:hAnsi="Times New Roman" w:eastAsia="宋体"/>
                <w:color w:val="auto"/>
                <w:sz w:val="24"/>
                <w:lang w:val="en-US" w:eastAsia="zh-CN"/>
              </w:rPr>
              <w:t>（不进行回用，回用的成本远高于直接制备水，光电生产对水质的极致要求让回用的技术难度极高）。</w:t>
            </w:r>
          </w:p>
          <w:p w14:paraId="4C98E573">
            <w:pPr>
              <w:pStyle w:val="25"/>
              <w:bidi w:val="0"/>
              <w:rPr>
                <w:rFonts w:hint="default" w:ascii="Times New Roman" w:hAnsi="Times New Roman" w:eastAsia="宋体"/>
                <w:color w:val="auto"/>
                <w:sz w:val="24"/>
                <w:lang w:val="en-US" w:eastAsia="zh-CN"/>
              </w:rPr>
            </w:pPr>
            <w:r>
              <w:rPr>
                <w:rFonts w:hint="default" w:ascii="Times New Roman" w:hAnsi="Times New Roman" w:eastAsia="宋体"/>
                <w:color w:val="auto"/>
                <w:sz w:val="24"/>
                <w:lang w:val="en-US" w:eastAsia="zh-CN"/>
              </w:rPr>
              <w:t>④抛光用水</w:t>
            </w:r>
          </w:p>
          <w:p w14:paraId="4B61FED8">
            <w:pPr>
              <w:pStyle w:val="25"/>
              <w:bidi w:val="0"/>
              <w:rPr>
                <w:rFonts w:hint="default" w:ascii="Times New Roman" w:hAnsi="Times New Roman" w:eastAsia="宋体"/>
                <w:color w:val="auto"/>
                <w:sz w:val="24"/>
                <w:lang w:val="en-US" w:eastAsia="zh-CN"/>
              </w:rPr>
            </w:pPr>
            <w:r>
              <w:rPr>
                <w:rFonts w:hint="default" w:ascii="Times New Roman" w:hAnsi="Times New Roman" w:eastAsia="宋体"/>
                <w:color w:val="auto"/>
                <w:sz w:val="24"/>
                <w:lang w:val="en-US" w:eastAsia="zh-CN"/>
              </w:rPr>
              <w:t>抛光工序中需要加水和抛光粉进行抛光。该</w:t>
            </w:r>
            <w:r>
              <w:rPr>
                <w:rFonts w:hint="default" w:ascii="Times New Roman" w:hAnsi="Times New Roman" w:eastAsia="宋体" w:cs="宋体"/>
                <w:color w:val="auto"/>
                <w:kern w:val="2"/>
                <w:sz w:val="24"/>
                <w:szCs w:val="24"/>
                <w:lang w:val="en-US" w:eastAsia="zh-CN" w:bidi="ar-SA"/>
              </w:rPr>
              <w:t>项目抛光工序中新鲜水使用量为</w:t>
            </w:r>
            <w:r>
              <w:rPr>
                <w:rFonts w:hint="eastAsia" w:cs="宋体"/>
                <w:color w:val="auto"/>
                <w:kern w:val="2"/>
                <w:sz w:val="24"/>
                <w:szCs w:val="24"/>
                <w:lang w:val="en-US" w:eastAsia="zh-CN" w:bidi="ar-SA"/>
              </w:rPr>
              <w:t>700</w:t>
            </w:r>
            <w:r>
              <w:rPr>
                <w:rFonts w:hint="default" w:ascii="Times New Roman" w:hAnsi="Times New Roman" w:eastAsia="宋体" w:cs="宋体"/>
                <w:color w:val="auto"/>
                <w:kern w:val="2"/>
                <w:sz w:val="24"/>
                <w:szCs w:val="24"/>
                <w:lang w:val="en-US" w:eastAsia="zh-CN" w:bidi="ar-SA"/>
              </w:rPr>
              <w:t>t/a，废水产生量为</w:t>
            </w:r>
            <w:r>
              <w:rPr>
                <w:rFonts w:hint="eastAsia" w:cs="宋体"/>
                <w:color w:val="auto"/>
                <w:kern w:val="2"/>
                <w:sz w:val="24"/>
                <w:szCs w:val="24"/>
                <w:lang w:val="en-US" w:eastAsia="zh-CN" w:bidi="ar-SA"/>
              </w:rPr>
              <w:t>700</w:t>
            </w:r>
            <w:r>
              <w:rPr>
                <w:rFonts w:hint="default" w:ascii="Times New Roman" w:hAnsi="Times New Roman" w:eastAsia="宋体" w:cs="宋体"/>
                <w:color w:val="auto"/>
                <w:kern w:val="2"/>
                <w:sz w:val="24"/>
                <w:szCs w:val="24"/>
                <w:lang w:val="en-US" w:eastAsia="zh-CN" w:bidi="ar-SA"/>
              </w:rPr>
              <w:t>t/a，</w:t>
            </w:r>
            <w:r>
              <w:rPr>
                <w:rFonts w:hint="eastAsia" w:ascii="Times New Roman" w:hAnsi="Times New Roman" w:eastAsia="宋体" w:cs="宋体"/>
                <w:color w:val="auto"/>
                <w:kern w:val="2"/>
                <w:sz w:val="24"/>
                <w:szCs w:val="24"/>
                <w:lang w:val="en-US" w:eastAsia="zh-CN" w:bidi="ar-SA"/>
              </w:rPr>
              <w:t>抛光废水经过三格沉淀池沉淀处理后，进入调节池，再经过废水处理设施处理达标后排入市政管网，纳入大学城污水处理厂。</w:t>
            </w:r>
          </w:p>
          <w:p w14:paraId="15A6FA05">
            <w:pPr>
              <w:pStyle w:val="25"/>
              <w:bidi w:val="0"/>
              <w:rPr>
                <w:rFonts w:hint="default" w:ascii="Times New Roman" w:hAnsi="Times New Roman" w:eastAsia="宋体"/>
                <w:color w:val="auto"/>
                <w:sz w:val="24"/>
                <w:lang w:val="en-US" w:eastAsia="zh-CN"/>
              </w:rPr>
            </w:pPr>
            <w:r>
              <w:rPr>
                <w:rFonts w:hint="default" w:ascii="Times New Roman" w:hAnsi="Times New Roman" w:eastAsia="宋体"/>
                <w:color w:val="auto"/>
                <w:sz w:val="24"/>
                <w:lang w:val="en-US" w:eastAsia="zh-CN"/>
              </w:rPr>
              <w:t>⑤</w:t>
            </w:r>
            <w:r>
              <w:rPr>
                <w:rFonts w:hint="eastAsia" w:ascii="Times New Roman" w:hAnsi="Times New Roman" w:eastAsia="宋体"/>
                <w:color w:val="auto"/>
                <w:sz w:val="24"/>
                <w:lang w:val="en-US" w:eastAsia="zh-CN"/>
              </w:rPr>
              <w:t>喷淋塔用</w:t>
            </w:r>
            <w:r>
              <w:rPr>
                <w:rFonts w:hint="default" w:ascii="Times New Roman" w:hAnsi="Times New Roman" w:eastAsia="宋体"/>
                <w:color w:val="auto"/>
                <w:sz w:val="24"/>
                <w:lang w:val="en-US" w:eastAsia="zh-CN"/>
              </w:rPr>
              <w:t>水</w:t>
            </w:r>
          </w:p>
          <w:p w14:paraId="6647711A">
            <w:pPr>
              <w:pStyle w:val="54"/>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喷淋系统采用水循环喷淋模式，为保证废气净化吸收效率，喷淋循环水定期</w:t>
            </w:r>
            <w:r>
              <w:rPr>
                <w:rFonts w:hint="eastAsia" w:ascii="Times New Roman" w:hAnsi="Times New Roman" w:eastAsia="宋体" w:cs="Times New Roman"/>
                <w:color w:val="auto"/>
                <w:highlight w:val="none"/>
                <w:lang w:val="en-US" w:eastAsia="zh-CN"/>
              </w:rPr>
              <w:t>排放至</w:t>
            </w:r>
            <w:r>
              <w:rPr>
                <w:rFonts w:hint="eastAsia" w:ascii="Times New Roman" w:hAnsi="Times New Roman" w:eastAsia="宋体"/>
                <w:color w:val="auto"/>
                <w:sz w:val="24"/>
                <w:lang w:val="en-US" w:eastAsia="zh-CN"/>
              </w:rPr>
              <w:t>进入三格沉淀池沉淀处理后，进入集水调节池，再混凝沉淀经过废水处理设施处理达标后排入市政管网，纳入大学城污水处理厂。</w:t>
            </w:r>
            <w:r>
              <w:rPr>
                <w:rFonts w:hint="default" w:ascii="Times New Roman" w:hAnsi="Times New Roman" w:eastAsia="宋体" w:cs="Times New Roman"/>
                <w:color w:val="auto"/>
                <w:highlight w:val="none"/>
              </w:rPr>
              <w:t>年补充新鲜喷淋水</w:t>
            </w:r>
            <w:r>
              <w:rPr>
                <w:rFonts w:hint="eastAsia" w:cs="Times New Roman"/>
                <w:color w:val="auto"/>
                <w:highlight w:val="none"/>
                <w:lang w:val="en-US" w:eastAsia="zh-CN"/>
              </w:rPr>
              <w:t>96</w:t>
            </w:r>
            <w:r>
              <w:rPr>
                <w:rFonts w:hint="default" w:ascii="Times New Roman" w:hAnsi="Times New Roman" w:eastAsia="宋体" w:cs="Times New Roman"/>
                <w:color w:val="auto"/>
                <w:highlight w:val="none"/>
              </w:rPr>
              <w:t>t，外排废水量按喷淋补充水量90%计，核算喷淋塔废水产生总量</w:t>
            </w:r>
            <w:r>
              <w:rPr>
                <w:rFonts w:hint="eastAsia" w:cs="Times New Roman"/>
                <w:color w:val="auto"/>
                <w:highlight w:val="none"/>
                <w:lang w:val="en-US" w:eastAsia="zh-CN"/>
              </w:rPr>
              <w:t>86.4</w:t>
            </w:r>
            <w:r>
              <w:rPr>
                <w:rFonts w:hint="default" w:ascii="Times New Roman" w:hAnsi="Times New Roman" w:eastAsia="宋体" w:cs="Times New Roman"/>
                <w:color w:val="auto"/>
                <w:highlight w:val="none"/>
              </w:rPr>
              <w:t>t/a</w:t>
            </w:r>
            <w:r>
              <w:rPr>
                <w:rFonts w:hint="eastAsia" w:cs="Times New Roman"/>
                <w:color w:val="auto"/>
                <w:highlight w:val="none"/>
                <w:lang w:eastAsia="zh-CN"/>
              </w:rPr>
              <w:t>（</w:t>
            </w:r>
            <w:r>
              <w:rPr>
                <w:rFonts w:hint="eastAsia" w:cs="Times New Roman"/>
                <w:color w:val="auto"/>
                <w:highlight w:val="none"/>
                <w:lang w:val="en-US" w:eastAsia="zh-CN"/>
              </w:rPr>
              <w:t>0.288t/d</w:t>
            </w:r>
            <w:r>
              <w:rPr>
                <w:rFonts w:hint="eastAsia" w:cs="Times New Roman"/>
                <w:color w:val="auto"/>
                <w:highlight w:val="none"/>
                <w:lang w:eastAsia="zh-CN"/>
              </w:rPr>
              <w:t>）</w:t>
            </w:r>
            <w:r>
              <w:rPr>
                <w:rFonts w:hint="default" w:ascii="Times New Roman" w:hAnsi="Times New Roman" w:eastAsia="宋体" w:cs="Times New Roman"/>
                <w:color w:val="auto"/>
                <w:highlight w:val="none"/>
              </w:rPr>
              <w:t>。</w:t>
            </w:r>
          </w:p>
          <w:p w14:paraId="2D8EBCEA">
            <w:pPr>
              <w:pStyle w:val="25"/>
              <w:bidi w:val="0"/>
              <w:rPr>
                <w:rFonts w:hint="default" w:ascii="Times New Roman" w:hAnsi="Times New Roman" w:eastAsia="宋体"/>
                <w:color w:val="auto"/>
                <w:sz w:val="24"/>
                <w:lang w:val="en-US" w:eastAsia="zh-CN"/>
              </w:rPr>
            </w:pPr>
            <w:r>
              <w:rPr>
                <w:rFonts w:hint="default" w:ascii="Times New Roman" w:hAnsi="Times New Roman" w:eastAsia="宋体"/>
                <w:color w:val="auto"/>
                <w:sz w:val="24"/>
                <w:lang w:val="en-US" w:eastAsia="zh-CN"/>
              </w:rPr>
              <w:t>⑤</w:t>
            </w:r>
            <w:r>
              <w:rPr>
                <w:rFonts w:hint="eastAsia" w:ascii="Times New Roman" w:hAnsi="Times New Roman" w:eastAsia="宋体"/>
                <w:color w:val="auto"/>
                <w:sz w:val="24"/>
                <w:lang w:val="en-US" w:eastAsia="zh-CN"/>
              </w:rPr>
              <w:t>晶体生长用</w:t>
            </w:r>
            <w:r>
              <w:rPr>
                <w:rFonts w:hint="default" w:ascii="Times New Roman" w:hAnsi="Times New Roman" w:eastAsia="宋体"/>
                <w:color w:val="auto"/>
                <w:sz w:val="24"/>
                <w:lang w:val="en-US" w:eastAsia="zh-CN"/>
              </w:rPr>
              <w:t>水</w:t>
            </w:r>
          </w:p>
          <w:p w14:paraId="10E768F5">
            <w:pPr>
              <w:pStyle w:val="54"/>
              <w:ind w:firstLine="480" w:firstLineChars="200"/>
              <w:rPr>
                <w:rFonts w:hint="default" w:ascii="Times New Roman" w:hAnsi="Times New Roman" w:eastAsia="宋体" w:cs="Times New Roman"/>
                <w:color w:val="auto"/>
                <w:highlight w:val="none"/>
                <w:lang w:val="en-US" w:eastAsia="zh-CN"/>
              </w:rPr>
            </w:pPr>
            <w:r>
              <w:rPr>
                <w:rFonts w:hint="eastAsia"/>
                <w:color w:val="auto"/>
                <w:lang w:val="en-GB"/>
              </w:rPr>
              <w:t>主要来源于配料混合反应后产生的水</w:t>
            </w:r>
            <w:r>
              <w:rPr>
                <w:rFonts w:hint="eastAsia"/>
                <w:color w:val="auto"/>
                <w:lang w:val="en-US" w:eastAsia="zh-CN"/>
              </w:rPr>
              <w:t>溶液预处理</w:t>
            </w:r>
            <w:r>
              <w:rPr>
                <w:rFonts w:hint="default" w:ascii="Times New Roman" w:hAnsi="Times New Roman" w:eastAsia="宋体" w:cs="Times New Roman"/>
                <w:color w:val="auto"/>
                <w:highlight w:val="none"/>
              </w:rPr>
              <w:t>定期</w:t>
            </w:r>
            <w:r>
              <w:rPr>
                <w:rFonts w:hint="eastAsia" w:ascii="Times New Roman" w:hAnsi="Times New Roman" w:eastAsia="宋体" w:cs="Times New Roman"/>
                <w:color w:val="auto"/>
                <w:highlight w:val="none"/>
                <w:lang w:val="en-US" w:eastAsia="zh-CN"/>
              </w:rPr>
              <w:t>排放至</w:t>
            </w:r>
            <w:r>
              <w:rPr>
                <w:rFonts w:hint="eastAsia" w:ascii="Times New Roman" w:hAnsi="Times New Roman" w:eastAsia="宋体"/>
                <w:color w:val="auto"/>
                <w:sz w:val="24"/>
                <w:lang w:val="en-US" w:eastAsia="zh-CN"/>
              </w:rPr>
              <w:t>进入三格沉淀池沉淀处理后，进入集水调节池，再混凝沉淀经过废水处理设施处理达标后排入市政管网，纳入大学城污水处理厂。</w:t>
            </w:r>
            <w:r>
              <w:rPr>
                <w:rFonts w:hint="default" w:ascii="Times New Roman" w:hAnsi="Times New Roman" w:eastAsia="宋体" w:cs="Times New Roman"/>
                <w:color w:val="auto"/>
                <w:highlight w:val="none"/>
              </w:rPr>
              <w:t>核算喷淋塔废水产生总量</w:t>
            </w:r>
            <w:r>
              <w:rPr>
                <w:rFonts w:hint="eastAsia" w:cs="Times New Roman"/>
                <w:color w:val="auto"/>
                <w:highlight w:val="none"/>
                <w:lang w:val="en-US" w:eastAsia="zh-CN"/>
              </w:rPr>
              <w:t>240</w:t>
            </w:r>
            <w:r>
              <w:rPr>
                <w:rFonts w:hint="default" w:ascii="Times New Roman" w:hAnsi="Times New Roman" w:eastAsia="宋体" w:cs="Times New Roman"/>
                <w:color w:val="auto"/>
                <w:highlight w:val="none"/>
              </w:rPr>
              <w:t>t/a。</w:t>
            </w:r>
          </w:p>
          <w:p w14:paraId="4088E615">
            <w:pPr>
              <w:pStyle w:val="25"/>
              <w:bidi w:val="0"/>
              <w:rPr>
                <w:rFonts w:hint="default"/>
                <w:color w:val="auto"/>
                <w:lang w:val="en-US" w:eastAsia="zh-CN"/>
              </w:rPr>
            </w:pPr>
            <w:r>
              <w:rPr>
                <w:rFonts w:hint="default"/>
                <w:color w:val="auto"/>
                <w:lang w:val="en-US" w:eastAsia="zh-CN"/>
              </w:rPr>
              <w:t>（</w:t>
            </w:r>
            <w:r>
              <w:rPr>
                <w:rFonts w:hint="eastAsia"/>
                <w:color w:val="auto"/>
                <w:lang w:val="en-US" w:eastAsia="zh-CN"/>
              </w:rPr>
              <w:t>2</w:t>
            </w:r>
            <w:r>
              <w:rPr>
                <w:rFonts w:hint="default"/>
                <w:color w:val="auto"/>
                <w:lang w:val="en-US" w:eastAsia="zh-CN"/>
              </w:rPr>
              <w:t>）职工生活用水</w:t>
            </w:r>
          </w:p>
          <w:p w14:paraId="48553996">
            <w:pPr>
              <w:pStyle w:val="25"/>
              <w:bidi w:val="0"/>
              <w:rPr>
                <w:rFonts w:hint="default" w:ascii="Times New Roman" w:hAnsi="Times New Roman"/>
                <w:color w:val="auto"/>
                <w:lang w:val="en-US" w:eastAsia="zh-CN"/>
              </w:rPr>
            </w:pPr>
            <w:r>
              <w:rPr>
                <w:rFonts w:hint="eastAsia"/>
                <w:color w:val="auto"/>
                <w:lang w:val="en-US" w:eastAsia="zh-CN"/>
              </w:rPr>
              <w:t>本次</w:t>
            </w:r>
            <w:r>
              <w:rPr>
                <w:rFonts w:hint="eastAsia" w:ascii="Times New Roman" w:hAnsi="Times New Roman"/>
                <w:color w:val="auto"/>
                <w:lang w:val="en-US" w:eastAsia="zh-CN"/>
              </w:rPr>
              <w:t>项目</w:t>
            </w:r>
            <w:r>
              <w:rPr>
                <w:rFonts w:hint="default" w:ascii="Times New Roman" w:hAnsi="Times New Roman"/>
                <w:color w:val="auto"/>
                <w:lang w:val="en-US" w:eastAsia="zh-CN"/>
              </w:rPr>
              <w:t>劳动定员</w:t>
            </w:r>
            <w:r>
              <w:rPr>
                <w:rFonts w:hint="eastAsia"/>
                <w:color w:val="auto"/>
                <w:lang w:val="en-US" w:eastAsia="zh-CN"/>
              </w:rPr>
              <w:t>60</w:t>
            </w:r>
            <w:r>
              <w:rPr>
                <w:rFonts w:hint="default" w:ascii="Times New Roman" w:hAnsi="Times New Roman"/>
                <w:color w:val="auto"/>
                <w:lang w:val="en-US" w:eastAsia="zh-CN"/>
              </w:rPr>
              <w:t>人，均不住厂，根据《建筑给水排水设计标准》（GB50015-2019），车间工人的生活用水定额应根据车间性质确定，一般宜采用30</w:t>
            </w:r>
            <w:r>
              <w:rPr>
                <w:rFonts w:hint="eastAsia"/>
                <w:color w:val="auto"/>
                <w:lang w:val="en-US" w:eastAsia="zh-CN"/>
              </w:rPr>
              <w:t>—</w:t>
            </w:r>
            <w:r>
              <w:rPr>
                <w:rFonts w:hint="default" w:ascii="Times New Roman" w:hAnsi="Times New Roman"/>
                <w:color w:val="auto"/>
                <w:lang w:val="en-US" w:eastAsia="zh-CN"/>
              </w:rPr>
              <w:t>50L/人·班，本项目不住厂职工生活用水定额按50L/人·班计。项目年工作日按</w:t>
            </w:r>
            <w:r>
              <w:rPr>
                <w:rFonts w:hint="eastAsia"/>
                <w:color w:val="auto"/>
                <w:lang w:val="en-US" w:eastAsia="zh-CN"/>
              </w:rPr>
              <w:t>300</w:t>
            </w:r>
            <w:r>
              <w:rPr>
                <w:rFonts w:hint="default" w:ascii="Times New Roman" w:hAnsi="Times New Roman"/>
                <w:color w:val="auto"/>
                <w:lang w:val="en-US" w:eastAsia="zh-CN"/>
              </w:rPr>
              <w:t>天计，则本项目职工生活用水量约为</w:t>
            </w:r>
            <w:r>
              <w:rPr>
                <w:rFonts w:hint="eastAsia"/>
                <w:color w:val="auto"/>
                <w:lang w:val="en-US" w:eastAsia="zh-CN"/>
              </w:rPr>
              <w:t>3.0</w:t>
            </w:r>
            <w:r>
              <w:rPr>
                <w:rFonts w:hint="default" w:ascii="Times New Roman" w:hAnsi="Times New Roman"/>
                <w:color w:val="auto"/>
                <w:lang w:val="en-US" w:eastAsia="zh-CN"/>
              </w:rPr>
              <w:t>t/d（</w:t>
            </w:r>
            <w:r>
              <w:rPr>
                <w:rFonts w:hint="eastAsia"/>
                <w:color w:val="auto"/>
                <w:lang w:val="en-US" w:eastAsia="zh-CN"/>
              </w:rPr>
              <w:t>900.0</w:t>
            </w:r>
            <w:r>
              <w:rPr>
                <w:rFonts w:hint="default" w:ascii="Times New Roman" w:hAnsi="Times New Roman"/>
                <w:color w:val="auto"/>
                <w:lang w:val="en-US" w:eastAsia="zh-CN"/>
              </w:rPr>
              <w:t>t/a），根据《排放源统计调查产排污计算方法和核算手册》中《生活源产排污系数手册》，人均日生活用水量≤150升/人·天时，折污系数取0.8（详见图2.1-1），则项目生活污水产生量约</w:t>
            </w:r>
            <w:r>
              <w:rPr>
                <w:rFonts w:hint="eastAsia"/>
                <w:color w:val="auto"/>
                <w:lang w:val="en-US" w:eastAsia="zh-CN"/>
              </w:rPr>
              <w:t>2.4</w:t>
            </w:r>
            <w:r>
              <w:rPr>
                <w:rFonts w:hint="default" w:ascii="Times New Roman" w:hAnsi="Times New Roman"/>
                <w:color w:val="auto"/>
                <w:lang w:val="en-US" w:eastAsia="zh-CN"/>
              </w:rPr>
              <w:t>t/d（</w:t>
            </w:r>
            <w:r>
              <w:rPr>
                <w:rFonts w:hint="eastAsia"/>
                <w:color w:val="auto"/>
                <w:lang w:val="en-US" w:eastAsia="zh-CN"/>
              </w:rPr>
              <w:t>720.0</w:t>
            </w:r>
            <w:r>
              <w:rPr>
                <w:rFonts w:hint="default" w:ascii="Times New Roman" w:hAnsi="Times New Roman"/>
                <w:color w:val="auto"/>
                <w:lang w:val="en-US" w:eastAsia="zh-CN"/>
              </w:rPr>
              <w:t>t/a）。</w:t>
            </w:r>
            <w:r>
              <w:rPr>
                <w:rFonts w:hint="eastAsia"/>
                <w:color w:val="auto"/>
                <w:lang w:val="en-US" w:eastAsia="zh-CN"/>
              </w:rPr>
              <w:t>全厂</w:t>
            </w:r>
            <w:r>
              <w:rPr>
                <w:rFonts w:hint="default" w:ascii="Times New Roman" w:hAnsi="Times New Roman"/>
                <w:color w:val="auto"/>
                <w:lang w:val="en-US" w:eastAsia="zh-CN"/>
              </w:rPr>
              <w:t>项目水平衡图见图2.1-2。</w:t>
            </w:r>
          </w:p>
          <w:p w14:paraId="4F039625">
            <w:pPr>
              <w:pStyle w:val="25"/>
              <w:bidi w:val="0"/>
              <w:spacing w:line="240" w:lineRule="auto"/>
              <w:ind w:firstLine="0" w:firstLineChars="0"/>
              <w:rPr>
                <w:rFonts w:hint="default"/>
                <w:color w:val="auto"/>
                <w:lang w:val="en-US" w:eastAsia="zh-CN"/>
              </w:rPr>
            </w:pPr>
            <w:r>
              <w:rPr>
                <w:rFonts w:hint="default"/>
                <w:color w:val="auto"/>
                <w:lang w:val="en-US" w:eastAsia="zh-CN"/>
              </w:rPr>
              <w:drawing>
                <wp:inline distT="0" distB="0" distL="114300" distR="114300">
                  <wp:extent cx="5462270" cy="4376420"/>
                  <wp:effectExtent l="0" t="0" r="5080" b="5080"/>
                  <wp:docPr id="43" name="图片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642"/>
                          <pic:cNvPicPr>
                            <a:picLocks noChangeAspect="1"/>
                          </pic:cNvPicPr>
                        </pic:nvPicPr>
                        <pic:blipFill>
                          <a:blip r:embed="rId24"/>
                          <a:stretch>
                            <a:fillRect/>
                          </a:stretch>
                        </pic:blipFill>
                        <pic:spPr>
                          <a:xfrm>
                            <a:off x="0" y="0"/>
                            <a:ext cx="5462270" cy="4376420"/>
                          </a:xfrm>
                          <a:prstGeom prst="rect">
                            <a:avLst/>
                          </a:prstGeom>
                          <a:noFill/>
                          <a:ln>
                            <a:noFill/>
                          </a:ln>
                        </pic:spPr>
                      </pic:pic>
                    </a:graphicData>
                  </a:graphic>
                </wp:inline>
              </w:drawing>
            </w:r>
          </w:p>
          <w:p w14:paraId="2E90CDD7">
            <w:pPr>
              <w:pStyle w:val="24"/>
              <w:bidi w:val="0"/>
              <w:rPr>
                <w:rFonts w:hint="default"/>
                <w:color w:val="auto"/>
                <w:lang w:val="en-US" w:eastAsia="zh-CN"/>
              </w:rPr>
            </w:pPr>
            <w:r>
              <w:rPr>
                <w:rFonts w:hint="default"/>
                <w:color w:val="auto"/>
                <w:lang w:val="en-US" w:eastAsia="zh-CN"/>
              </w:rPr>
              <w:t>图2.1-1</w:t>
            </w:r>
            <w:r>
              <w:rPr>
                <w:rFonts w:hint="eastAsia"/>
                <w:color w:val="auto"/>
                <w:lang w:val="en-US" w:eastAsia="zh-CN"/>
              </w:rPr>
              <w:t xml:space="preserve">  </w:t>
            </w:r>
            <w:r>
              <w:rPr>
                <w:rFonts w:hint="default"/>
                <w:color w:val="auto"/>
                <w:lang w:val="en-US" w:eastAsia="zh-CN"/>
              </w:rPr>
              <w:t>《生活源产排污系数手册》生活污水排放量计算截图</w:t>
            </w:r>
          </w:p>
          <w:p w14:paraId="4DFB4AA3">
            <w:pPr>
              <w:pStyle w:val="24"/>
              <w:bidi w:val="0"/>
              <w:rPr>
                <w:rFonts w:hint="eastAsia" w:eastAsia="宋体"/>
                <w:color w:val="auto"/>
                <w:lang w:val="en-US" w:eastAsia="zh-CN"/>
              </w:rPr>
            </w:pPr>
            <w:r>
              <w:rPr>
                <w:rFonts w:hint="eastAsia" w:cs="Times New Roman"/>
                <w:b/>
                <w:color w:val="auto"/>
                <w:kern w:val="0"/>
                <w:sz w:val="24"/>
                <w:szCs w:val="20"/>
                <w:lang w:val="en-US" w:eastAsia="zh-CN" w:bidi="ar-SA"/>
              </w:rPr>
              <w:t>（涉密）</w:t>
            </w:r>
          </w:p>
          <w:p w14:paraId="51595937">
            <w:pPr>
              <w:pStyle w:val="24"/>
              <w:bidi w:val="0"/>
              <w:rPr>
                <w:rFonts w:hint="default"/>
                <w:color w:val="auto"/>
                <w:lang w:val="en-US" w:eastAsia="zh-CN"/>
              </w:rPr>
            </w:pPr>
            <w:r>
              <w:rPr>
                <w:rFonts w:hint="eastAsia"/>
                <w:color w:val="auto"/>
                <w:lang w:val="en-US" w:eastAsia="zh-CN"/>
              </w:rPr>
              <w:t>图2.1-2  项目水平衡图</w:t>
            </w:r>
          </w:p>
          <w:p w14:paraId="0CBD62DA">
            <w:pPr>
              <w:pStyle w:val="4"/>
              <w:bidi w:val="0"/>
              <w:rPr>
                <w:rFonts w:hint="default"/>
                <w:color w:val="auto"/>
                <w:lang w:val="en-US" w:eastAsia="zh-CN"/>
              </w:rPr>
            </w:pPr>
            <w:bookmarkStart w:id="29" w:name="_Toc26447"/>
            <w:r>
              <w:rPr>
                <w:rFonts w:hint="default"/>
                <w:color w:val="auto"/>
                <w:lang w:val="en-US" w:eastAsia="zh-CN"/>
              </w:rPr>
              <w:t>2.1.9平面布置合理性分析</w:t>
            </w:r>
            <w:bookmarkEnd w:id="29"/>
          </w:p>
          <w:p w14:paraId="317E26E0">
            <w:pPr>
              <w:pStyle w:val="25"/>
              <w:bidi w:val="0"/>
              <w:rPr>
                <w:rFonts w:hint="default"/>
                <w:color w:val="auto"/>
                <w:lang w:val="en-US" w:eastAsia="zh-CN"/>
              </w:rPr>
            </w:pPr>
            <w:r>
              <w:rPr>
                <w:rFonts w:hint="eastAsia"/>
                <w:color w:val="auto"/>
                <w:lang w:val="en-US" w:eastAsia="zh-CN"/>
              </w:rPr>
              <w:t>本项目位于福建省闽侯县南屿镇窗厦村新南大道176号第三代半导体数字产业园（二期）4号楼5层、6层、7层。厂区总平面布置在符合规定及要求的基础上，结合工艺生产要求及用地现有自然条件，满足生产运输、安全卫生、环境保护及施工管理等方面的需要，同时考虑企业在生产、交通运输、动力设施等方面的协作关系，做到生产工艺流程顺畅，通道宽度适中。总体布置统筹规划，远近期结合，各子项布局合理紧凑，协调统一。总图设计根据企业规划发展要求，本着总体规划，分步实施的原则，统筹考虑了场地的利用和总体布置。</w:t>
            </w:r>
          </w:p>
          <w:p w14:paraId="72EE672A">
            <w:pPr>
              <w:pStyle w:val="25"/>
              <w:bidi w:val="0"/>
              <w:rPr>
                <w:rFonts w:hint="default"/>
                <w:color w:val="auto"/>
                <w:lang w:val="en-US" w:eastAsia="zh-CN"/>
              </w:rPr>
            </w:pPr>
            <w:r>
              <w:rPr>
                <w:rFonts w:hint="eastAsia"/>
                <w:color w:val="auto"/>
                <w:lang w:val="en-US" w:eastAsia="zh-CN"/>
              </w:rPr>
              <w:t>每层楼的功能划分明确清晰，便于工艺流程的进行和成品的堆放，物料流向顺畅，符合防火、安全、卫生等有关规范，总体布局功能分区明确，便于生产的连续性，项目平面布置基本合理。</w:t>
            </w:r>
          </w:p>
        </w:tc>
      </w:tr>
      <w:tr w14:paraId="56260E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41" w:hRule="atLeast"/>
          <w:jc w:val="center"/>
        </w:trPr>
        <w:tc>
          <w:tcPr>
            <w:tcW w:w="823" w:type="dxa"/>
            <w:noWrap w:val="0"/>
            <w:vAlign w:val="center"/>
          </w:tcPr>
          <w:p w14:paraId="4AE8C8DE">
            <w:pPr>
              <w:adjustRightInd w:val="0"/>
              <w:snapToGrid w:val="0"/>
              <w:spacing w:before="0" w:beforeAutospacing="0" w:after="0" w:afterAutospacing="0"/>
              <w:jc w:val="center"/>
              <w:rPr>
                <w:rFonts w:cs="宋体"/>
                <w:color w:val="auto"/>
                <w:sz w:val="21"/>
                <w:szCs w:val="21"/>
              </w:rPr>
            </w:pPr>
            <w:r>
              <w:rPr>
                <w:rFonts w:hint="eastAsia" w:cs="宋体"/>
                <w:color w:val="auto"/>
                <w:sz w:val="21"/>
                <w:szCs w:val="21"/>
              </w:rPr>
              <w:t>工艺流程和产排污环节</w:t>
            </w:r>
          </w:p>
        </w:tc>
        <w:tc>
          <w:tcPr>
            <w:tcW w:w="8161" w:type="dxa"/>
            <w:noWrap w:val="0"/>
            <w:vAlign w:val="top"/>
          </w:tcPr>
          <w:p w14:paraId="44E69799">
            <w:pPr>
              <w:keepNext/>
              <w:keepLines/>
              <w:widowControl w:val="0"/>
              <w:bidi w:val="0"/>
              <w:spacing w:beforeLines="0" w:beforeAutospacing="0" w:afterLines="0" w:afterAutospacing="0" w:line="360" w:lineRule="auto"/>
              <w:jc w:val="left"/>
              <w:outlineLvl w:val="1"/>
              <w:rPr>
                <w:rFonts w:hint="eastAsia" w:ascii="Times New Roman" w:hAnsi="Times New Roman" w:eastAsia="宋体" w:cs="Times New Roman"/>
                <w:b/>
                <w:color w:val="auto"/>
                <w:kern w:val="2"/>
                <w:sz w:val="28"/>
                <w:szCs w:val="24"/>
                <w:lang w:val="en-US" w:eastAsia="zh-CN" w:bidi="ar-SA"/>
              </w:rPr>
            </w:pPr>
            <w:bookmarkStart w:id="30" w:name="_Toc18587"/>
            <w:r>
              <w:rPr>
                <w:rFonts w:hint="eastAsia" w:ascii="Times New Roman" w:hAnsi="Times New Roman" w:eastAsia="宋体" w:cs="Times New Roman"/>
                <w:b/>
                <w:color w:val="auto"/>
                <w:kern w:val="2"/>
                <w:sz w:val="28"/>
                <w:szCs w:val="24"/>
                <w:lang w:val="en-US" w:eastAsia="zh-CN" w:bidi="ar-SA"/>
              </w:rPr>
              <w:t>2.2生产工艺流程及产污环节</w:t>
            </w:r>
            <w:bookmarkEnd w:id="30"/>
          </w:p>
          <w:p w14:paraId="638C52C9">
            <w:pPr>
              <w:pStyle w:val="4"/>
              <w:bidi w:val="0"/>
              <w:rPr>
                <w:rFonts w:hint="eastAsia"/>
                <w:color w:val="auto"/>
                <w:lang w:val="en-US" w:eastAsia="zh-CN"/>
              </w:rPr>
            </w:pPr>
            <w:bookmarkStart w:id="31" w:name="_Toc16937"/>
            <w:r>
              <w:rPr>
                <w:rFonts w:hint="eastAsia"/>
                <w:color w:val="auto"/>
                <w:lang w:val="en-US" w:eastAsia="zh-CN"/>
              </w:rPr>
              <w:t>2.2.1工艺流程及工艺介绍</w:t>
            </w:r>
            <w:bookmarkEnd w:id="31"/>
          </w:p>
          <w:p w14:paraId="28C4392B">
            <w:pPr>
              <w:pStyle w:val="24"/>
              <w:bidi w:val="0"/>
              <w:jc w:val="center"/>
              <w:rPr>
                <w:rFonts w:hint="eastAsia"/>
                <w:color w:val="auto"/>
                <w:lang w:val="en-US" w:eastAsia="zh-CN"/>
              </w:rPr>
            </w:pPr>
            <w:r>
              <w:rPr>
                <w:rFonts w:hint="eastAsia" w:cs="Times New Roman"/>
                <w:b/>
                <w:color w:val="auto"/>
                <w:kern w:val="0"/>
                <w:sz w:val="24"/>
                <w:szCs w:val="20"/>
                <w:lang w:val="en-US" w:eastAsia="zh-CN" w:bidi="ar-SA"/>
              </w:rPr>
              <w:t>（涉密）</w:t>
            </w:r>
          </w:p>
          <w:p w14:paraId="1712ED61">
            <w:pPr>
              <w:pStyle w:val="24"/>
              <w:bidi w:val="0"/>
              <w:rPr>
                <w:rFonts w:hint="default"/>
                <w:color w:val="auto"/>
                <w:lang w:val="en-US" w:eastAsia="zh-CN"/>
              </w:rPr>
            </w:pPr>
            <w:r>
              <w:rPr>
                <w:rFonts w:hint="eastAsia"/>
                <w:color w:val="auto"/>
                <w:lang w:val="en-US" w:eastAsia="zh-CN"/>
              </w:rPr>
              <w:t xml:space="preserve">图2.2-1  </w:t>
            </w:r>
            <w:r>
              <w:rPr>
                <w:rFonts w:hint="eastAsia" w:ascii="Times New Roman" w:hAnsi="Times New Roman" w:eastAsia="宋体" w:cs="Times New Roman"/>
                <w:color w:val="auto"/>
                <w:lang w:val="en-US" w:eastAsia="zh-CN"/>
              </w:rPr>
              <w:t>生产工艺</w:t>
            </w:r>
            <w:r>
              <w:rPr>
                <w:rFonts w:hint="eastAsia"/>
                <w:color w:val="auto"/>
                <w:lang w:val="en-US" w:eastAsia="zh-CN"/>
              </w:rPr>
              <w:t>流程及产污环节图</w:t>
            </w:r>
          </w:p>
          <w:p w14:paraId="49798AC8">
            <w:pPr>
              <w:pStyle w:val="4"/>
              <w:bidi w:val="0"/>
              <w:rPr>
                <w:rFonts w:hint="eastAsia"/>
                <w:color w:val="auto"/>
                <w:lang w:val="en-US" w:eastAsia="zh-CN"/>
              </w:rPr>
            </w:pPr>
            <w:bookmarkStart w:id="32" w:name="_Toc17692"/>
            <w:r>
              <w:rPr>
                <w:rFonts w:hint="eastAsia"/>
                <w:color w:val="auto"/>
                <w:lang w:val="en-US" w:eastAsia="zh-CN"/>
              </w:rPr>
              <w:t>2.2.2产污环节介绍</w:t>
            </w:r>
            <w:bookmarkEnd w:id="32"/>
          </w:p>
          <w:p w14:paraId="040847ED">
            <w:pPr>
              <w:pStyle w:val="25"/>
              <w:bidi w:val="0"/>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（1）</w:t>
            </w:r>
            <w:r>
              <w:rPr>
                <w:rFonts w:hint="default" w:ascii="Times New Roman" w:hAnsi="Times New Roman" w:eastAsia="宋体" w:cs="宋体"/>
                <w:color w:val="auto"/>
                <w:kern w:val="2"/>
                <w:sz w:val="24"/>
                <w:szCs w:val="24"/>
                <w:lang w:val="en-US" w:eastAsia="zh-CN" w:bidi="ar-SA"/>
              </w:rPr>
              <w:t>废水：</w:t>
            </w:r>
            <w:r>
              <w:rPr>
                <w:rFonts w:hint="eastAsia"/>
                <w:color w:val="auto"/>
                <w:sz w:val="24"/>
                <w:lang w:val="en-US" w:eastAsia="zh-CN"/>
              </w:rPr>
              <w:t>铣磨废水</w:t>
            </w:r>
            <w:r>
              <w:rPr>
                <w:rFonts w:hint="eastAsia" w:ascii="Times New Roman" w:hAnsi="Times New Roman" w:eastAsia="宋体"/>
                <w:color w:val="auto"/>
                <w:sz w:val="24"/>
                <w:lang w:val="en-US" w:eastAsia="zh-CN"/>
              </w:rPr>
              <w:t>、</w:t>
            </w:r>
            <w:r>
              <w:rPr>
                <w:rFonts w:hint="eastAsia"/>
                <w:color w:val="auto"/>
                <w:sz w:val="24"/>
                <w:lang w:val="en-US" w:eastAsia="zh-CN"/>
              </w:rPr>
              <w:t>铣磨废水</w:t>
            </w:r>
            <w:r>
              <w:rPr>
                <w:rFonts w:hint="eastAsia" w:ascii="Times New Roman" w:hAnsi="Times New Roman" w:eastAsia="宋体"/>
                <w:color w:val="auto"/>
                <w:sz w:val="24"/>
                <w:lang w:val="en-US" w:eastAsia="zh-CN"/>
              </w:rPr>
              <w:t>、研磨</w:t>
            </w:r>
            <w:r>
              <w:rPr>
                <w:rFonts w:hint="eastAsia"/>
                <w:color w:val="auto"/>
                <w:sz w:val="24"/>
                <w:lang w:val="en-US" w:eastAsia="zh-CN"/>
              </w:rPr>
              <w:t>废水</w:t>
            </w:r>
            <w:r>
              <w:rPr>
                <w:rFonts w:hint="eastAsia" w:ascii="Times New Roman" w:hAnsi="Times New Roman" w:eastAsia="宋体"/>
                <w:color w:val="auto"/>
                <w:sz w:val="24"/>
                <w:lang w:val="en-US" w:eastAsia="zh-CN"/>
              </w:rPr>
              <w:t>、纯水制备</w:t>
            </w:r>
            <w:r>
              <w:rPr>
                <w:rFonts w:hint="eastAsia"/>
                <w:color w:val="auto"/>
                <w:sz w:val="24"/>
                <w:lang w:val="en-US" w:eastAsia="zh-CN"/>
              </w:rPr>
              <w:t>废水、清洗废水、晶体生长废水、</w:t>
            </w:r>
            <w:r>
              <w:rPr>
                <w:rFonts w:hint="eastAsia" w:ascii="Times New Roman" w:hAnsi="Times New Roman" w:eastAsia="宋体"/>
                <w:color w:val="auto"/>
                <w:sz w:val="24"/>
                <w:lang w:val="en-US" w:eastAsia="zh-CN"/>
              </w:rPr>
              <w:t>抛光</w:t>
            </w:r>
            <w:r>
              <w:rPr>
                <w:rFonts w:hint="eastAsia"/>
                <w:color w:val="auto"/>
                <w:sz w:val="24"/>
                <w:lang w:val="en-US" w:eastAsia="zh-CN"/>
              </w:rPr>
              <w:t>废水</w:t>
            </w:r>
            <w:r>
              <w:rPr>
                <w:rFonts w:hint="eastAsia" w:ascii="Times New Roman" w:hAnsi="Times New Roman" w:eastAsia="宋体"/>
                <w:color w:val="auto"/>
                <w:sz w:val="24"/>
                <w:lang w:val="en-US" w:eastAsia="zh-CN"/>
              </w:rPr>
              <w:t>以及</w:t>
            </w:r>
            <w:r>
              <w:rPr>
                <w:rFonts w:hint="eastAsia" w:cs="Times New Roman"/>
                <w:color w:val="auto"/>
                <w:highlight w:val="none"/>
                <w:lang w:val="en-US" w:eastAsia="zh-CN"/>
              </w:rPr>
              <w:t>喷淋塔废水，生活污水。</w:t>
            </w:r>
          </w:p>
          <w:p w14:paraId="1041BB7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w:t>
            </w:r>
            <w:r>
              <w:rPr>
                <w:rFonts w:hint="default" w:ascii="Times New Roman" w:hAnsi="Times New Roman" w:eastAsia="宋体" w:cs="宋体"/>
                <w:color w:val="auto"/>
                <w:kern w:val="2"/>
                <w:sz w:val="24"/>
                <w:szCs w:val="24"/>
                <w:lang w:val="en-US" w:eastAsia="zh-CN" w:bidi="ar-SA"/>
              </w:rPr>
              <w:t>废气：</w:t>
            </w:r>
            <w:r>
              <w:rPr>
                <w:rFonts w:hint="eastAsia" w:cs="宋体"/>
                <w:color w:val="auto"/>
                <w:kern w:val="2"/>
                <w:sz w:val="24"/>
                <w:szCs w:val="24"/>
                <w:lang w:val="en-US" w:eastAsia="zh-CN" w:bidi="ar-SA"/>
              </w:rPr>
              <w:t>铣磨</w:t>
            </w:r>
            <w:r>
              <w:rPr>
                <w:rFonts w:hint="default" w:ascii="Times New Roman" w:hAnsi="Times New Roman" w:eastAsia="宋体" w:cs="宋体"/>
                <w:color w:val="auto"/>
                <w:kern w:val="2"/>
                <w:sz w:val="24"/>
                <w:szCs w:val="24"/>
                <w:lang w:val="en-US" w:eastAsia="zh-CN" w:bidi="ar-SA"/>
              </w:rPr>
              <w:t>废气、擦拭废气和</w:t>
            </w:r>
            <w:r>
              <w:rPr>
                <w:rFonts w:hint="eastAsia" w:ascii="Times New Roman" w:hAnsi="Times New Roman" w:eastAsia="宋体" w:cs="宋体"/>
                <w:color w:val="auto"/>
                <w:kern w:val="2"/>
                <w:sz w:val="24"/>
                <w:szCs w:val="24"/>
                <w:lang w:val="en-US" w:eastAsia="zh-CN" w:bidi="ar-SA"/>
              </w:rPr>
              <w:t>超</w:t>
            </w:r>
            <w:r>
              <w:rPr>
                <w:rFonts w:hint="default" w:ascii="Times New Roman" w:hAnsi="Times New Roman" w:eastAsia="宋体" w:cs="宋体"/>
                <w:color w:val="auto"/>
                <w:kern w:val="2"/>
                <w:sz w:val="24"/>
                <w:szCs w:val="24"/>
                <w:lang w:val="en-US" w:eastAsia="zh-CN" w:bidi="ar-SA"/>
              </w:rPr>
              <w:t>洗废气</w:t>
            </w:r>
            <w:r>
              <w:rPr>
                <w:rFonts w:hint="eastAsia" w:ascii="Times New Roman" w:hAnsi="Times New Roman" w:eastAsia="宋体" w:cs="宋体"/>
                <w:color w:val="auto"/>
                <w:kern w:val="2"/>
                <w:sz w:val="24"/>
                <w:szCs w:val="24"/>
                <w:lang w:val="en-US" w:eastAsia="zh-CN" w:bidi="ar-SA"/>
              </w:rPr>
              <w:t>、</w:t>
            </w:r>
            <w:r>
              <w:rPr>
                <w:rFonts w:hint="eastAsia" w:cs="宋体"/>
                <w:color w:val="auto"/>
                <w:kern w:val="2"/>
                <w:sz w:val="24"/>
                <w:szCs w:val="24"/>
                <w:lang w:val="en-US" w:eastAsia="zh-CN" w:bidi="ar-SA"/>
              </w:rPr>
              <w:t>铣磨</w:t>
            </w:r>
            <w:r>
              <w:rPr>
                <w:rFonts w:hint="eastAsia" w:ascii="Times New Roman" w:hAnsi="Times New Roman" w:eastAsia="宋体" w:cs="宋体"/>
                <w:color w:val="auto"/>
                <w:kern w:val="2"/>
                <w:sz w:val="24"/>
                <w:szCs w:val="24"/>
                <w:lang w:val="en-US" w:eastAsia="zh-CN" w:bidi="ar-SA"/>
              </w:rPr>
              <w:t>抛光投料废气、原料投料废气</w:t>
            </w:r>
            <w:r>
              <w:rPr>
                <w:rFonts w:hint="eastAsia" w:cs="宋体"/>
                <w:color w:val="auto"/>
                <w:kern w:val="2"/>
                <w:sz w:val="24"/>
                <w:szCs w:val="24"/>
                <w:lang w:val="en-US" w:eastAsia="zh-CN" w:bidi="ar-SA"/>
              </w:rPr>
              <w:t>、喷淋塔废气、晶体生长废气</w:t>
            </w:r>
            <w:r>
              <w:rPr>
                <w:rFonts w:hint="eastAsia" w:ascii="Times New Roman" w:hAnsi="Times New Roman" w:eastAsia="宋体" w:cs="宋体"/>
                <w:color w:val="auto"/>
                <w:kern w:val="2"/>
                <w:sz w:val="24"/>
                <w:szCs w:val="24"/>
                <w:lang w:val="en-US" w:eastAsia="zh-CN" w:bidi="ar-SA"/>
              </w:rPr>
              <w:t>。</w:t>
            </w:r>
          </w:p>
          <w:p w14:paraId="1F4ACB57">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（3）</w:t>
            </w:r>
            <w:r>
              <w:rPr>
                <w:rFonts w:hint="default" w:ascii="Times New Roman" w:hAnsi="Times New Roman" w:eastAsia="宋体" w:cs="宋体"/>
                <w:color w:val="auto"/>
                <w:kern w:val="2"/>
                <w:sz w:val="24"/>
                <w:szCs w:val="24"/>
                <w:lang w:val="en-US" w:eastAsia="zh-CN" w:bidi="ar-SA"/>
              </w:rPr>
              <w:t>噪声：项目运营期生产设备产生的噪声。</w:t>
            </w:r>
          </w:p>
          <w:p w14:paraId="37E3D198">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（4）一般工业固体废物</w:t>
            </w:r>
            <w:r>
              <w:rPr>
                <w:rFonts w:hint="default" w:ascii="Times New Roman" w:hAnsi="Times New Roman" w:eastAsia="宋体" w:cs="宋体"/>
                <w:color w:val="auto"/>
                <w:kern w:val="2"/>
                <w:sz w:val="24"/>
                <w:szCs w:val="24"/>
                <w:lang w:val="en-US" w:eastAsia="zh-CN" w:bidi="ar-SA"/>
              </w:rPr>
              <w:t>：抛光残渣、</w:t>
            </w:r>
            <w:r>
              <w:rPr>
                <w:rFonts w:hint="eastAsia" w:ascii="Times New Roman" w:hAnsi="Times New Roman" w:eastAsia="宋体" w:cs="宋体"/>
                <w:color w:val="auto"/>
                <w:kern w:val="2"/>
                <w:sz w:val="24"/>
                <w:szCs w:val="24"/>
                <w:lang w:val="en-US" w:eastAsia="zh-CN" w:bidi="ar-SA"/>
              </w:rPr>
              <w:t>沉淀池</w:t>
            </w:r>
            <w:r>
              <w:rPr>
                <w:rFonts w:hint="default" w:ascii="Times New Roman" w:hAnsi="Times New Roman" w:eastAsia="宋体" w:cs="宋体"/>
                <w:color w:val="auto"/>
                <w:kern w:val="2"/>
                <w:sz w:val="24"/>
                <w:szCs w:val="24"/>
                <w:lang w:val="en-US" w:eastAsia="zh-CN" w:bidi="ar-SA"/>
              </w:rPr>
              <w:t>污泥、废边角料、</w:t>
            </w:r>
            <w:r>
              <w:rPr>
                <w:rFonts w:hint="eastAsia" w:cs="宋体"/>
                <w:color w:val="auto"/>
                <w:kern w:val="2"/>
                <w:sz w:val="24"/>
                <w:szCs w:val="24"/>
                <w:lang w:val="en-US" w:eastAsia="zh-CN" w:bidi="ar-SA"/>
              </w:rPr>
              <w:t>铣磨倒边研磨废渣、</w:t>
            </w:r>
            <w:r>
              <w:rPr>
                <w:rFonts w:hint="default" w:ascii="Times New Roman" w:hAnsi="Times New Roman" w:eastAsia="宋体" w:cs="宋体"/>
                <w:color w:val="auto"/>
                <w:kern w:val="2"/>
                <w:sz w:val="24"/>
                <w:szCs w:val="24"/>
                <w:lang w:val="en-US" w:eastAsia="zh-CN" w:bidi="ar-SA"/>
              </w:rPr>
              <w:t>不合格产品</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生活垃圾。</w:t>
            </w:r>
          </w:p>
          <w:p w14:paraId="57BC03E7">
            <w:pPr>
              <w:autoSpaceDE w:val="0"/>
              <w:autoSpaceDN w:val="0"/>
              <w:spacing w:line="360" w:lineRule="auto"/>
              <w:ind w:firstLine="480" w:firstLineChars="200"/>
              <w:textAlignment w:val="bottom"/>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宋体"/>
                <w:color w:val="auto"/>
                <w:kern w:val="2"/>
                <w:sz w:val="24"/>
                <w:szCs w:val="24"/>
                <w:lang w:val="en-US" w:eastAsia="zh-CN" w:bidi="ar-SA"/>
              </w:rPr>
              <w:t>（5）危险废物</w:t>
            </w:r>
            <w:r>
              <w:rPr>
                <w:rFonts w:hint="default" w:ascii="Times New Roman" w:hAnsi="Times New Roman" w:eastAsia="宋体" w:cs="宋体"/>
                <w:color w:val="auto"/>
                <w:kern w:val="2"/>
                <w:sz w:val="24"/>
                <w:szCs w:val="24"/>
                <w:lang w:val="en-US" w:eastAsia="zh-CN" w:bidi="ar-SA"/>
              </w:rPr>
              <w:t>：废</w:t>
            </w:r>
            <w:r>
              <w:rPr>
                <w:rFonts w:hint="eastAsia" w:ascii="Times New Roman" w:hAnsi="Times New Roman" w:eastAsia="宋体" w:cs="宋体"/>
                <w:color w:val="auto"/>
                <w:kern w:val="2"/>
                <w:sz w:val="24"/>
                <w:szCs w:val="24"/>
                <w:lang w:val="en-US" w:eastAsia="zh-CN" w:bidi="ar-SA"/>
              </w:rPr>
              <w:t>擦拭纸</w:t>
            </w:r>
            <w:r>
              <w:rPr>
                <w:rFonts w:hint="default" w:ascii="Times New Roman" w:hAnsi="Times New Roman" w:eastAsia="宋体" w:cs="宋体"/>
                <w:color w:val="auto"/>
                <w:kern w:val="2"/>
                <w:sz w:val="24"/>
                <w:szCs w:val="24"/>
                <w:lang w:val="en-US" w:eastAsia="zh-CN" w:bidi="ar-SA"/>
              </w:rPr>
              <w:t>和废布、</w:t>
            </w:r>
            <w:r>
              <w:rPr>
                <w:rFonts w:hint="eastAsia" w:ascii="Times New Roman" w:hAnsi="Times New Roman" w:eastAsia="宋体" w:cs="宋体"/>
                <w:color w:val="auto"/>
                <w:kern w:val="2"/>
                <w:sz w:val="24"/>
                <w:szCs w:val="24"/>
                <w:lang w:val="en-US" w:eastAsia="zh-CN" w:bidi="ar-SA"/>
              </w:rPr>
              <w:t>废包装容器、废活性炭</w:t>
            </w:r>
            <w:r>
              <w:rPr>
                <w:rFonts w:hint="eastAsia" w:cs="宋体"/>
                <w:color w:val="auto"/>
                <w:kern w:val="2"/>
                <w:sz w:val="24"/>
                <w:szCs w:val="24"/>
                <w:lang w:val="en-US" w:eastAsia="zh-CN" w:bidi="ar-SA"/>
              </w:rPr>
              <w:t>、</w:t>
            </w:r>
            <w:r>
              <w:rPr>
                <w:rFonts w:hint="eastAsia" w:ascii="Times New Roman" w:hAnsi="Times New Roman" w:eastAsia="宋体" w:cs="宋体"/>
                <w:color w:val="auto"/>
                <w:sz w:val="24"/>
                <w:szCs w:val="24"/>
                <w:lang w:val="en-US" w:eastAsia="zh-CN" w:bidi="ar-SA"/>
              </w:rPr>
              <w:t>废切削液及</w:t>
            </w:r>
            <w:r>
              <w:rPr>
                <w:rFonts w:hint="eastAsia" w:cs="宋体"/>
                <w:color w:val="auto"/>
                <w:sz w:val="24"/>
                <w:szCs w:val="24"/>
                <w:lang w:val="en-US" w:eastAsia="zh-CN" w:bidi="ar-SA"/>
              </w:rPr>
              <w:t>污泥、废除油剂、废机油、炉渣等</w:t>
            </w:r>
            <w:r>
              <w:rPr>
                <w:rFonts w:hint="default" w:ascii="Times New Roman" w:hAnsi="Times New Roman" w:eastAsia="宋体" w:cs="宋体"/>
                <w:color w:val="auto"/>
                <w:kern w:val="2"/>
                <w:sz w:val="24"/>
                <w:szCs w:val="24"/>
                <w:lang w:val="en-US" w:eastAsia="zh-CN" w:bidi="ar-SA"/>
              </w:rPr>
              <w:t>。</w:t>
            </w:r>
            <w:r>
              <w:rPr>
                <w:rFonts w:hint="default" w:ascii="Times New Roman" w:hAnsi="Times New Roman" w:eastAsia="宋体" w:cs="Times New Roman"/>
                <w:color w:val="auto"/>
                <w:sz w:val="24"/>
                <w:szCs w:val="24"/>
                <w:highlight w:val="none"/>
                <w:lang w:eastAsia="zh-CN"/>
              </w:rPr>
              <w:t>项目产污环节说明一览表详见下表</w:t>
            </w:r>
            <w:r>
              <w:rPr>
                <w:rFonts w:hint="default" w:ascii="Times New Roman" w:hAnsi="Times New Roman" w:eastAsia="宋体" w:cs="Times New Roman"/>
                <w:color w:val="auto"/>
                <w:sz w:val="24"/>
                <w:szCs w:val="24"/>
                <w:highlight w:val="none"/>
                <w:lang w:val="en-US" w:eastAsia="zh-CN"/>
              </w:rPr>
              <w:t>2.</w:t>
            </w:r>
            <w:r>
              <w:rPr>
                <w:rFonts w:hint="eastAsia"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-1。</w:t>
            </w:r>
          </w:p>
          <w:p w14:paraId="3F373E6B">
            <w:pPr>
              <w:pStyle w:val="16"/>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240" w:lineRule="auto"/>
              <w:jc w:val="center"/>
              <w:textAlignment w:val="baseline"/>
              <w:rPr>
                <w:rFonts w:hint="default" w:ascii="Times New Roman" w:hAnsi="Times New Roman" w:eastAsia="宋体" w:cs="Times New Roman"/>
                <w:b/>
                <w:bCs/>
                <w:color w:val="auto"/>
                <w:spacing w:val="6"/>
                <w:highlight w:val="none"/>
              </w:rPr>
            </w:pPr>
            <w:r>
              <w:rPr>
                <w:rFonts w:hint="default" w:ascii="Times New Roman" w:hAnsi="Times New Roman" w:eastAsia="宋体" w:cs="Times New Roman"/>
                <w:b/>
                <w:bCs/>
                <w:color w:val="auto"/>
                <w:spacing w:val="6"/>
                <w:highlight w:val="none"/>
              </w:rPr>
              <w:t>表</w:t>
            </w:r>
            <w:r>
              <w:rPr>
                <w:rFonts w:hint="default" w:ascii="Times New Roman" w:hAnsi="Times New Roman" w:eastAsia="宋体" w:cs="Times New Roman"/>
                <w:b/>
                <w:bCs/>
                <w:color w:val="auto"/>
                <w:spacing w:val="6"/>
                <w:highlight w:val="none"/>
                <w:lang w:val="en-US" w:eastAsia="zh-CN"/>
              </w:rPr>
              <w:t>2.</w:t>
            </w:r>
            <w:r>
              <w:rPr>
                <w:rFonts w:hint="eastAsia" w:cs="Times New Roman"/>
                <w:b/>
                <w:bCs/>
                <w:color w:val="auto"/>
                <w:spacing w:val="6"/>
                <w:highlight w:val="none"/>
                <w:lang w:val="en-US" w:eastAsia="zh-CN"/>
              </w:rPr>
              <w:t>2</w:t>
            </w:r>
            <w:r>
              <w:rPr>
                <w:rFonts w:hint="default" w:ascii="Times New Roman" w:hAnsi="Times New Roman" w:eastAsia="宋体" w:cs="Times New Roman"/>
                <w:b/>
                <w:bCs/>
                <w:color w:val="auto"/>
                <w:spacing w:val="6"/>
                <w:highlight w:val="none"/>
                <w:lang w:val="en-US" w:eastAsia="zh-CN"/>
              </w:rPr>
              <w:t>-1</w:t>
            </w:r>
            <w:r>
              <w:rPr>
                <w:rFonts w:hint="default" w:ascii="Times New Roman" w:hAnsi="Times New Roman" w:eastAsia="宋体" w:cs="Times New Roman"/>
                <w:b/>
                <w:bCs/>
                <w:color w:val="auto"/>
                <w:spacing w:val="6"/>
                <w:highlight w:val="none"/>
              </w:rPr>
              <w:t xml:space="preserve">  </w:t>
            </w:r>
            <w:r>
              <w:rPr>
                <w:rFonts w:hint="default" w:ascii="Times New Roman" w:hAnsi="Times New Roman" w:eastAsia="宋体" w:cs="Times New Roman"/>
                <w:b/>
                <w:bCs/>
                <w:color w:val="auto"/>
                <w:spacing w:val="6"/>
                <w:highlight w:val="none"/>
                <w:lang w:eastAsia="zh-CN"/>
              </w:rPr>
              <w:t>项目产污环节说明一览</w:t>
            </w:r>
            <w:r>
              <w:rPr>
                <w:rFonts w:hint="default" w:ascii="Times New Roman" w:hAnsi="Times New Roman" w:eastAsia="宋体" w:cs="Times New Roman"/>
                <w:b/>
                <w:bCs/>
                <w:color w:val="auto"/>
                <w:spacing w:val="6"/>
                <w:highlight w:val="none"/>
              </w:rPr>
              <w:t>表</w:t>
            </w:r>
          </w:p>
          <w:tbl>
            <w:tblPr>
              <w:tblStyle w:val="42"/>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1560"/>
              <w:gridCol w:w="1658"/>
              <w:gridCol w:w="1542"/>
              <w:gridCol w:w="3004"/>
            </w:tblGrid>
            <w:tr w14:paraId="4C4268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1" w:type="pct"/>
                  <w:noWrap w:val="0"/>
                  <w:vAlign w:val="center"/>
                </w:tcPr>
                <w:p w14:paraId="3B45BE3E">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 w:val="21"/>
                      <w:szCs w:val="21"/>
                      <w:highlight w:val="none"/>
                    </w:rPr>
                  </w:pPr>
                  <w:bookmarkStart w:id="33" w:name="_Hlk513125280"/>
                  <w:r>
                    <w:rPr>
                      <w:rFonts w:hint="default" w:ascii="Times New Roman" w:hAnsi="Times New Roman" w:eastAsia="宋体" w:cs="Times New Roman"/>
                      <w:b/>
                      <w:bCs/>
                      <w:color w:val="auto"/>
                      <w:sz w:val="21"/>
                      <w:szCs w:val="21"/>
                      <w:highlight w:val="none"/>
                    </w:rPr>
                    <w:t>类别</w:t>
                  </w:r>
                </w:p>
              </w:tc>
              <w:tc>
                <w:tcPr>
                  <w:tcW w:w="926" w:type="pct"/>
                  <w:noWrap w:val="0"/>
                  <w:vAlign w:val="center"/>
                </w:tcPr>
                <w:p w14:paraId="2E7C5A01">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污染源</w:t>
                  </w:r>
                </w:p>
              </w:tc>
              <w:tc>
                <w:tcPr>
                  <w:tcW w:w="984" w:type="pct"/>
                  <w:noWrap w:val="0"/>
                  <w:vAlign w:val="center"/>
                </w:tcPr>
                <w:p w14:paraId="06F5DC50">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污染因子</w:t>
                  </w:r>
                </w:p>
              </w:tc>
              <w:tc>
                <w:tcPr>
                  <w:tcW w:w="915" w:type="pct"/>
                  <w:noWrap w:val="0"/>
                  <w:vAlign w:val="center"/>
                </w:tcPr>
                <w:p w14:paraId="0A4F9D31">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产污环节</w:t>
                  </w:r>
                </w:p>
              </w:tc>
              <w:tc>
                <w:tcPr>
                  <w:tcW w:w="1783" w:type="pct"/>
                  <w:noWrap w:val="0"/>
                  <w:vAlign w:val="center"/>
                </w:tcPr>
                <w:p w14:paraId="08A862C1">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治理措施及排放去向</w:t>
                  </w:r>
                </w:p>
              </w:tc>
            </w:tr>
            <w:tr w14:paraId="71D903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1" w:type="pct"/>
                  <w:vMerge w:val="restart"/>
                  <w:noWrap w:val="0"/>
                  <w:vAlign w:val="center"/>
                </w:tcPr>
                <w:p w14:paraId="1D52A4EC">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废气</w:t>
                  </w:r>
                </w:p>
              </w:tc>
              <w:tc>
                <w:tcPr>
                  <w:tcW w:w="926" w:type="pct"/>
                  <w:noWrap w:val="0"/>
                  <w:vAlign w:val="center"/>
                </w:tcPr>
                <w:p w14:paraId="33A66746">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铣磨</w:t>
                  </w:r>
                  <w:r>
                    <w:rPr>
                      <w:rFonts w:hint="eastAsia" w:ascii="Times New Roman" w:hAnsi="Times New Roman" w:eastAsia="宋体" w:cs="Times New Roman"/>
                      <w:color w:val="auto"/>
                      <w:sz w:val="21"/>
                      <w:szCs w:val="21"/>
                      <w:highlight w:val="none"/>
                      <w:lang w:val="en-US" w:eastAsia="zh-CN"/>
                    </w:rPr>
                    <w:t>废气、擦拭检测废气、超洗废气</w:t>
                  </w:r>
                </w:p>
              </w:tc>
              <w:tc>
                <w:tcPr>
                  <w:tcW w:w="984" w:type="pct"/>
                  <w:noWrap w:val="0"/>
                  <w:vAlign w:val="center"/>
                </w:tcPr>
                <w:p w14:paraId="21BAD1A4">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VOCs，乙醇、乙醚、丙酮（以非甲烷总烃计）</w:t>
                  </w:r>
                </w:p>
              </w:tc>
              <w:tc>
                <w:tcPr>
                  <w:tcW w:w="915" w:type="pct"/>
                  <w:noWrap w:val="0"/>
                  <w:vAlign w:val="center"/>
                </w:tcPr>
                <w:p w14:paraId="7DB435FA">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铣磨</w:t>
                  </w:r>
                  <w:r>
                    <w:rPr>
                      <w:rFonts w:hint="eastAsia" w:ascii="Times New Roman" w:hAnsi="Times New Roman" w:eastAsia="宋体" w:cs="Times New Roman"/>
                      <w:color w:val="auto"/>
                      <w:sz w:val="21"/>
                      <w:szCs w:val="21"/>
                      <w:highlight w:val="none"/>
                      <w:lang w:val="en-US" w:eastAsia="zh-CN"/>
                    </w:rPr>
                    <w:t>、擦拭、超声波清洗</w:t>
                  </w:r>
                </w:p>
              </w:tc>
              <w:tc>
                <w:tcPr>
                  <w:tcW w:w="1783" w:type="pct"/>
                  <w:noWrap w:val="0"/>
                  <w:vAlign w:val="center"/>
                </w:tcPr>
                <w:p w14:paraId="3D2BC9FF">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有机废气车间密闭负压收集废气，通过二级活性炭吸附装置处理达标后由40m高排气筒排放</w:t>
                  </w:r>
                </w:p>
              </w:tc>
            </w:tr>
            <w:tr w14:paraId="026B4B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1" w:type="pct"/>
                  <w:vMerge w:val="continue"/>
                  <w:noWrap w:val="0"/>
                  <w:vAlign w:val="center"/>
                </w:tcPr>
                <w:p w14:paraId="629B8550">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13B7A705">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抛光</w:t>
                  </w:r>
                  <w:r>
                    <w:rPr>
                      <w:rFonts w:hint="eastAsia" w:cs="Times New Roman"/>
                      <w:color w:val="auto"/>
                      <w:sz w:val="21"/>
                      <w:szCs w:val="21"/>
                      <w:highlight w:val="none"/>
                      <w:lang w:val="en-US" w:eastAsia="zh-CN"/>
                    </w:rPr>
                    <w:t>铣磨</w:t>
                  </w:r>
                  <w:r>
                    <w:rPr>
                      <w:rFonts w:hint="eastAsia" w:ascii="Times New Roman" w:hAnsi="Times New Roman" w:eastAsia="宋体" w:cs="Times New Roman"/>
                      <w:color w:val="auto"/>
                      <w:sz w:val="21"/>
                      <w:szCs w:val="21"/>
                      <w:highlight w:val="none"/>
                      <w:lang w:val="en-US" w:eastAsia="zh-CN"/>
                    </w:rPr>
                    <w:t>投料废气</w:t>
                  </w:r>
                </w:p>
              </w:tc>
              <w:tc>
                <w:tcPr>
                  <w:tcW w:w="984" w:type="pct"/>
                  <w:noWrap w:val="0"/>
                  <w:vAlign w:val="center"/>
                </w:tcPr>
                <w:p w14:paraId="5EC17450">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颗粒物</w:t>
                  </w:r>
                </w:p>
              </w:tc>
              <w:tc>
                <w:tcPr>
                  <w:tcW w:w="915" w:type="pct"/>
                  <w:noWrap w:val="0"/>
                  <w:vAlign w:val="center"/>
                </w:tcPr>
                <w:p w14:paraId="3CE0F953">
                  <w:pPr>
                    <w:pStyle w:val="38"/>
                    <w:keepNext w:val="0"/>
                    <w:keepLines w:val="0"/>
                    <w:pageBreakBefore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铣磨</w:t>
                  </w:r>
                  <w:r>
                    <w:rPr>
                      <w:rFonts w:hint="eastAsia" w:ascii="Times New Roman" w:hAnsi="Times New Roman" w:eastAsia="宋体" w:cs="Times New Roman"/>
                      <w:color w:val="auto"/>
                      <w:sz w:val="21"/>
                      <w:szCs w:val="21"/>
                      <w:highlight w:val="none"/>
                      <w:lang w:val="en-US" w:eastAsia="zh-CN"/>
                    </w:rPr>
                    <w:t>、抛光投料</w:t>
                  </w:r>
                </w:p>
              </w:tc>
              <w:tc>
                <w:tcPr>
                  <w:tcW w:w="1783" w:type="pct"/>
                  <w:noWrap w:val="0"/>
                  <w:vAlign w:val="center"/>
                </w:tcPr>
                <w:p w14:paraId="0E7D9C36">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车间密闭，自然沉降</w:t>
                  </w:r>
                </w:p>
              </w:tc>
            </w:tr>
            <w:tr w14:paraId="6F1EA2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1" w:type="pct"/>
                  <w:vMerge w:val="continue"/>
                  <w:noWrap w:val="0"/>
                  <w:vAlign w:val="center"/>
                </w:tcPr>
                <w:p w14:paraId="38968D86">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082BA28D">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喷淋塔</w:t>
                  </w:r>
                  <w:r>
                    <w:rPr>
                      <w:rFonts w:hint="eastAsia" w:ascii="Times New Roman" w:hAnsi="Times New Roman" w:eastAsia="宋体" w:cs="Times New Roman"/>
                      <w:color w:val="auto"/>
                      <w:sz w:val="21"/>
                      <w:szCs w:val="21"/>
                      <w:highlight w:val="none"/>
                      <w:lang w:val="en-US" w:eastAsia="zh-CN"/>
                    </w:rPr>
                    <w:t>废气</w:t>
                  </w:r>
                  <w:r>
                    <w:rPr>
                      <w:rFonts w:hint="eastAsia" w:cs="Times New Roman"/>
                      <w:color w:val="auto"/>
                      <w:sz w:val="21"/>
                      <w:szCs w:val="21"/>
                      <w:highlight w:val="none"/>
                      <w:lang w:val="en-US" w:eastAsia="zh-CN"/>
                    </w:rPr>
                    <w:t>、原料投料废气</w:t>
                  </w:r>
                </w:p>
              </w:tc>
              <w:tc>
                <w:tcPr>
                  <w:tcW w:w="984" w:type="pct"/>
                  <w:noWrap w:val="0"/>
                  <w:vAlign w:val="center"/>
                </w:tcPr>
                <w:p w14:paraId="030CEEF2">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颗粒物、硝酸雾</w:t>
                  </w:r>
                </w:p>
              </w:tc>
              <w:tc>
                <w:tcPr>
                  <w:tcW w:w="915" w:type="pct"/>
                  <w:noWrap w:val="0"/>
                  <w:vAlign w:val="center"/>
                </w:tcPr>
                <w:p w14:paraId="69B041F4">
                  <w:pPr>
                    <w:pStyle w:val="38"/>
                    <w:keepNext w:val="0"/>
                    <w:keepLines w:val="0"/>
                    <w:pageBreakBefore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原料投料</w:t>
                  </w:r>
                </w:p>
              </w:tc>
              <w:tc>
                <w:tcPr>
                  <w:tcW w:w="1783" w:type="pct"/>
                  <w:noWrap w:val="0"/>
                  <w:vAlign w:val="center"/>
                </w:tcPr>
                <w:p w14:paraId="609B3FAA">
                  <w:pPr>
                    <w:pStyle w:val="38"/>
                    <w:keepNext w:val="0"/>
                    <w:keepLines w:val="0"/>
                    <w:pageBreakBefore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sz w:val="21"/>
                      <w:szCs w:val="21"/>
                      <w:highlight w:val="none"/>
                      <w:lang w:val="en-US" w:eastAsia="zh-CN"/>
                    </w:rPr>
                  </w:pPr>
                  <w:r>
                    <w:rPr>
                      <w:rFonts w:hint="eastAsia"/>
                      <w:color w:val="auto"/>
                      <w:sz w:val="21"/>
                      <w:szCs w:val="21"/>
                      <w:lang w:val="en-US" w:eastAsia="zh-CN"/>
                    </w:rPr>
                    <w:t>颗粒物</w:t>
                  </w:r>
                  <w:r>
                    <w:rPr>
                      <w:rFonts w:hint="eastAsia" w:ascii="Times New Roman" w:hAnsi="Times New Roman" w:eastAsia="宋体" w:cs="Times New Roman"/>
                      <w:color w:val="auto"/>
                      <w:sz w:val="21"/>
                      <w:szCs w:val="21"/>
                      <w:highlight w:val="none"/>
                      <w:lang w:val="en-US" w:eastAsia="zh-CN"/>
                    </w:rPr>
                    <w:t>车间密闭，自然沉降</w:t>
                  </w:r>
                  <w:r>
                    <w:rPr>
                      <w:rFonts w:hint="eastAsia"/>
                      <w:color w:val="auto"/>
                      <w:sz w:val="21"/>
                      <w:szCs w:val="21"/>
                      <w:lang w:val="en-US" w:eastAsia="zh-CN"/>
                    </w:rPr>
                    <w:t>；车间</w:t>
                  </w:r>
                  <w:r>
                    <w:rPr>
                      <w:rFonts w:hint="eastAsia" w:ascii="Times New Roman" w:hAnsi="Times New Roman" w:eastAsia="宋体"/>
                      <w:color w:val="auto"/>
                      <w:sz w:val="21"/>
                      <w:szCs w:val="21"/>
                      <w:lang w:val="en-US" w:eastAsia="zh-CN"/>
                    </w:rPr>
                    <w:t>密闭负压收集酸性废气通</w:t>
                  </w:r>
                  <w:r>
                    <w:rPr>
                      <w:rFonts w:hint="eastAsia" w:ascii="Times New Roman" w:hAnsi="Times New Roman" w:eastAsia="宋体" w:cs="Times New Roman"/>
                      <w:color w:val="auto"/>
                      <w:sz w:val="21"/>
                      <w:szCs w:val="21"/>
                      <w:lang w:val="en-US" w:eastAsia="zh-CN"/>
                    </w:rPr>
                    <w:t>过碱液喷淋吸收塔处理达标后由40m高排气筒排放</w:t>
                  </w:r>
                </w:p>
              </w:tc>
            </w:tr>
            <w:tr w14:paraId="5FFF1C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1" w:type="pct"/>
                  <w:vMerge w:val="continue"/>
                  <w:noWrap w:val="0"/>
                  <w:vAlign w:val="center"/>
                </w:tcPr>
                <w:p w14:paraId="60DF4C6F">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185F1F60">
                  <w:pPr>
                    <w:pStyle w:val="38"/>
                    <w:keepNext w:val="0"/>
                    <w:keepLines w:val="0"/>
                    <w:pageBreakBefore w:val="0"/>
                    <w:kinsoku/>
                    <w:wordWrap/>
                    <w:overflowPunct/>
                    <w:topLinePunct w:val="0"/>
                    <w:autoSpaceDE/>
                    <w:autoSpaceDN/>
                    <w:bidi w:val="0"/>
                    <w:adjustRightInd/>
                    <w:snapToGrid/>
                    <w:spacing w:line="240" w:lineRule="auto"/>
                    <w:textAlignment w:val="auto"/>
                    <w:rPr>
                      <w:rFonts w:hint="eastAsia" w:cs="Times New Roman"/>
                      <w:color w:val="auto"/>
                      <w:sz w:val="21"/>
                      <w:szCs w:val="21"/>
                      <w:highlight w:val="none"/>
                      <w:lang w:val="en-US" w:eastAsia="zh-CN"/>
                    </w:rPr>
                  </w:pPr>
                  <w:r>
                    <w:rPr>
                      <w:rFonts w:hint="eastAsia"/>
                      <w:color w:val="auto"/>
                      <w:lang w:val="en-US" w:eastAsia="zh-CN"/>
                    </w:rPr>
                    <w:t>晶体生长废气</w:t>
                  </w:r>
                </w:p>
              </w:tc>
              <w:tc>
                <w:tcPr>
                  <w:tcW w:w="984" w:type="pct"/>
                  <w:noWrap w:val="0"/>
                  <w:vAlign w:val="center"/>
                </w:tcPr>
                <w:p w14:paraId="6B46F25D">
                  <w:pPr>
                    <w:pStyle w:val="38"/>
                    <w:keepNext w:val="0"/>
                    <w:keepLines w:val="0"/>
                    <w:pageBreakBefore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sz w:val="21"/>
                      <w:szCs w:val="21"/>
                      <w:highlight w:val="none"/>
                      <w:lang w:val="en-US" w:eastAsia="zh-CN"/>
                    </w:rPr>
                  </w:pPr>
                  <w:r>
                    <w:rPr>
                      <w:rFonts w:hint="eastAsia"/>
                      <w:color w:val="auto"/>
                      <w:lang w:val="en-US" w:eastAsia="zh-CN"/>
                    </w:rPr>
                    <w:t>氨、硝酸雾、臭气浓度</w:t>
                  </w:r>
                </w:p>
              </w:tc>
              <w:tc>
                <w:tcPr>
                  <w:tcW w:w="915" w:type="pct"/>
                  <w:noWrap w:val="0"/>
                  <w:vAlign w:val="center"/>
                </w:tcPr>
                <w:p w14:paraId="22C33699">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晶体生长</w:t>
                  </w:r>
                </w:p>
              </w:tc>
              <w:tc>
                <w:tcPr>
                  <w:tcW w:w="1783" w:type="pct"/>
                  <w:noWrap w:val="0"/>
                  <w:vAlign w:val="center"/>
                </w:tcPr>
                <w:p w14:paraId="6830519D">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color w:val="auto"/>
                      <w:sz w:val="21"/>
                      <w:szCs w:val="21"/>
                      <w:lang w:val="en-US" w:eastAsia="zh-CN"/>
                    </w:rPr>
                  </w:pPr>
                  <w:r>
                    <w:rPr>
                      <w:rFonts w:hint="eastAsia" w:ascii="Times New Roman" w:hAnsi="Times New Roman" w:eastAsia="宋体" w:cs="Times New Roman"/>
                      <w:color w:val="auto"/>
                      <w:sz w:val="21"/>
                      <w:szCs w:val="21"/>
                      <w:highlight w:val="none"/>
                      <w:lang w:val="en-US" w:eastAsia="zh-CN"/>
                    </w:rPr>
                    <w:t>车间密闭，由通风橱收集（3台风机风量为10000m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/h）</w:t>
                  </w:r>
                </w:p>
              </w:tc>
            </w:tr>
            <w:tr w14:paraId="7027E7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1" w:type="pct"/>
                  <w:vMerge w:val="restart"/>
                  <w:noWrap w:val="0"/>
                  <w:vAlign w:val="center"/>
                </w:tcPr>
                <w:p w14:paraId="65B8BE2D">
                  <w:pPr>
                    <w:pStyle w:val="38"/>
                    <w:keepNext w:val="0"/>
                    <w:keepLines w:val="0"/>
                    <w:pageBreakBefore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废水</w:t>
                  </w:r>
                </w:p>
              </w:tc>
              <w:tc>
                <w:tcPr>
                  <w:tcW w:w="926" w:type="pct"/>
                  <w:noWrap w:val="0"/>
                  <w:vAlign w:val="center"/>
                </w:tcPr>
                <w:p w14:paraId="70E4C499">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铣磨用水、</w:t>
                  </w:r>
                  <w:r>
                    <w:rPr>
                      <w:rFonts w:hint="eastAsia" w:cs="Times New Roman"/>
                      <w:color w:val="auto"/>
                      <w:sz w:val="21"/>
                      <w:szCs w:val="21"/>
                      <w:highlight w:val="none"/>
                      <w:lang w:val="en-US" w:eastAsia="zh-CN"/>
                    </w:rPr>
                    <w:t>铣磨</w:t>
                  </w:r>
                  <w:r>
                    <w:rPr>
                      <w:rFonts w:hint="eastAsia" w:ascii="Times New Roman" w:hAnsi="Times New Roman" w:eastAsia="宋体" w:cs="Times New Roman"/>
                      <w:color w:val="auto"/>
                      <w:sz w:val="21"/>
                      <w:szCs w:val="21"/>
                      <w:highlight w:val="none"/>
                      <w:lang w:val="en-US" w:eastAsia="zh-CN"/>
                    </w:rPr>
                    <w:t>用水、研磨用水、纯水制备用水、抛光用水</w:t>
                  </w:r>
                  <w:r>
                    <w:rPr>
                      <w:rFonts w:hint="eastAsia"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喷淋塔用水</w:t>
                  </w:r>
                  <w:r>
                    <w:rPr>
                      <w:rFonts w:hint="eastAsia" w:cs="Times New Roman"/>
                      <w:color w:val="auto"/>
                      <w:sz w:val="21"/>
                      <w:szCs w:val="21"/>
                      <w:highlight w:val="none"/>
                      <w:lang w:val="en-US" w:eastAsia="zh-CN"/>
                    </w:rPr>
                    <w:t>以及晶体生长废水</w:t>
                  </w:r>
                </w:p>
              </w:tc>
              <w:tc>
                <w:tcPr>
                  <w:tcW w:w="984" w:type="pct"/>
                  <w:noWrap w:val="0"/>
                  <w:vAlign w:val="center"/>
                </w:tcPr>
                <w:p w14:paraId="01569087">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pH值、COD、SS、BOD</w:t>
                  </w:r>
                  <w:r>
                    <w:rPr>
                      <w:rFonts w:hint="eastAsia" w:ascii="Times New Roman" w:hAnsi="Times New Roman" w:eastAsia="宋体" w:cs="Times New Roman"/>
                      <w:color w:val="auto"/>
                      <w:sz w:val="21"/>
                      <w:szCs w:val="21"/>
                      <w:highlight w:val="none"/>
                      <w:vertAlign w:val="subscript"/>
                      <w:lang w:val="en-US" w:eastAsia="zh-CN"/>
                    </w:rPr>
                    <w:t>5</w:t>
                  </w:r>
                  <w:r>
                    <w:rPr>
                      <w:rFonts w:hint="eastAsia" w:ascii="Times New Roman" w:hAnsi="Times New Roman" w:eastAsia="宋体" w:cs="Times New Roman"/>
                      <w:color w:val="auto"/>
                      <w:sz w:val="21"/>
                      <w:szCs w:val="21"/>
                      <w:highlight w:val="none"/>
                      <w:lang w:val="en-US" w:eastAsia="zh-CN"/>
                    </w:rPr>
                    <w:t>、NH</w:t>
                  </w:r>
                  <w:r>
                    <w:rPr>
                      <w:rFonts w:hint="eastAsia" w:ascii="Times New Roman" w:hAnsi="Times New Roman" w:eastAsia="宋体" w:cs="Times New Roman"/>
                      <w:color w:val="auto"/>
                      <w:sz w:val="21"/>
                      <w:szCs w:val="21"/>
                      <w:highlight w:val="none"/>
                      <w:vertAlign w:val="subscript"/>
                      <w:lang w:val="en-US" w:eastAsia="zh-CN"/>
                    </w:rPr>
                    <w:t>3</w:t>
                  </w:r>
                  <w:r>
                    <w:rPr>
                      <w:rFonts w:hint="eastAsia" w:ascii="Times New Roman" w:hAnsi="Times New Roman" w:eastAsia="宋体" w:cs="Times New Roman"/>
                      <w:color w:val="auto"/>
                      <w:sz w:val="21"/>
                      <w:szCs w:val="21"/>
                      <w:highlight w:val="none"/>
                      <w:lang w:val="en-US" w:eastAsia="zh-CN"/>
                    </w:rPr>
                    <w:t>-N</w:t>
                  </w:r>
                </w:p>
              </w:tc>
              <w:tc>
                <w:tcPr>
                  <w:tcW w:w="915" w:type="pct"/>
                  <w:noWrap w:val="0"/>
                  <w:vAlign w:val="center"/>
                </w:tcPr>
                <w:p w14:paraId="1830BD5A">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铣磨、抛光、</w:t>
                  </w:r>
                  <w:r>
                    <w:rPr>
                      <w:rFonts w:hint="eastAsia" w:cs="Times New Roman"/>
                      <w:color w:val="auto"/>
                      <w:sz w:val="21"/>
                      <w:szCs w:val="21"/>
                      <w:highlight w:val="none"/>
                      <w:lang w:val="en-US" w:eastAsia="zh-CN"/>
                    </w:rPr>
                    <w:t>铣磨</w:t>
                  </w:r>
                  <w:r>
                    <w:rPr>
                      <w:rFonts w:hint="eastAsia" w:ascii="Times New Roman" w:hAnsi="Times New Roman" w:eastAsia="宋体" w:cs="Times New Roman"/>
                      <w:color w:val="auto"/>
                      <w:sz w:val="21"/>
                      <w:szCs w:val="21"/>
                      <w:highlight w:val="none"/>
                      <w:lang w:val="en-US" w:eastAsia="zh-CN"/>
                    </w:rPr>
                    <w:t>、超声波清洗</w:t>
                  </w:r>
                </w:p>
              </w:tc>
              <w:tc>
                <w:tcPr>
                  <w:tcW w:w="1783" w:type="pct"/>
                  <w:noWrap w:val="0"/>
                  <w:vAlign w:val="center"/>
                </w:tcPr>
                <w:p w14:paraId="7857C4FB">
                  <w:pPr>
                    <w:pStyle w:val="3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kern w:val="2"/>
                      <w:sz w:val="21"/>
                      <w:szCs w:val="21"/>
                      <w:highlight w:val="none"/>
                      <w:lang w:val="en-US" w:eastAsia="zh-CN" w:bidi="ar-SA"/>
                    </w:rPr>
                    <w:t>抛光、</w:t>
                  </w:r>
                  <w:r>
                    <w:rPr>
                      <w:rFonts w:hint="eastAsia" w:cs="Times New Roman"/>
                      <w:color w:val="auto"/>
                      <w:kern w:val="2"/>
                      <w:sz w:val="21"/>
                      <w:szCs w:val="21"/>
                      <w:highlight w:val="none"/>
                      <w:lang w:val="en-US" w:eastAsia="zh-CN" w:bidi="ar-SA"/>
                    </w:rPr>
                    <w:t>铣磨</w:t>
                  </w:r>
                  <w:r>
                    <w:rPr>
                      <w:rFonts w:hint="eastAsia" w:ascii="Times New Roman" w:hAnsi="Times New Roman" w:eastAsia="宋体" w:cs="Times New Roman"/>
                      <w:color w:val="auto"/>
                      <w:kern w:val="2"/>
                      <w:sz w:val="21"/>
                      <w:szCs w:val="21"/>
                      <w:highlight w:val="none"/>
                      <w:lang w:val="en-US" w:eastAsia="zh-CN" w:bidi="ar-SA"/>
                    </w:rPr>
                    <w:t>、铣磨、研磨</w:t>
                  </w: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喷淋塔</w:t>
                  </w:r>
                  <w:r>
                    <w:rPr>
                      <w:rFonts w:hint="eastAsia" w:cs="Times New Roman"/>
                      <w:color w:val="auto"/>
                      <w:kern w:val="2"/>
                      <w:sz w:val="21"/>
                      <w:szCs w:val="21"/>
                      <w:highlight w:val="none"/>
                      <w:lang w:val="en-US" w:eastAsia="zh-CN" w:bidi="ar-SA"/>
                    </w:rPr>
                    <w:t>、晶体生长</w:t>
                  </w:r>
                  <w:r>
                    <w:rPr>
                      <w:rFonts w:hint="eastAsia" w:ascii="Times New Roman" w:hAnsi="Times New Roman" w:eastAsia="宋体" w:cs="Times New Roman"/>
                      <w:color w:val="auto"/>
                      <w:kern w:val="2"/>
                      <w:sz w:val="21"/>
                      <w:szCs w:val="21"/>
                      <w:highlight w:val="none"/>
                      <w:lang w:val="en-US" w:eastAsia="zh-CN" w:bidi="ar-SA"/>
                    </w:rPr>
                    <w:t>废水经过三格沉淀池进入调节池，再经过废水处理设施处理达标后排入市政管网，纳入大学城污水处理厂；清洗剂废水进入集水调节池，再经过混凝沉淀废水处理设施处理达标后排入市政管网，纳入大学城污水处理厂；纯水槽的纯净废水与纯水制备的非纯净废水直接排入市政管网，纳入大学城污水处理厂</w:t>
                  </w:r>
                </w:p>
              </w:tc>
            </w:tr>
            <w:tr w14:paraId="00D5AE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1" w:type="pct"/>
                  <w:vMerge w:val="continue"/>
                  <w:noWrap w:val="0"/>
                  <w:vAlign w:val="center"/>
                </w:tcPr>
                <w:p w14:paraId="1F9937B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53C3D312">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生活污水</w:t>
                  </w:r>
                </w:p>
              </w:tc>
              <w:tc>
                <w:tcPr>
                  <w:tcW w:w="984" w:type="pct"/>
                  <w:noWrap w:val="0"/>
                  <w:vAlign w:val="center"/>
                </w:tcPr>
                <w:p w14:paraId="41D32B2C">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pH值、COD、SS、BOD</w:t>
                  </w:r>
                  <w:r>
                    <w:rPr>
                      <w:rFonts w:hint="eastAsia" w:ascii="Times New Roman" w:hAnsi="Times New Roman" w:eastAsia="宋体" w:cs="Times New Roman"/>
                      <w:color w:val="auto"/>
                      <w:sz w:val="21"/>
                      <w:szCs w:val="21"/>
                      <w:highlight w:val="none"/>
                      <w:vertAlign w:val="subscript"/>
                      <w:lang w:val="en-US" w:eastAsia="zh-CN"/>
                    </w:rPr>
                    <w:t>5</w:t>
                  </w:r>
                  <w:r>
                    <w:rPr>
                      <w:rFonts w:hint="eastAsia" w:ascii="Times New Roman" w:hAnsi="Times New Roman" w:eastAsia="宋体" w:cs="Times New Roman"/>
                      <w:color w:val="auto"/>
                      <w:sz w:val="21"/>
                      <w:szCs w:val="21"/>
                      <w:highlight w:val="none"/>
                      <w:lang w:val="en-US" w:eastAsia="zh-CN"/>
                    </w:rPr>
                    <w:t>、NH</w:t>
                  </w:r>
                  <w:r>
                    <w:rPr>
                      <w:rFonts w:hint="eastAsia" w:ascii="Times New Roman" w:hAnsi="Times New Roman" w:eastAsia="宋体" w:cs="Times New Roman"/>
                      <w:color w:val="auto"/>
                      <w:sz w:val="21"/>
                      <w:szCs w:val="21"/>
                      <w:highlight w:val="none"/>
                      <w:vertAlign w:val="subscript"/>
                      <w:lang w:val="en-US" w:eastAsia="zh-CN"/>
                    </w:rPr>
                    <w:t>3</w:t>
                  </w:r>
                  <w:r>
                    <w:rPr>
                      <w:rFonts w:hint="eastAsia" w:ascii="Times New Roman" w:hAnsi="Times New Roman" w:eastAsia="宋体" w:cs="Times New Roman"/>
                      <w:color w:val="auto"/>
                      <w:sz w:val="21"/>
                      <w:szCs w:val="21"/>
                      <w:highlight w:val="none"/>
                      <w:lang w:val="en-US" w:eastAsia="zh-CN"/>
                    </w:rPr>
                    <w:t>-N</w:t>
                  </w:r>
                </w:p>
              </w:tc>
              <w:tc>
                <w:tcPr>
                  <w:tcW w:w="915" w:type="pct"/>
                  <w:noWrap w:val="0"/>
                  <w:vAlign w:val="center"/>
                </w:tcPr>
                <w:p w14:paraId="73E588E3">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日常生活工作</w:t>
                  </w:r>
                </w:p>
              </w:tc>
              <w:tc>
                <w:tcPr>
                  <w:tcW w:w="1783" w:type="pct"/>
                  <w:noWrap w:val="0"/>
                  <w:vAlign w:val="center"/>
                </w:tcPr>
                <w:p w14:paraId="0E4CF880">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生活污水经化粪池处理达标后，排入市政污水管网，纳入大学城污水处理厂处理</w:t>
                  </w:r>
                </w:p>
              </w:tc>
            </w:tr>
            <w:tr w14:paraId="04A795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1" w:type="pct"/>
                  <w:noWrap w:val="0"/>
                  <w:vAlign w:val="center"/>
                </w:tcPr>
                <w:p w14:paraId="27EB9480">
                  <w:pPr>
                    <w:pStyle w:val="38"/>
                    <w:keepNext w:val="0"/>
                    <w:keepLines w:val="0"/>
                    <w:pageBreakBefore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噪声</w:t>
                  </w:r>
                </w:p>
              </w:tc>
              <w:tc>
                <w:tcPr>
                  <w:tcW w:w="926" w:type="pct"/>
                  <w:noWrap w:val="0"/>
                  <w:vAlign w:val="center"/>
                </w:tcPr>
                <w:p w14:paraId="495EA392">
                  <w:pPr>
                    <w:pStyle w:val="38"/>
                    <w:keepNext w:val="0"/>
                    <w:keepLines w:val="0"/>
                    <w:pageBreakBefore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olor w:val="auto"/>
                      <w:sz w:val="21"/>
                      <w:szCs w:val="21"/>
                    </w:rPr>
                    <w:t>生产设备</w:t>
                  </w:r>
                  <w:r>
                    <w:rPr>
                      <w:rFonts w:hint="eastAsia"/>
                      <w:color w:val="auto"/>
                      <w:sz w:val="21"/>
                      <w:szCs w:val="21"/>
                      <w:lang w:val="en-US" w:eastAsia="zh-CN"/>
                    </w:rPr>
                    <w:t>噪声</w:t>
                  </w:r>
                </w:p>
              </w:tc>
              <w:tc>
                <w:tcPr>
                  <w:tcW w:w="984" w:type="pct"/>
                  <w:noWrap w:val="0"/>
                  <w:vAlign w:val="center"/>
                </w:tcPr>
                <w:p w14:paraId="4139332B">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eastAsia" w:ascii="Times New Roman" w:hAnsi="Times New Roman"/>
                      <w:color w:val="auto"/>
                      <w:sz w:val="21"/>
                      <w:szCs w:val="21"/>
                      <w:lang w:val="en-US" w:eastAsia="zh-CN"/>
                    </w:rPr>
                    <w:t>连续</w:t>
                  </w:r>
                  <w:r>
                    <w:rPr>
                      <w:rFonts w:hint="eastAsia" w:ascii="Times New Roman" w:hAnsi="Times New Roman"/>
                      <w:color w:val="auto"/>
                      <w:sz w:val="21"/>
                      <w:szCs w:val="21"/>
                    </w:rPr>
                    <w:t>等效A声级Leq</w:t>
                  </w:r>
                </w:p>
              </w:tc>
              <w:tc>
                <w:tcPr>
                  <w:tcW w:w="915" w:type="pct"/>
                  <w:noWrap w:val="0"/>
                  <w:vAlign w:val="center"/>
                </w:tcPr>
                <w:p w14:paraId="00826580">
                  <w:pPr>
                    <w:pStyle w:val="38"/>
                    <w:keepNext w:val="0"/>
                    <w:keepLines w:val="0"/>
                    <w:pageBreakBefore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生产设备</w:t>
                  </w:r>
                </w:p>
              </w:tc>
              <w:tc>
                <w:tcPr>
                  <w:tcW w:w="1783" w:type="pct"/>
                  <w:noWrap w:val="0"/>
                  <w:vAlign w:val="center"/>
                </w:tcPr>
                <w:p w14:paraId="5913C550">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eastAsia" w:ascii="Times New Roman" w:hAnsi="Times New Roman"/>
                      <w:color w:val="auto"/>
                      <w:sz w:val="21"/>
                      <w:szCs w:val="21"/>
                    </w:rPr>
                    <w:t>优先选用先进、低噪声设备；对高噪声设备采取减振基础、安装减振垫圈等减震措施；对各类机械设备定期检修、维护，防止设备异常噪声产生；优化平面布局，合理布置高噪声设备于远离声环境敏感点位置</w:t>
                  </w:r>
                  <w:r>
                    <w:rPr>
                      <w:rFonts w:hint="eastAsia" w:ascii="Times New Roman" w:hAnsi="Times New Roman"/>
                      <w:color w:val="auto"/>
                      <w:sz w:val="21"/>
                      <w:szCs w:val="21"/>
                      <w:lang w:eastAsia="zh-CN"/>
                    </w:rPr>
                    <w:t>，</w:t>
                  </w:r>
                  <w:r>
                    <w:rPr>
                      <w:rFonts w:hint="eastAsia" w:ascii="Times New Roman" w:hAnsi="Times New Roman"/>
                      <w:color w:val="auto"/>
                      <w:sz w:val="21"/>
                      <w:szCs w:val="21"/>
                      <w:lang w:val="en-US" w:eastAsia="zh-CN"/>
                    </w:rPr>
                    <w:t>夜间不生产</w:t>
                  </w:r>
                </w:p>
              </w:tc>
            </w:tr>
            <w:tr w14:paraId="3AD8EE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1" w:type="pct"/>
                  <w:vMerge w:val="restart"/>
                  <w:noWrap w:val="0"/>
                  <w:vAlign w:val="center"/>
                </w:tcPr>
                <w:p w14:paraId="7C5AE489">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固体废物</w:t>
                  </w:r>
                </w:p>
              </w:tc>
              <w:tc>
                <w:tcPr>
                  <w:tcW w:w="926" w:type="pct"/>
                  <w:noWrap w:val="0"/>
                  <w:vAlign w:val="center"/>
                </w:tcPr>
                <w:p w14:paraId="30D8795D">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0"/>
                      <w:sz w:val="21"/>
                      <w:szCs w:val="20"/>
                      <w:lang w:val="en-US" w:eastAsia="zh-CN" w:bidi="ar-SA"/>
                    </w:rPr>
                    <w:t>抛光残渣</w:t>
                  </w:r>
                </w:p>
              </w:tc>
              <w:tc>
                <w:tcPr>
                  <w:tcW w:w="984" w:type="pct"/>
                  <w:noWrap w:val="0"/>
                  <w:vAlign w:val="center"/>
                </w:tcPr>
                <w:p w14:paraId="3E575024">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颗粒物</w:t>
                  </w:r>
                </w:p>
              </w:tc>
              <w:tc>
                <w:tcPr>
                  <w:tcW w:w="915" w:type="pct"/>
                  <w:noWrap w:val="0"/>
                  <w:vAlign w:val="center"/>
                </w:tcPr>
                <w:p w14:paraId="5281FBD0">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0"/>
                      <w:sz w:val="21"/>
                      <w:szCs w:val="20"/>
                      <w:lang w:val="en-US" w:eastAsia="zh-CN" w:bidi="ar-SA"/>
                    </w:rPr>
                    <w:t>抛光</w:t>
                  </w:r>
                </w:p>
              </w:tc>
              <w:tc>
                <w:tcPr>
                  <w:tcW w:w="1783" w:type="pct"/>
                  <w:noWrap w:val="0"/>
                  <w:vAlign w:val="center"/>
                </w:tcPr>
                <w:p w14:paraId="42F4F496">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0"/>
                      <w:sz w:val="21"/>
                      <w:szCs w:val="20"/>
                      <w:lang w:val="en-US" w:eastAsia="zh-CN" w:bidi="ar-SA"/>
                    </w:rPr>
                    <w:t>妥善收集后外售给其他企业回收综合利用</w:t>
                  </w:r>
                </w:p>
              </w:tc>
            </w:tr>
            <w:tr w14:paraId="5AF4CC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1" w:type="pct"/>
                  <w:vMerge w:val="continue"/>
                  <w:noWrap w:val="0"/>
                  <w:vAlign w:val="center"/>
                </w:tcPr>
                <w:p w14:paraId="69B3BDB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6C0F8641">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0"/>
                      <w:sz w:val="21"/>
                      <w:szCs w:val="20"/>
                      <w:lang w:val="en-US" w:eastAsia="zh-CN" w:bidi="ar-SA"/>
                    </w:rPr>
                    <w:t>废边角料</w:t>
                  </w:r>
                </w:p>
              </w:tc>
              <w:tc>
                <w:tcPr>
                  <w:tcW w:w="984" w:type="pct"/>
                  <w:noWrap w:val="0"/>
                  <w:vAlign w:val="center"/>
                </w:tcPr>
                <w:p w14:paraId="16B8F828">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olor w:val="auto"/>
                      <w:sz w:val="21"/>
                      <w:szCs w:val="21"/>
                      <w:lang w:val="en-US" w:eastAsia="zh-CN"/>
                    </w:rPr>
                  </w:pPr>
                  <w:r>
                    <w:rPr>
                      <w:rFonts w:hint="eastAsia"/>
                      <w:color w:val="auto"/>
                      <w:sz w:val="21"/>
                      <w:szCs w:val="21"/>
                      <w:lang w:val="en-US" w:eastAsia="zh-CN"/>
                    </w:rPr>
                    <w:t>/</w:t>
                  </w:r>
                </w:p>
              </w:tc>
              <w:tc>
                <w:tcPr>
                  <w:tcW w:w="915" w:type="pct"/>
                  <w:noWrap w:val="0"/>
                  <w:vAlign w:val="center"/>
                </w:tcPr>
                <w:p w14:paraId="15F7FBC3">
                  <w:pPr>
                    <w:pStyle w:val="38"/>
                    <w:keepNext w:val="0"/>
                    <w:keepLines w:val="0"/>
                    <w:pageBreakBefore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lang w:val="en-US" w:eastAsia="zh-CN"/>
                    </w:rPr>
                    <w:t>铣磨、倒边、研磨、抛光</w:t>
                  </w:r>
                </w:p>
              </w:tc>
              <w:tc>
                <w:tcPr>
                  <w:tcW w:w="1783" w:type="pct"/>
                  <w:noWrap w:val="0"/>
                  <w:vAlign w:val="center"/>
                </w:tcPr>
                <w:p w14:paraId="067AB025">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0"/>
                      <w:lang w:val="en-US" w:eastAsia="zh-CN" w:bidi="ar-SA"/>
                    </w:rPr>
                    <w:t>妥善收集后外售给其他企业回收综合利用</w:t>
                  </w:r>
                </w:p>
              </w:tc>
            </w:tr>
            <w:tr w14:paraId="019598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1" w:type="pct"/>
                  <w:vMerge w:val="continue"/>
                  <w:noWrap w:val="0"/>
                  <w:vAlign w:val="center"/>
                </w:tcPr>
                <w:p w14:paraId="1529E58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654398B5">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0"/>
                      <w:sz w:val="21"/>
                      <w:szCs w:val="20"/>
                      <w:lang w:val="en-US" w:eastAsia="zh-CN" w:bidi="ar-SA"/>
                    </w:rPr>
                    <w:t>沉淀池污泥</w:t>
                  </w:r>
                </w:p>
              </w:tc>
              <w:tc>
                <w:tcPr>
                  <w:tcW w:w="984" w:type="pct"/>
                  <w:noWrap w:val="0"/>
                  <w:vAlign w:val="center"/>
                </w:tcPr>
                <w:p w14:paraId="3C6B3CBD">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SS</w:t>
                  </w:r>
                </w:p>
              </w:tc>
              <w:tc>
                <w:tcPr>
                  <w:tcW w:w="915" w:type="pct"/>
                  <w:noWrap w:val="0"/>
                  <w:vAlign w:val="center"/>
                </w:tcPr>
                <w:p w14:paraId="68EECAA3">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0"/>
                      <w:sz w:val="21"/>
                      <w:szCs w:val="20"/>
                      <w:lang w:val="en-US" w:eastAsia="zh-CN" w:bidi="ar-SA"/>
                    </w:rPr>
                    <w:t>沉淀</w:t>
                  </w:r>
                </w:p>
              </w:tc>
              <w:tc>
                <w:tcPr>
                  <w:tcW w:w="1783" w:type="pct"/>
                  <w:noWrap w:val="0"/>
                  <w:vAlign w:val="center"/>
                </w:tcPr>
                <w:p w14:paraId="5DA2B40D">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lang w:val="en-US" w:eastAsia="zh-CN"/>
                    </w:rPr>
                    <w:t>定期进行清掏，并由当地环卫部门统一清运处理</w:t>
                  </w:r>
                </w:p>
              </w:tc>
            </w:tr>
            <w:tr w14:paraId="56F79E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1" w:type="pct"/>
                  <w:vMerge w:val="continue"/>
                  <w:noWrap w:val="0"/>
                  <w:vAlign w:val="center"/>
                </w:tcPr>
                <w:p w14:paraId="149410D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21F1350F">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0"/>
                      <w:sz w:val="21"/>
                      <w:szCs w:val="20"/>
                      <w:lang w:val="en-US" w:eastAsia="zh-CN" w:bidi="ar-SA"/>
                    </w:rPr>
                    <w:t>不合格产品</w:t>
                  </w:r>
                </w:p>
              </w:tc>
              <w:tc>
                <w:tcPr>
                  <w:tcW w:w="984" w:type="pct"/>
                  <w:noWrap w:val="0"/>
                  <w:vAlign w:val="center"/>
                </w:tcPr>
                <w:p w14:paraId="6A48F27A">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不合格产品</w:t>
                  </w:r>
                </w:p>
              </w:tc>
              <w:tc>
                <w:tcPr>
                  <w:tcW w:w="915" w:type="pct"/>
                  <w:noWrap w:val="0"/>
                  <w:vAlign w:val="center"/>
                </w:tcPr>
                <w:p w14:paraId="4D6B2788">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0"/>
                      <w:sz w:val="21"/>
                      <w:szCs w:val="20"/>
                      <w:lang w:val="en-US" w:eastAsia="zh-CN" w:bidi="ar-SA"/>
                    </w:rPr>
                    <w:t>检测</w:t>
                  </w:r>
                </w:p>
              </w:tc>
              <w:tc>
                <w:tcPr>
                  <w:tcW w:w="1783" w:type="pct"/>
                  <w:noWrap w:val="0"/>
                  <w:vAlign w:val="center"/>
                </w:tcPr>
                <w:p w14:paraId="75EB11E1">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0"/>
                      <w:sz w:val="21"/>
                      <w:szCs w:val="20"/>
                      <w:lang w:val="en-US" w:eastAsia="zh-CN" w:bidi="ar-SA"/>
                    </w:rPr>
                    <w:t>妥善收集后外售给其他企业回收综合利用</w:t>
                  </w:r>
                </w:p>
              </w:tc>
            </w:tr>
            <w:tr w14:paraId="3B223B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1" w:type="pct"/>
                  <w:vMerge w:val="continue"/>
                  <w:noWrap w:val="0"/>
                  <w:vAlign w:val="center"/>
                </w:tcPr>
                <w:p w14:paraId="3830C1A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4076980F">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kern w:val="0"/>
                      <w:sz w:val="21"/>
                      <w:szCs w:val="20"/>
                      <w:lang w:val="en-US" w:eastAsia="zh-CN" w:bidi="ar-SA"/>
                    </w:rPr>
                    <w:t>生活</w:t>
                  </w:r>
                  <w:r>
                    <w:rPr>
                      <w:rFonts w:hint="eastAsia" w:cs="Times New Roman"/>
                      <w:color w:val="auto"/>
                      <w:kern w:val="0"/>
                      <w:sz w:val="21"/>
                      <w:szCs w:val="20"/>
                      <w:lang w:val="en-US" w:eastAsia="zh-CN" w:bidi="ar-SA"/>
                    </w:rPr>
                    <w:t>垃圾</w:t>
                  </w:r>
                </w:p>
              </w:tc>
              <w:tc>
                <w:tcPr>
                  <w:tcW w:w="984" w:type="pct"/>
                  <w:noWrap w:val="0"/>
                  <w:vAlign w:val="center"/>
                </w:tcPr>
                <w:p w14:paraId="1CF41572">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olor w:val="auto"/>
                      <w:sz w:val="21"/>
                      <w:szCs w:val="21"/>
                      <w:lang w:val="en-US" w:eastAsia="zh-CN"/>
                    </w:rPr>
                  </w:pPr>
                  <w:r>
                    <w:rPr>
                      <w:rFonts w:hint="default" w:ascii="Times New Roman" w:hAnsi="Times New Roman"/>
                      <w:color w:val="auto"/>
                      <w:sz w:val="21"/>
                      <w:szCs w:val="21"/>
                      <w:lang w:val="en-US" w:eastAsia="zh-CN"/>
                    </w:rPr>
                    <w:t>果皮、纸屑</w:t>
                  </w:r>
                </w:p>
              </w:tc>
              <w:tc>
                <w:tcPr>
                  <w:tcW w:w="915" w:type="pct"/>
                  <w:noWrap w:val="0"/>
                  <w:vAlign w:val="center"/>
                </w:tcPr>
                <w:p w14:paraId="1F7FA7C2">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员工日常生活</w:t>
                  </w:r>
                </w:p>
              </w:tc>
              <w:tc>
                <w:tcPr>
                  <w:tcW w:w="1783" w:type="pct"/>
                  <w:noWrap w:val="0"/>
                  <w:vAlign w:val="center"/>
                </w:tcPr>
                <w:p w14:paraId="1EE8E479">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0"/>
                      <w:sz w:val="21"/>
                      <w:szCs w:val="20"/>
                      <w:lang w:val="en-US" w:eastAsia="zh-CN" w:bidi="ar-SA"/>
                    </w:rPr>
                    <w:t>委托环卫部门统一清运</w:t>
                  </w:r>
                </w:p>
              </w:tc>
            </w:tr>
            <w:tr w14:paraId="24053F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1" w:type="pct"/>
                  <w:vMerge w:val="continue"/>
                  <w:noWrap w:val="0"/>
                  <w:vAlign w:val="center"/>
                </w:tcPr>
                <w:p w14:paraId="18151CE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04E50AE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0"/>
                      <w:sz w:val="21"/>
                      <w:szCs w:val="20"/>
                      <w:lang w:val="en-US" w:eastAsia="zh-CN" w:bidi="ar-SA"/>
                    </w:rPr>
                    <w:t>废活性炭</w:t>
                  </w:r>
                </w:p>
              </w:tc>
              <w:tc>
                <w:tcPr>
                  <w:tcW w:w="984" w:type="pct"/>
                  <w:noWrap w:val="0"/>
                  <w:vAlign w:val="center"/>
                </w:tcPr>
                <w:p w14:paraId="1934CE9B">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非甲烷总烃</w:t>
                  </w:r>
                </w:p>
              </w:tc>
              <w:tc>
                <w:tcPr>
                  <w:tcW w:w="915" w:type="pct"/>
                  <w:noWrap w:val="0"/>
                  <w:vAlign w:val="center"/>
                </w:tcPr>
                <w:p w14:paraId="5500695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0"/>
                      <w:sz w:val="21"/>
                      <w:szCs w:val="20"/>
                      <w:lang w:val="en-US" w:eastAsia="zh-CN" w:bidi="ar-SA"/>
                    </w:rPr>
                    <w:t>废气治理</w:t>
                  </w:r>
                </w:p>
              </w:tc>
              <w:tc>
                <w:tcPr>
                  <w:tcW w:w="1783" w:type="pct"/>
                  <w:vMerge w:val="restart"/>
                  <w:noWrap w:val="0"/>
                  <w:vAlign w:val="center"/>
                </w:tcPr>
                <w:p w14:paraId="3F62859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0"/>
                      <w:sz w:val="21"/>
                      <w:szCs w:val="20"/>
                      <w:lang w:val="en-US" w:eastAsia="zh-CN" w:bidi="ar-SA"/>
                    </w:rPr>
                    <w:t>收集后暂存至厂区的</w:t>
                  </w:r>
                  <w:r>
                    <w:rPr>
                      <w:rFonts w:hint="eastAsia" w:cs="Times New Roman"/>
                      <w:color w:val="auto"/>
                      <w:kern w:val="0"/>
                      <w:sz w:val="21"/>
                      <w:szCs w:val="20"/>
                      <w:lang w:val="en-US" w:eastAsia="zh-CN" w:bidi="ar-SA"/>
                    </w:rPr>
                    <w:t>危险废物</w:t>
                  </w:r>
                  <w:r>
                    <w:rPr>
                      <w:rFonts w:hint="eastAsia" w:ascii="Times New Roman" w:hAnsi="Times New Roman" w:eastAsia="宋体" w:cs="Times New Roman"/>
                      <w:color w:val="auto"/>
                      <w:kern w:val="0"/>
                      <w:sz w:val="21"/>
                      <w:szCs w:val="20"/>
                      <w:lang w:val="en-US" w:eastAsia="zh-CN" w:bidi="ar-SA"/>
                    </w:rPr>
                    <w:t>贮存库中，定期委托有</w:t>
                  </w:r>
                  <w:r>
                    <w:rPr>
                      <w:rFonts w:hint="eastAsia" w:cs="Times New Roman"/>
                      <w:color w:val="auto"/>
                      <w:kern w:val="0"/>
                      <w:sz w:val="21"/>
                      <w:szCs w:val="20"/>
                      <w:lang w:val="en-US" w:eastAsia="zh-CN" w:bidi="ar-SA"/>
                    </w:rPr>
                    <w:t>危险废物</w:t>
                  </w:r>
                  <w:r>
                    <w:rPr>
                      <w:rFonts w:hint="eastAsia" w:ascii="Times New Roman" w:hAnsi="Times New Roman" w:eastAsia="宋体" w:cs="Times New Roman"/>
                      <w:color w:val="auto"/>
                      <w:kern w:val="0"/>
                      <w:sz w:val="21"/>
                      <w:szCs w:val="20"/>
                      <w:lang w:val="en-US" w:eastAsia="zh-CN" w:bidi="ar-SA"/>
                    </w:rPr>
                    <w:t>处置资质单位进行处理</w:t>
                  </w:r>
                </w:p>
              </w:tc>
            </w:tr>
            <w:tr w14:paraId="5899A3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1" w:type="pct"/>
                  <w:vMerge w:val="continue"/>
                  <w:noWrap w:val="0"/>
                  <w:vAlign w:val="center"/>
                </w:tcPr>
                <w:p w14:paraId="4D369D7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1FFC5EC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0"/>
                      <w:sz w:val="21"/>
                      <w:szCs w:val="20"/>
                      <w:lang w:val="en-US" w:eastAsia="zh-CN" w:bidi="ar-SA"/>
                    </w:rPr>
                    <w:t>废布和废擦拭纸</w:t>
                  </w:r>
                </w:p>
              </w:tc>
              <w:tc>
                <w:tcPr>
                  <w:tcW w:w="984" w:type="pct"/>
                  <w:noWrap w:val="0"/>
                  <w:vAlign w:val="center"/>
                </w:tcPr>
                <w:p w14:paraId="7301E674">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非甲烷总烃、各类有机溶剂（醇、醚、烃类）</w:t>
                  </w:r>
                </w:p>
              </w:tc>
              <w:tc>
                <w:tcPr>
                  <w:tcW w:w="915" w:type="pct"/>
                  <w:noWrap w:val="0"/>
                  <w:vAlign w:val="center"/>
                </w:tcPr>
                <w:p w14:paraId="639127F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0"/>
                      <w:sz w:val="21"/>
                      <w:szCs w:val="20"/>
                      <w:lang w:val="en-US" w:eastAsia="zh-CN" w:bidi="ar-SA"/>
                    </w:rPr>
                    <w:t>擦拭检测</w:t>
                  </w:r>
                </w:p>
              </w:tc>
              <w:tc>
                <w:tcPr>
                  <w:tcW w:w="1783" w:type="pct"/>
                  <w:vMerge w:val="continue"/>
                  <w:noWrap w:val="0"/>
                  <w:vAlign w:val="center"/>
                </w:tcPr>
                <w:p w14:paraId="6F1AD0E6">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2"/>
                      <w:sz w:val="21"/>
                      <w:szCs w:val="21"/>
                      <w:highlight w:val="none"/>
                      <w:lang w:val="en-US" w:eastAsia="zh-CN" w:bidi="ar-SA"/>
                    </w:rPr>
                  </w:pPr>
                </w:p>
              </w:tc>
            </w:tr>
            <w:tr w14:paraId="648F99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1" w:type="pct"/>
                  <w:vMerge w:val="continue"/>
                  <w:noWrap w:val="0"/>
                  <w:vAlign w:val="center"/>
                </w:tcPr>
                <w:p w14:paraId="6645475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5F673D5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0"/>
                      <w:sz w:val="21"/>
                      <w:szCs w:val="20"/>
                      <w:lang w:val="en-US" w:eastAsia="zh-CN" w:bidi="ar-SA"/>
                    </w:rPr>
                    <w:t>废包装容器</w:t>
                  </w:r>
                </w:p>
              </w:tc>
              <w:tc>
                <w:tcPr>
                  <w:tcW w:w="984" w:type="pct"/>
                  <w:noWrap w:val="0"/>
                  <w:vAlign w:val="center"/>
                </w:tcPr>
                <w:p w14:paraId="00E62215">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有机溶剂、助剂</w:t>
                  </w:r>
                </w:p>
              </w:tc>
              <w:tc>
                <w:tcPr>
                  <w:tcW w:w="915" w:type="pct"/>
                  <w:noWrap w:val="0"/>
                  <w:vAlign w:val="center"/>
                </w:tcPr>
                <w:p w14:paraId="0D24314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0"/>
                      <w:sz w:val="21"/>
                      <w:szCs w:val="20"/>
                      <w:lang w:val="en-US" w:eastAsia="zh-CN" w:bidi="ar-SA"/>
                    </w:rPr>
                    <w:t>/</w:t>
                  </w:r>
                </w:p>
              </w:tc>
              <w:tc>
                <w:tcPr>
                  <w:tcW w:w="1783" w:type="pct"/>
                  <w:vMerge w:val="continue"/>
                  <w:noWrap w:val="0"/>
                  <w:vAlign w:val="center"/>
                </w:tcPr>
                <w:p w14:paraId="50DE4066">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p>
              </w:tc>
            </w:tr>
            <w:tr w14:paraId="1BDAC0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1" w:type="pct"/>
                  <w:vMerge w:val="continue"/>
                  <w:noWrap w:val="0"/>
                  <w:vAlign w:val="center"/>
                </w:tcPr>
                <w:p w14:paraId="3D6D709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3C25803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0"/>
                      <w:sz w:val="21"/>
                      <w:szCs w:val="20"/>
                      <w:lang w:val="en-US" w:eastAsia="zh-CN" w:bidi="ar-SA"/>
                    </w:rPr>
                    <w:t>废切削液</w:t>
                  </w:r>
                  <w:r>
                    <w:rPr>
                      <w:rFonts w:hint="eastAsia" w:cs="Times New Roman"/>
                      <w:color w:val="auto"/>
                      <w:kern w:val="0"/>
                      <w:sz w:val="21"/>
                      <w:szCs w:val="20"/>
                      <w:lang w:val="en-US" w:eastAsia="zh-CN" w:bidi="ar-SA"/>
                    </w:rPr>
                    <w:t>及污泥</w:t>
                  </w:r>
                </w:p>
              </w:tc>
              <w:tc>
                <w:tcPr>
                  <w:tcW w:w="984" w:type="pct"/>
                  <w:noWrap w:val="0"/>
                  <w:vAlign w:val="center"/>
                </w:tcPr>
                <w:p w14:paraId="3AFD7216">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切削液</w:t>
                  </w:r>
                </w:p>
              </w:tc>
              <w:tc>
                <w:tcPr>
                  <w:tcW w:w="915" w:type="pct"/>
                  <w:noWrap w:val="0"/>
                  <w:vAlign w:val="center"/>
                </w:tcPr>
                <w:p w14:paraId="744FD9D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rPr>
                  </w:pPr>
                  <w:r>
                    <w:rPr>
                      <w:rFonts w:hint="eastAsia" w:cs="Times New Roman"/>
                      <w:color w:val="auto"/>
                      <w:kern w:val="0"/>
                      <w:sz w:val="21"/>
                      <w:szCs w:val="20"/>
                      <w:highlight w:val="none"/>
                      <w:lang w:val="en-US" w:eastAsia="zh-CN" w:bidi="ar-SA"/>
                    </w:rPr>
                    <w:t>铣磨、研磨</w:t>
                  </w:r>
                </w:p>
              </w:tc>
              <w:tc>
                <w:tcPr>
                  <w:tcW w:w="1783" w:type="pct"/>
                  <w:vMerge w:val="continue"/>
                  <w:noWrap w:val="0"/>
                  <w:vAlign w:val="center"/>
                </w:tcPr>
                <w:p w14:paraId="737BABAA">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p>
              </w:tc>
            </w:tr>
            <w:tr w14:paraId="2E6411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1" w:type="pct"/>
                  <w:vMerge w:val="continue"/>
                  <w:noWrap w:val="0"/>
                  <w:vAlign w:val="center"/>
                </w:tcPr>
                <w:p w14:paraId="2F82D00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5966762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rPr>
                  </w:pPr>
                  <w:r>
                    <w:rPr>
                      <w:rFonts w:hint="eastAsia" w:cs="Times New Roman"/>
                      <w:color w:val="auto"/>
                      <w:kern w:val="0"/>
                      <w:sz w:val="21"/>
                      <w:szCs w:val="20"/>
                      <w:highlight w:val="none"/>
                      <w:lang w:val="en-US" w:eastAsia="zh-CN" w:bidi="ar-SA"/>
                    </w:rPr>
                    <w:t>废除油剂</w:t>
                  </w:r>
                </w:p>
              </w:tc>
              <w:tc>
                <w:tcPr>
                  <w:tcW w:w="984" w:type="pct"/>
                  <w:noWrap w:val="0"/>
                  <w:vAlign w:val="center"/>
                </w:tcPr>
                <w:p w14:paraId="69B801A5">
                  <w:pPr>
                    <w:pStyle w:val="38"/>
                    <w:keepNext w:val="0"/>
                    <w:keepLines w:val="0"/>
                    <w:pageBreakBefore w:val="0"/>
                    <w:kinsoku/>
                    <w:wordWrap/>
                    <w:overflowPunct/>
                    <w:topLinePunct w:val="0"/>
                    <w:autoSpaceDE/>
                    <w:autoSpaceDN/>
                    <w:bidi w:val="0"/>
                    <w:adjustRightInd/>
                    <w:snapToGrid/>
                    <w:spacing w:line="240" w:lineRule="auto"/>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除油剂</w:t>
                  </w:r>
                </w:p>
              </w:tc>
              <w:tc>
                <w:tcPr>
                  <w:tcW w:w="915" w:type="pct"/>
                  <w:noWrap w:val="0"/>
                  <w:vAlign w:val="center"/>
                </w:tcPr>
                <w:p w14:paraId="4B16AA1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rPr>
                  </w:pPr>
                  <w:r>
                    <w:rPr>
                      <w:rFonts w:hint="eastAsia" w:cs="Times New Roman"/>
                      <w:color w:val="auto"/>
                      <w:kern w:val="0"/>
                      <w:sz w:val="21"/>
                      <w:szCs w:val="20"/>
                      <w:highlight w:val="none"/>
                      <w:lang w:val="en-US" w:eastAsia="zh-CN" w:bidi="ar-SA"/>
                    </w:rPr>
                    <w:t>超声波清洗</w:t>
                  </w:r>
                </w:p>
              </w:tc>
              <w:tc>
                <w:tcPr>
                  <w:tcW w:w="1783" w:type="pct"/>
                  <w:vMerge w:val="continue"/>
                  <w:noWrap w:val="0"/>
                  <w:vAlign w:val="center"/>
                </w:tcPr>
                <w:p w14:paraId="4D91A4E9">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p>
              </w:tc>
            </w:tr>
            <w:tr w14:paraId="675A8F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1" w:type="pct"/>
                  <w:vMerge w:val="continue"/>
                  <w:noWrap w:val="0"/>
                  <w:vAlign w:val="center"/>
                </w:tcPr>
                <w:p w14:paraId="2F49E80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27CC040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rPr>
                  </w:pPr>
                  <w:r>
                    <w:rPr>
                      <w:rFonts w:hint="eastAsia" w:cs="Times New Roman"/>
                      <w:color w:val="auto"/>
                      <w:kern w:val="0"/>
                      <w:sz w:val="21"/>
                      <w:szCs w:val="20"/>
                      <w:highlight w:val="none"/>
                      <w:lang w:val="en-US" w:eastAsia="zh-CN" w:bidi="ar-SA"/>
                    </w:rPr>
                    <w:t>炉渣</w:t>
                  </w:r>
                </w:p>
              </w:tc>
              <w:tc>
                <w:tcPr>
                  <w:tcW w:w="984" w:type="pct"/>
                  <w:noWrap w:val="0"/>
                  <w:vAlign w:val="center"/>
                </w:tcPr>
                <w:p w14:paraId="394C0FD0">
                  <w:pPr>
                    <w:pStyle w:val="38"/>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olor w:val="auto"/>
                      <w:sz w:val="21"/>
                      <w:szCs w:val="21"/>
                      <w:lang w:val="en-US" w:eastAsia="zh-CN"/>
                    </w:rPr>
                  </w:pPr>
                  <w:r>
                    <w:rPr>
                      <w:rFonts w:hint="eastAsia"/>
                      <w:color w:val="auto"/>
                      <w:sz w:val="21"/>
                      <w:szCs w:val="21"/>
                    </w:rPr>
                    <w:t>熔固态炉渣及未结晶的残渣</w:t>
                  </w:r>
                </w:p>
              </w:tc>
              <w:tc>
                <w:tcPr>
                  <w:tcW w:w="915" w:type="pct"/>
                  <w:noWrap w:val="0"/>
                  <w:vAlign w:val="center"/>
                </w:tcPr>
                <w:p w14:paraId="518DF59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rPr>
                  </w:pPr>
                  <w:r>
                    <w:rPr>
                      <w:rFonts w:hint="eastAsia" w:cs="Times New Roman"/>
                      <w:color w:val="auto"/>
                      <w:kern w:val="0"/>
                      <w:sz w:val="21"/>
                      <w:szCs w:val="20"/>
                      <w:highlight w:val="none"/>
                      <w:lang w:val="en-US" w:eastAsia="zh-CN" w:bidi="ar-SA"/>
                    </w:rPr>
                    <w:t>晶体生长</w:t>
                  </w:r>
                </w:p>
              </w:tc>
              <w:tc>
                <w:tcPr>
                  <w:tcW w:w="1783" w:type="pct"/>
                  <w:vMerge w:val="continue"/>
                  <w:noWrap w:val="0"/>
                  <w:vAlign w:val="center"/>
                </w:tcPr>
                <w:p w14:paraId="35C9A35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rPr>
                  </w:pPr>
                </w:p>
              </w:tc>
            </w:tr>
            <w:tr w14:paraId="53ABE3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1" w:type="pct"/>
                  <w:vMerge w:val="continue"/>
                  <w:noWrap w:val="0"/>
                  <w:vAlign w:val="center"/>
                </w:tcPr>
                <w:p w14:paraId="7D7AABA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407F2910">
                  <w:pPr>
                    <w:widowControl w:val="0"/>
                    <w:bidi w:val="0"/>
                    <w:adjustRightInd w:val="0"/>
                    <w:snapToGrid w:val="0"/>
                    <w:spacing w:before="10" w:beforeLines="10" w:after="10" w:afterLines="10" w:line="240" w:lineRule="auto"/>
                    <w:jc w:val="center"/>
                    <w:rPr>
                      <w:rFonts w:hint="default"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废机油</w:t>
                  </w:r>
                </w:p>
              </w:tc>
              <w:tc>
                <w:tcPr>
                  <w:tcW w:w="984" w:type="pct"/>
                  <w:noWrap w:val="0"/>
                  <w:vAlign w:val="center"/>
                </w:tcPr>
                <w:p w14:paraId="6CED4CD4">
                  <w:pPr>
                    <w:pStyle w:val="38"/>
                    <w:keepNext w:val="0"/>
                    <w:keepLines w:val="0"/>
                    <w:pageBreakBefore w:val="0"/>
                    <w:kinsoku/>
                    <w:wordWrap/>
                    <w:overflowPunct/>
                    <w:topLinePunct w:val="0"/>
                    <w:autoSpaceDE/>
                    <w:autoSpaceDN/>
                    <w:bidi w:val="0"/>
                    <w:adjustRightInd/>
                    <w:snapToGrid/>
                    <w:spacing w:line="240" w:lineRule="auto"/>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矿物油</w:t>
                  </w:r>
                </w:p>
              </w:tc>
              <w:tc>
                <w:tcPr>
                  <w:tcW w:w="915" w:type="pct"/>
                  <w:noWrap w:val="0"/>
                  <w:vAlign w:val="center"/>
                </w:tcPr>
                <w:p w14:paraId="710A228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设备检修</w:t>
                  </w:r>
                </w:p>
              </w:tc>
              <w:tc>
                <w:tcPr>
                  <w:tcW w:w="1783" w:type="pct"/>
                  <w:noWrap w:val="0"/>
                  <w:vAlign w:val="center"/>
                </w:tcPr>
                <w:p w14:paraId="28AC7208">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由设备厂商进行委托有危废处置资质的单位进行处置</w:t>
                  </w:r>
                </w:p>
              </w:tc>
            </w:tr>
            <w:bookmarkEnd w:id="33"/>
          </w:tbl>
          <w:p w14:paraId="1B613FA3">
            <w:pPr>
              <w:pStyle w:val="25"/>
              <w:bidi w:val="0"/>
              <w:ind w:left="0" w:leftChars="0" w:firstLine="0" w:firstLineChars="0"/>
              <w:rPr>
                <w:rFonts w:hint="default" w:ascii="Times New Roman" w:hAnsi="Times New Roman" w:eastAsia="宋体" w:cs="宋体"/>
                <w:color w:val="auto"/>
                <w:kern w:val="2"/>
                <w:sz w:val="24"/>
                <w:szCs w:val="24"/>
                <w:lang w:val="en-US" w:eastAsia="zh-CN" w:bidi="ar-SA"/>
              </w:rPr>
            </w:pPr>
          </w:p>
        </w:tc>
      </w:tr>
      <w:tr w14:paraId="3F7CA3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75" w:hRule="atLeast"/>
          <w:jc w:val="center"/>
        </w:trPr>
        <w:tc>
          <w:tcPr>
            <w:tcW w:w="823" w:type="dxa"/>
            <w:noWrap w:val="0"/>
            <w:vAlign w:val="center"/>
          </w:tcPr>
          <w:p w14:paraId="1CED9834">
            <w:pPr>
              <w:adjustRightInd w:val="0"/>
              <w:snapToGrid w:val="0"/>
              <w:spacing w:before="0" w:beforeAutospacing="0" w:after="0" w:afterAutospacing="0"/>
              <w:jc w:val="center"/>
              <w:rPr>
                <w:rFonts w:cs="宋体"/>
                <w:color w:val="auto"/>
                <w:sz w:val="21"/>
                <w:szCs w:val="21"/>
              </w:rPr>
            </w:pPr>
            <w:r>
              <w:rPr>
                <w:rFonts w:hint="eastAsia" w:cs="宋体"/>
                <w:bCs/>
                <w:color w:val="auto"/>
                <w:kern w:val="2"/>
                <w:sz w:val="21"/>
                <w:szCs w:val="21"/>
              </w:rPr>
              <w:t>与项目有关的原有环境污染问题</w:t>
            </w:r>
          </w:p>
        </w:tc>
        <w:tc>
          <w:tcPr>
            <w:tcW w:w="8161" w:type="dxa"/>
            <w:noWrap w:val="0"/>
            <w:vAlign w:val="top"/>
          </w:tcPr>
          <w:p w14:paraId="5576AE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Times New Roman" w:cs="Times New Roman"/>
                <w:b/>
                <w:bCs/>
                <w:color w:val="auto"/>
                <w:spacing w:val="-2"/>
                <w:sz w:val="28"/>
                <w:szCs w:val="28"/>
                <w:lang w:val="en-US" w:eastAsia="zh-CN" w:bidi="ar-SA"/>
              </w:rPr>
            </w:pPr>
            <w:r>
              <w:rPr>
                <w:rFonts w:hint="eastAsia" w:ascii="Times New Roman" w:hAnsi="Times New Roman" w:eastAsia="Times New Roman" w:cs="Times New Roman"/>
                <w:b/>
                <w:bCs/>
                <w:color w:val="auto"/>
                <w:spacing w:val="-2"/>
                <w:sz w:val="28"/>
                <w:szCs w:val="28"/>
                <w:lang w:val="en-US" w:eastAsia="zh-CN" w:bidi="ar-SA"/>
              </w:rPr>
              <w:t>2.3原有环境污染问题</w:t>
            </w:r>
          </w:p>
          <w:p w14:paraId="6D2230A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宋体"/>
                <w:color w:val="auto"/>
                <w:sz w:val="24"/>
                <w:szCs w:val="24"/>
                <w:lang w:val="en-US" w:eastAsia="zh-CN" w:bidi="ar-SA"/>
              </w:rPr>
            </w:pPr>
            <w:r>
              <w:rPr>
                <w:rFonts w:hint="eastAsia" w:ascii="宋体" w:hAnsi="宋体" w:eastAsia="宋体" w:cs="宋体"/>
                <w:color w:val="auto"/>
                <w:sz w:val="24"/>
                <w:szCs w:val="24"/>
                <w:lang w:val="en-US" w:eastAsia="zh-CN"/>
              </w:rPr>
              <w:t>原福州新南建设开发有限公司</w:t>
            </w:r>
            <w:r>
              <w:rPr>
                <w:rFonts w:ascii="宋体" w:hAnsi="宋体" w:eastAsia="宋体" w:cs="宋体"/>
                <w:color w:val="auto"/>
                <w:sz w:val="24"/>
                <w:szCs w:val="24"/>
              </w:rPr>
              <w:t>无生产设备、无生产线</w:t>
            </w:r>
            <w:r>
              <w:rPr>
                <w:rFonts w:hint="eastAsia" w:ascii="宋体" w:hAnsi="宋体" w:eastAsia="宋体" w:cs="宋体"/>
                <w:color w:val="auto"/>
                <w:sz w:val="24"/>
                <w:szCs w:val="24"/>
                <w:lang w:eastAsia="zh-CN"/>
              </w:rPr>
              <w:t>，</w:t>
            </w:r>
            <w:r>
              <w:rPr>
                <w:rFonts w:ascii="宋体" w:hAnsi="宋体" w:eastAsia="宋体" w:cs="宋体"/>
                <w:color w:val="auto"/>
                <w:sz w:val="24"/>
                <w:szCs w:val="24"/>
              </w:rPr>
              <w:t>不从事生产、仅出租厂房</w:t>
            </w:r>
            <w:r>
              <w:rPr>
                <w:rFonts w:hint="eastAsia" w:ascii="宋体" w:hAnsi="宋体" w:eastAsia="宋体" w:cs="宋体"/>
                <w:color w:val="auto"/>
                <w:sz w:val="24"/>
                <w:szCs w:val="24"/>
                <w:lang w:eastAsia="zh-CN"/>
              </w:rPr>
              <w:t>，</w:t>
            </w:r>
            <w:r>
              <w:rPr>
                <w:rFonts w:ascii="宋体" w:hAnsi="宋体" w:eastAsia="宋体" w:cs="宋体"/>
                <w:color w:val="auto"/>
                <w:sz w:val="24"/>
                <w:szCs w:val="24"/>
              </w:rPr>
              <w:t>无生产、无废水/废气/噪声/固废产生</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本项目经营位置为闲置空厂房，</w:t>
            </w:r>
            <w:r>
              <w:rPr>
                <w:rFonts w:hint="eastAsia" w:ascii="Times New Roman" w:hAnsi="Times New Roman" w:eastAsia="宋体" w:cs="宋体"/>
                <w:color w:val="auto"/>
                <w:sz w:val="24"/>
                <w:szCs w:val="24"/>
                <w:lang w:val="en-US" w:eastAsia="zh-CN" w:bidi="ar-SA"/>
              </w:rPr>
              <w:t>不存在原有项目的环境污染问题。</w:t>
            </w:r>
          </w:p>
          <w:p w14:paraId="78FC40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Times New Roman" w:cs="Times New Roman"/>
                <w:b/>
                <w:bCs/>
                <w:color w:val="auto"/>
                <w:spacing w:val="-2"/>
                <w:sz w:val="28"/>
                <w:szCs w:val="28"/>
                <w:lang w:val="en-US" w:eastAsia="zh-CN" w:bidi="ar-SA"/>
              </w:rPr>
            </w:pPr>
            <w:r>
              <w:rPr>
                <w:rFonts w:hint="eastAsia" w:ascii="Times New Roman" w:hAnsi="Times New Roman" w:eastAsia="Times New Roman" w:cs="Times New Roman"/>
                <w:b/>
                <w:bCs/>
                <w:color w:val="auto"/>
                <w:spacing w:val="-2"/>
                <w:sz w:val="28"/>
                <w:szCs w:val="28"/>
                <w:lang w:val="en-US" w:eastAsia="zh-CN" w:bidi="ar-SA"/>
              </w:rPr>
              <w:t>2.4现有环境污染问题</w:t>
            </w:r>
          </w:p>
          <w:p w14:paraId="773BF750">
            <w:pPr>
              <w:pStyle w:val="25"/>
              <w:bidi w:val="0"/>
              <w:ind w:left="0" w:leftChars="0" w:firstLine="0" w:firstLineChars="0"/>
              <w:rPr>
                <w:rFonts w:hint="default"/>
                <w:color w:val="auto"/>
                <w:lang w:val="en-US" w:eastAsia="zh-CN"/>
              </w:rPr>
            </w:pPr>
            <w:r>
              <w:rPr>
                <w:rFonts w:hint="eastAsia" w:ascii="Times New Roman" w:hAnsi="Times New Roman" w:eastAsia="宋体" w:cs="宋体"/>
                <w:color w:val="auto"/>
                <w:sz w:val="24"/>
                <w:szCs w:val="24"/>
                <w:lang w:val="en-US" w:eastAsia="zh-CN" w:bidi="ar-SA"/>
              </w:rPr>
              <w:t>本项目为新建项目，不存在现有项目的环境污染问题。</w:t>
            </w:r>
          </w:p>
        </w:tc>
      </w:tr>
    </w:tbl>
    <w:p w14:paraId="5B6BD716">
      <w:pPr>
        <w:adjustRightInd w:val="0"/>
        <w:snapToGrid w:val="0"/>
        <w:spacing w:before="0" w:beforeAutospacing="0" w:after="0" w:afterAutospacing="0" w:line="14" w:lineRule="auto"/>
        <w:jc w:val="center"/>
        <w:outlineLvl w:val="9"/>
        <w:rPr>
          <w:rFonts w:hint="eastAsia" w:ascii="黑体" w:hAnsi="黑体" w:eastAsia="黑体"/>
          <w:snapToGrid w:val="0"/>
          <w:color w:val="auto"/>
          <w:sz w:val="30"/>
          <w:szCs w:val="30"/>
        </w:rPr>
      </w:pPr>
    </w:p>
    <w:p w14:paraId="70EBD464">
      <w:pPr>
        <w:pStyle w:val="5"/>
        <w:bidi w:val="0"/>
        <w:rPr>
          <w:rFonts w:hint="eastAsia"/>
          <w:color w:val="auto"/>
        </w:rPr>
        <w:sectPr>
          <w:footerReference r:id="rId8"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23EFDAF6">
      <w:pPr>
        <w:pStyle w:val="5"/>
        <w:bidi w:val="0"/>
        <w:rPr>
          <w:color w:val="auto"/>
        </w:rPr>
      </w:pPr>
      <w:r>
        <w:rPr>
          <w:rFonts w:hint="eastAsia"/>
          <w:color w:val="auto"/>
        </w:rPr>
        <w:t>三、区域环境质量现状、环境保护目标及评价标准</w:t>
      </w: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4"/>
        <w:gridCol w:w="8636"/>
      </w:tblGrid>
      <w:tr w14:paraId="588AB9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06" w:hRule="atLeast"/>
          <w:jc w:val="center"/>
        </w:trPr>
        <w:tc>
          <w:tcPr>
            <w:tcW w:w="800" w:type="dxa"/>
            <w:noWrap w:val="0"/>
            <w:vAlign w:val="center"/>
          </w:tcPr>
          <w:p w14:paraId="0910207C">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区域</w:t>
            </w:r>
          </w:p>
          <w:p w14:paraId="57212C1E">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环境</w:t>
            </w:r>
          </w:p>
          <w:p w14:paraId="5157238E">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质量</w:t>
            </w:r>
          </w:p>
          <w:p w14:paraId="07869309">
            <w:pPr>
              <w:adjustRightInd w:val="0"/>
              <w:snapToGrid w:val="0"/>
              <w:jc w:val="center"/>
              <w:rPr>
                <w:rFonts w:ascii="宋体" w:hAnsi="宋体" w:cs="宋体"/>
                <w:color w:val="auto"/>
                <w:kern w:val="0"/>
                <w:szCs w:val="21"/>
              </w:rPr>
            </w:pPr>
            <w:r>
              <w:rPr>
                <w:rFonts w:hint="eastAsia" w:ascii="宋体" w:hAnsi="宋体" w:cs="宋体"/>
                <w:color w:val="auto"/>
                <w:kern w:val="0"/>
                <w:szCs w:val="21"/>
              </w:rPr>
              <w:t>现状</w:t>
            </w:r>
          </w:p>
        </w:tc>
        <w:tc>
          <w:tcPr>
            <w:tcW w:w="8190" w:type="dxa"/>
            <w:noWrap w:val="0"/>
            <w:vAlign w:val="center"/>
          </w:tcPr>
          <w:p w14:paraId="6B1165C9">
            <w:pPr>
              <w:keepNext/>
              <w:keepLines/>
              <w:widowControl w:val="0"/>
              <w:bidi w:val="0"/>
              <w:spacing w:beforeLines="0" w:beforeAutospacing="0" w:afterLines="0" w:afterAutospacing="0" w:line="360" w:lineRule="auto"/>
              <w:jc w:val="left"/>
              <w:outlineLvl w:val="1"/>
              <w:rPr>
                <w:rFonts w:hint="eastAsia" w:ascii="Times New Roman" w:hAnsi="Times New Roman" w:eastAsia="宋体" w:cs="Times New Roman"/>
                <w:b/>
                <w:color w:val="auto"/>
                <w:kern w:val="2"/>
                <w:sz w:val="28"/>
                <w:szCs w:val="24"/>
                <w:lang w:val="en-US" w:eastAsia="zh-CN" w:bidi="ar-SA"/>
              </w:rPr>
            </w:pPr>
            <w:bookmarkStart w:id="34" w:name="_Toc21918"/>
            <w:r>
              <w:rPr>
                <w:rFonts w:hint="eastAsia" w:ascii="Times New Roman" w:hAnsi="Times New Roman" w:eastAsia="宋体" w:cs="Times New Roman"/>
                <w:b/>
                <w:color w:val="auto"/>
                <w:kern w:val="2"/>
                <w:sz w:val="28"/>
                <w:szCs w:val="24"/>
                <w:lang w:val="en-US" w:eastAsia="zh-CN" w:bidi="ar-SA"/>
              </w:rPr>
              <w:t>3.1大气环境质量现状</w:t>
            </w:r>
            <w:bookmarkEnd w:id="34"/>
          </w:p>
          <w:p w14:paraId="6B725477">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35" w:name="_Toc24439"/>
            <w:r>
              <w:rPr>
                <w:rFonts w:hint="eastAsia" w:ascii="Times New Roman" w:hAnsi="Times New Roman" w:eastAsia="宋体" w:cs="Times New Roman"/>
                <w:b/>
                <w:color w:val="auto"/>
                <w:kern w:val="2"/>
                <w:sz w:val="24"/>
                <w:szCs w:val="24"/>
                <w:lang w:val="en-US" w:eastAsia="zh-CN" w:bidi="ar-SA"/>
              </w:rPr>
              <w:t>3.1.1环境空气质量功能区划</w:t>
            </w:r>
            <w:bookmarkEnd w:id="35"/>
          </w:p>
          <w:p w14:paraId="120FBF4A">
            <w:pPr>
              <w:spacing w:line="360" w:lineRule="auto"/>
              <w:ind w:firstLine="480" w:firstLineChars="200"/>
              <w:rPr>
                <w:rFonts w:ascii="Times New Roman" w:hAnsi="Times New Roman" w:eastAsia="宋体"/>
                <w:color w:val="auto"/>
                <w:sz w:val="24"/>
              </w:rPr>
            </w:pPr>
            <w:r>
              <w:rPr>
                <w:rFonts w:ascii="Times New Roman" w:hAnsi="Times New Roman" w:eastAsia="宋体"/>
                <w:color w:val="auto"/>
                <w:sz w:val="24"/>
              </w:rPr>
              <w:t>本项目区域环境空气功能区划为二类区，大气环境质量执行《环境空气质量标准》（GB 3095—2026）表1中环境空气污染物基本项目浓度限值的二级过渡阶段限值，过渡期为2026年3月1日—2030年12月31日；自2031年1月1日起执行</w:t>
            </w:r>
            <w:r>
              <w:rPr>
                <w:rFonts w:hint="eastAsia" w:ascii="Times New Roman" w:hAnsi="Times New Roman" w:eastAsia="宋体"/>
                <w:color w:val="auto"/>
                <w:sz w:val="24"/>
              </w:rPr>
              <w:t>（</w:t>
            </w:r>
            <w:r>
              <w:rPr>
                <w:rFonts w:ascii="Times New Roman" w:hAnsi="Times New Roman" w:eastAsia="宋体"/>
                <w:color w:val="auto"/>
                <w:sz w:val="24"/>
              </w:rPr>
              <w:t>GB 3095—2026</w:t>
            </w:r>
            <w:r>
              <w:rPr>
                <w:rFonts w:hint="eastAsia" w:ascii="Times New Roman" w:hAnsi="Times New Roman" w:eastAsia="宋体"/>
                <w:color w:val="auto"/>
                <w:sz w:val="24"/>
              </w:rPr>
              <w:t>）</w:t>
            </w:r>
            <w:r>
              <w:rPr>
                <w:rFonts w:ascii="Times New Roman" w:hAnsi="Times New Roman" w:eastAsia="宋体"/>
                <w:color w:val="auto"/>
                <w:sz w:val="24"/>
              </w:rPr>
              <w:t>二级最终浓度</w:t>
            </w:r>
            <w:r>
              <w:rPr>
                <w:rFonts w:ascii="Times New Roman" w:hAnsi="Times New Roman" w:eastAsia="宋体" w:cs="Times New Roman"/>
                <w:color w:val="auto"/>
                <w:sz w:val="24"/>
              </w:rPr>
              <w:t>限值</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TSP执行</w:t>
            </w:r>
            <w:r>
              <w:rPr>
                <w:rFonts w:ascii="Times New Roman" w:hAnsi="Times New Roman" w:eastAsia="宋体"/>
                <w:color w:val="auto"/>
                <w:sz w:val="24"/>
              </w:rPr>
              <w:t>《环境空气质量标准》（GB 3095—2026）</w:t>
            </w:r>
            <w:r>
              <w:rPr>
                <w:rFonts w:hint="eastAsia" w:ascii="Times New Roman" w:hAnsi="Times New Roman" w:eastAsia="宋体"/>
                <w:color w:val="auto"/>
                <w:sz w:val="24"/>
                <w:lang w:val="en-US" w:eastAsia="zh-CN"/>
              </w:rPr>
              <w:t>表2环境空气污染物其他项目二级浓度限值</w:t>
            </w:r>
            <w:r>
              <w:rPr>
                <w:rFonts w:hint="eastAsia" w:ascii="Times New Roman" w:hAnsi="Times New Roman" w:eastAsia="宋体"/>
                <w:color w:val="auto"/>
                <w:sz w:val="24"/>
                <w:lang w:eastAsia="zh-CN"/>
              </w:rPr>
              <w:t>；</w:t>
            </w:r>
            <w:r>
              <w:rPr>
                <w:rFonts w:ascii="Times New Roman" w:hAnsi="Times New Roman" w:eastAsia="宋体" w:cs="Times New Roman"/>
                <w:color w:val="auto"/>
                <w:sz w:val="24"/>
              </w:rPr>
              <w:t>非甲烷总烃</w:t>
            </w:r>
            <w:r>
              <w:rPr>
                <w:rFonts w:hint="eastAsia" w:ascii="Times New Roman" w:hAnsi="Times New Roman" w:eastAsia="宋体" w:cs="Times New Roman"/>
                <w:color w:val="auto"/>
                <w:sz w:val="24"/>
                <w:lang w:val="en-US" w:eastAsia="zh-CN"/>
              </w:rPr>
              <w:t>参照</w:t>
            </w:r>
            <w:r>
              <w:rPr>
                <w:rFonts w:ascii="Times New Roman" w:hAnsi="Times New Roman" w:eastAsia="宋体" w:cs="Times New Roman"/>
                <w:color w:val="auto"/>
                <w:sz w:val="24"/>
              </w:rPr>
              <w:t>执行大气污染物综合排放标准详解中的要求</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具体见</w:t>
            </w:r>
            <w:r>
              <w:rPr>
                <w:rFonts w:hint="eastAsia" w:ascii="Times New Roman" w:hAnsi="Times New Roman" w:eastAsia="宋体"/>
                <w:color w:val="auto"/>
                <w:sz w:val="24"/>
              </w:rPr>
              <w:t>表3.1-1。</w:t>
            </w:r>
          </w:p>
          <w:p w14:paraId="1AA92B04">
            <w:pPr>
              <w:widowControl/>
              <w:jc w:val="center"/>
              <w:rPr>
                <w:rFonts w:hint="eastAsia"/>
                <w:b/>
                <w:color w:val="auto"/>
                <w:sz w:val="24"/>
                <w:szCs w:val="24"/>
                <w:lang w:bidi="he-IL"/>
              </w:rPr>
            </w:pPr>
            <w:r>
              <w:rPr>
                <w:rFonts w:hint="eastAsia"/>
                <w:b/>
                <w:color w:val="auto"/>
                <w:sz w:val="24"/>
                <w:szCs w:val="24"/>
                <w:lang w:bidi="he-IL"/>
              </w:rPr>
              <mc:AlternateContent>
                <mc:Choice Requires="wps">
                  <w:drawing>
                    <wp:anchor distT="0" distB="0" distL="114300" distR="114300" simplePos="0" relativeHeight="251659264" behindDoc="1" locked="1" layoutInCell="1" allowOverlap="1">
                      <wp:simplePos x="0" y="0"/>
                      <wp:positionH relativeFrom="page">
                        <wp:posOffset>457200</wp:posOffset>
                      </wp:positionH>
                      <wp:positionV relativeFrom="page">
                        <wp:posOffset>457200</wp:posOffset>
                      </wp:positionV>
                      <wp:extent cx="12700" cy="12700"/>
                      <wp:effectExtent l="0" t="0" r="0" b="0"/>
                      <wp:wrapNone/>
                      <wp:docPr id="202" name="图片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00" cy="12700"/>
                              </a:xfrm>
                              <a:prstGeom prst="rect">
                                <a:avLst/>
                              </a:prstGeom>
                              <a:noFill/>
                              <a:ln w="9525">
                                <a:noFill/>
                              </a:ln>
                              <a:effectLst/>
                            </wps:spPr>
                            <wps:bodyPr vert="horz" wrap="square" anchor="t" anchorCtr="0" upright="1"/>
                          </wps:wsp>
                        </a:graphicData>
                      </a:graphic>
                    </wp:anchor>
                  </w:drawing>
                </mc:Choice>
                <mc:Fallback>
                  <w:pict>
                    <v:rect id="图片 4" o:spid="_x0000_s1026" o:spt="1" style="position:absolute;left:0pt;margin-left:36pt;margin-top:36pt;height:1pt;width:1pt;mso-position-horizontal-relative:page;mso-position-vertical-relative:page;z-index:-251657216;mso-width-relative:page;mso-height-relative:page;" filled="f" stroked="f" coordsize="21600,21600" o:gfxdata="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K25amDTAAAABwEAAA8AAAAAAAAAAQAgAAAA&#10;IgAAAGRycy9kb3ducmV2LnhtbFBLAQIUABQAAAAIAIdO4kAy/o4c1wEAAKsDAAAOAAAAAAAAAAEA&#10;IAAAACIBAABkcnMvZTJvRG9jLnhtbFBLBQYAAAAABgAGAFkBAABrBQAAAAA=&#10;">
                      <v:fill on="f" focussize="0,0"/>
                      <v:stroke on="f"/>
                      <v:imagedata o:title=""/>
                      <o:lock v:ext="edit" aspectratio="t"/>
                      <w10:anchorlock/>
                    </v:rect>
                  </w:pict>
                </mc:Fallback>
              </mc:AlternateContent>
            </w:r>
            <w:r>
              <w:rPr>
                <w:rFonts w:hint="eastAsia"/>
                <w:b/>
                <w:color w:val="auto"/>
                <w:sz w:val="24"/>
                <w:szCs w:val="24"/>
                <w:lang w:bidi="he-IL"/>
              </w:rPr>
              <w:t>表3.1-1  环境空气质量标准一览表</w:t>
            </w:r>
          </w:p>
          <w:tbl>
            <w:tblPr>
              <w:tblStyle w:val="1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1092"/>
              <w:gridCol w:w="1345"/>
              <w:gridCol w:w="2388"/>
              <w:gridCol w:w="2116"/>
            </w:tblGrid>
            <w:tr w14:paraId="09A081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6" w:type="pct"/>
                  <w:vMerge w:val="restart"/>
                  <w:noWrap w:val="0"/>
                  <w:vAlign w:val="center"/>
                </w:tcPr>
                <w:p w14:paraId="300F2D6C">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b/>
                      <w:bCs/>
                      <w:color w:val="auto"/>
                      <w:sz w:val="21"/>
                    </w:rPr>
                  </w:pPr>
                  <w:r>
                    <w:rPr>
                      <w:rFonts w:hint="eastAsia" w:ascii="Times New Roman" w:hAnsi="Times New Roman" w:eastAsia="宋体" w:cs="Times New Roman"/>
                      <w:b/>
                      <w:bCs/>
                      <w:color w:val="auto"/>
                      <w:sz w:val="21"/>
                    </w:rPr>
                    <w:t>执行标准</w:t>
                  </w:r>
                </w:p>
              </w:tc>
              <w:tc>
                <w:tcPr>
                  <w:tcW w:w="688" w:type="pct"/>
                  <w:vMerge w:val="restart"/>
                  <w:noWrap w:val="0"/>
                  <w:vAlign w:val="center"/>
                </w:tcPr>
                <w:p w14:paraId="1C78D37C">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bCs/>
                      <w:color w:val="auto"/>
                      <w:sz w:val="21"/>
                      <w:lang w:eastAsia="zh-CN"/>
                    </w:rPr>
                  </w:pPr>
                  <w:r>
                    <w:rPr>
                      <w:rFonts w:hint="eastAsia" w:ascii="Times New Roman" w:hAnsi="Times New Roman" w:eastAsia="宋体" w:cs="Times New Roman"/>
                      <w:b/>
                      <w:bCs/>
                      <w:color w:val="auto"/>
                      <w:sz w:val="21"/>
                      <w:lang w:val="en-US" w:eastAsia="zh-CN"/>
                    </w:rPr>
                    <w:t>污染物名称</w:t>
                  </w:r>
                </w:p>
              </w:tc>
              <w:tc>
                <w:tcPr>
                  <w:tcW w:w="3434" w:type="pct"/>
                  <w:gridSpan w:val="3"/>
                  <w:noWrap w:val="0"/>
                  <w:vAlign w:val="center"/>
                </w:tcPr>
                <w:p w14:paraId="3C34818E">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bCs/>
                      <w:color w:val="auto"/>
                      <w:sz w:val="21"/>
                      <w:lang w:val="en-US" w:eastAsia="zh-CN"/>
                    </w:rPr>
                  </w:pPr>
                  <w:r>
                    <w:rPr>
                      <w:rFonts w:hint="eastAsia" w:ascii="Times New Roman" w:hAnsi="Times New Roman" w:eastAsia="宋体" w:cs="Times New Roman"/>
                      <w:b/>
                      <w:bCs/>
                      <w:color w:val="auto"/>
                      <w:sz w:val="21"/>
                      <w:lang w:val="en-US" w:eastAsia="zh-CN"/>
                    </w:rPr>
                    <w:t>标准限值（</w:t>
                  </w:r>
                  <w:r>
                    <w:rPr>
                      <w:rFonts w:hint="eastAsia" w:cs="Times New Roman"/>
                      <w:b/>
                      <w:bCs/>
                      <w:color w:val="auto"/>
                      <w:sz w:val="21"/>
                      <w:lang w:val="en-US" w:eastAsia="zh-CN"/>
                    </w:rPr>
                    <w:t>μg/m3</w:t>
                  </w:r>
                  <w:r>
                    <w:rPr>
                      <w:rFonts w:hint="eastAsia" w:ascii="Times New Roman" w:hAnsi="Times New Roman" w:eastAsia="宋体" w:cs="Times New Roman"/>
                      <w:b/>
                      <w:bCs/>
                      <w:color w:val="auto"/>
                      <w:sz w:val="21"/>
                      <w:lang w:val="en-US" w:eastAsia="zh-CN"/>
                    </w:rPr>
                    <w:t>）</w:t>
                  </w:r>
                </w:p>
              </w:tc>
            </w:tr>
            <w:tr w14:paraId="080BA8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6" w:type="pct"/>
                  <w:vMerge w:val="continue"/>
                  <w:noWrap w:val="0"/>
                  <w:vAlign w:val="center"/>
                </w:tcPr>
                <w:p w14:paraId="23F857DA">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b/>
                      <w:bCs/>
                      <w:color w:val="auto"/>
                      <w:sz w:val="21"/>
                    </w:rPr>
                  </w:pPr>
                </w:p>
              </w:tc>
              <w:tc>
                <w:tcPr>
                  <w:tcW w:w="688" w:type="pct"/>
                  <w:vMerge w:val="continue"/>
                  <w:noWrap w:val="0"/>
                  <w:vAlign w:val="center"/>
                </w:tcPr>
                <w:p w14:paraId="2A3DEA3C">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b/>
                      <w:bCs/>
                      <w:color w:val="auto"/>
                      <w:sz w:val="21"/>
                    </w:rPr>
                  </w:pPr>
                </w:p>
              </w:tc>
              <w:tc>
                <w:tcPr>
                  <w:tcW w:w="838" w:type="pct"/>
                  <w:noWrap w:val="0"/>
                  <w:vAlign w:val="center"/>
                </w:tcPr>
                <w:p w14:paraId="19436066">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bCs/>
                      <w:color w:val="auto"/>
                      <w:sz w:val="21"/>
                      <w:lang w:val="en-US" w:eastAsia="zh-CN"/>
                    </w:rPr>
                  </w:pPr>
                  <w:r>
                    <w:rPr>
                      <w:rFonts w:hint="eastAsia" w:ascii="Times New Roman" w:hAnsi="Times New Roman" w:eastAsia="宋体" w:cs="Times New Roman"/>
                      <w:b/>
                      <w:bCs/>
                      <w:color w:val="auto"/>
                      <w:sz w:val="21"/>
                      <w:lang w:val="en-US" w:eastAsia="zh-CN"/>
                    </w:rPr>
                    <w:t>平均时间</w:t>
                  </w:r>
                </w:p>
              </w:tc>
              <w:tc>
                <w:tcPr>
                  <w:tcW w:w="1302" w:type="pct"/>
                  <w:noWrap w:val="0"/>
                  <w:vAlign w:val="center"/>
                </w:tcPr>
                <w:p w14:paraId="7237737A">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b/>
                      <w:bCs/>
                      <w:color w:val="auto"/>
                      <w:sz w:val="21"/>
                      <w:lang w:val="en-US" w:eastAsia="zh-CN"/>
                    </w:rPr>
                  </w:pPr>
                  <w:r>
                    <w:rPr>
                      <w:rFonts w:hint="eastAsia" w:ascii="Times New Roman" w:hAnsi="Times New Roman" w:eastAsia="宋体" w:cs="Times New Roman"/>
                      <w:b/>
                      <w:bCs/>
                      <w:color w:val="auto"/>
                      <w:sz w:val="21"/>
                      <w:lang w:val="en-US" w:eastAsia="zh-CN"/>
                    </w:rPr>
                    <w:t>GB 3095-2026过渡阶段二级浓度限值（2026.3.1-2030.12.31）</w:t>
                  </w:r>
                </w:p>
              </w:tc>
              <w:tc>
                <w:tcPr>
                  <w:tcW w:w="1294" w:type="pct"/>
                  <w:noWrap w:val="0"/>
                  <w:vAlign w:val="center"/>
                </w:tcPr>
                <w:p w14:paraId="6C004FDD">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bCs/>
                      <w:color w:val="auto"/>
                      <w:sz w:val="21"/>
                    </w:rPr>
                  </w:pPr>
                  <w:r>
                    <w:rPr>
                      <w:rFonts w:hint="eastAsia" w:ascii="Times New Roman" w:hAnsi="Times New Roman" w:eastAsia="宋体" w:cs="Times New Roman"/>
                      <w:b/>
                      <w:bCs/>
                      <w:color w:val="auto"/>
                      <w:sz w:val="21"/>
                      <w:lang w:val="en-US" w:eastAsia="zh-CN"/>
                    </w:rPr>
                    <w:t>GB 3095-2026二级浓度限值（2031.1.1之后）</w:t>
                  </w:r>
                </w:p>
              </w:tc>
            </w:tr>
            <w:tr w14:paraId="177BE3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6" w:type="pct"/>
                  <w:vMerge w:val="restart"/>
                  <w:noWrap w:val="0"/>
                  <w:vAlign w:val="center"/>
                </w:tcPr>
                <w:p w14:paraId="4AE9C2AF">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color w:val="auto"/>
                      <w:sz w:val="21"/>
                    </w:rPr>
                  </w:pPr>
                  <w:r>
                    <w:rPr>
                      <w:rFonts w:hint="eastAsia" w:ascii="Times New Roman" w:hAnsi="Times New Roman" w:eastAsia="宋体" w:cs="Times New Roman"/>
                      <w:color w:val="auto"/>
                      <w:sz w:val="21"/>
                    </w:rPr>
                    <w:t>《环境空气质量标准》（GB 3095—2026）</w:t>
                  </w:r>
                </w:p>
              </w:tc>
              <w:tc>
                <w:tcPr>
                  <w:tcW w:w="688" w:type="pct"/>
                  <w:vMerge w:val="restart"/>
                  <w:noWrap w:val="0"/>
                  <w:vAlign w:val="center"/>
                </w:tcPr>
                <w:p w14:paraId="0A0EBE6C">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color w:val="auto"/>
                      <w:sz w:val="21"/>
                    </w:rPr>
                  </w:pPr>
                  <w:r>
                    <w:rPr>
                      <w:rFonts w:hint="eastAsia" w:ascii="Times New Roman" w:hAnsi="Times New Roman" w:eastAsia="宋体" w:cs="Times New Roman"/>
                      <w:color w:val="auto"/>
                      <w:sz w:val="21"/>
                    </w:rPr>
                    <w:t>二氧化硫（SO</w:t>
                  </w:r>
                  <w:r>
                    <w:rPr>
                      <w:rFonts w:hint="eastAsia" w:ascii="Times New Roman" w:hAnsi="Times New Roman" w:eastAsia="宋体" w:cs="Times New Roman"/>
                      <w:color w:val="auto"/>
                      <w:sz w:val="21"/>
                      <w:vertAlign w:val="subscript"/>
                    </w:rPr>
                    <w:t>2</w:t>
                  </w:r>
                  <w:r>
                    <w:rPr>
                      <w:rFonts w:hint="eastAsia" w:ascii="Times New Roman" w:hAnsi="Times New Roman" w:eastAsia="宋体" w:cs="Times New Roman"/>
                      <w:color w:val="auto"/>
                      <w:sz w:val="21"/>
                    </w:rPr>
                    <w:t>）</w:t>
                  </w:r>
                </w:p>
              </w:tc>
              <w:tc>
                <w:tcPr>
                  <w:tcW w:w="838" w:type="pct"/>
                  <w:noWrap w:val="0"/>
                  <w:vAlign w:val="center"/>
                </w:tcPr>
                <w:p w14:paraId="71523894">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年平均</w:t>
                  </w:r>
                </w:p>
              </w:tc>
              <w:tc>
                <w:tcPr>
                  <w:tcW w:w="1302" w:type="pct"/>
                  <w:noWrap w:val="0"/>
                  <w:vAlign w:val="center"/>
                </w:tcPr>
                <w:p w14:paraId="7D049FBB">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60</w:t>
                  </w:r>
                </w:p>
              </w:tc>
              <w:tc>
                <w:tcPr>
                  <w:tcW w:w="1294" w:type="pct"/>
                  <w:noWrap w:val="0"/>
                  <w:vAlign w:val="center"/>
                </w:tcPr>
                <w:p w14:paraId="5635CCA5">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lang w:val="en-US" w:eastAsia="zh-CN"/>
                    </w:rPr>
                    <w:t>2</w:t>
                  </w:r>
                  <w:r>
                    <w:rPr>
                      <w:rFonts w:hint="eastAsia" w:ascii="Times New Roman" w:hAnsi="Times New Roman" w:eastAsia="宋体" w:cs="Times New Roman"/>
                      <w:color w:val="auto"/>
                      <w:sz w:val="21"/>
                    </w:rPr>
                    <w:t>0</w:t>
                  </w:r>
                </w:p>
              </w:tc>
            </w:tr>
            <w:tr w14:paraId="28C26F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6" w:type="pct"/>
                  <w:vMerge w:val="continue"/>
                  <w:noWrap w:val="0"/>
                  <w:vAlign w:val="center"/>
                </w:tcPr>
                <w:p w14:paraId="509D0BBB">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688" w:type="pct"/>
                  <w:vMerge w:val="continue"/>
                  <w:noWrap w:val="0"/>
                  <w:vAlign w:val="center"/>
                </w:tcPr>
                <w:p w14:paraId="1994F598">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838" w:type="pct"/>
                  <w:noWrap w:val="0"/>
                  <w:vAlign w:val="center"/>
                </w:tcPr>
                <w:p w14:paraId="74E18E58">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lang w:val="en-US" w:eastAsia="zh-CN"/>
                    </w:rPr>
                    <w:t>日</w:t>
                  </w:r>
                  <w:r>
                    <w:rPr>
                      <w:rFonts w:hint="eastAsia" w:ascii="Times New Roman" w:hAnsi="Times New Roman" w:eastAsia="宋体" w:cs="Times New Roman"/>
                      <w:color w:val="auto"/>
                      <w:sz w:val="21"/>
                    </w:rPr>
                    <w:t>平均</w:t>
                  </w:r>
                </w:p>
              </w:tc>
              <w:tc>
                <w:tcPr>
                  <w:tcW w:w="1302" w:type="pct"/>
                  <w:noWrap w:val="0"/>
                  <w:vAlign w:val="center"/>
                </w:tcPr>
                <w:p w14:paraId="6C757D73">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150</w:t>
                  </w:r>
                </w:p>
              </w:tc>
              <w:tc>
                <w:tcPr>
                  <w:tcW w:w="1294" w:type="pct"/>
                  <w:noWrap w:val="0"/>
                  <w:vAlign w:val="center"/>
                </w:tcPr>
                <w:p w14:paraId="48776A54">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50</w:t>
                  </w:r>
                </w:p>
              </w:tc>
            </w:tr>
            <w:tr w14:paraId="5B916A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6" w:type="pct"/>
                  <w:vMerge w:val="continue"/>
                  <w:noWrap w:val="0"/>
                  <w:vAlign w:val="center"/>
                </w:tcPr>
                <w:p w14:paraId="31537886">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688" w:type="pct"/>
                  <w:vMerge w:val="continue"/>
                  <w:noWrap w:val="0"/>
                  <w:vAlign w:val="center"/>
                </w:tcPr>
                <w:p w14:paraId="50032C54">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838" w:type="pct"/>
                  <w:noWrap w:val="0"/>
                  <w:vAlign w:val="center"/>
                </w:tcPr>
                <w:p w14:paraId="294496A6">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1小时平均</w:t>
                  </w:r>
                </w:p>
              </w:tc>
              <w:tc>
                <w:tcPr>
                  <w:tcW w:w="1302" w:type="pct"/>
                  <w:noWrap w:val="0"/>
                  <w:vAlign w:val="center"/>
                </w:tcPr>
                <w:p w14:paraId="513A0E2A">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500</w:t>
                  </w:r>
                </w:p>
              </w:tc>
              <w:tc>
                <w:tcPr>
                  <w:tcW w:w="1294" w:type="pct"/>
                  <w:noWrap w:val="0"/>
                  <w:vAlign w:val="center"/>
                </w:tcPr>
                <w:p w14:paraId="59875930">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lang w:val="en-US" w:eastAsia="zh-CN"/>
                    </w:rPr>
                    <w:t>15</w:t>
                  </w:r>
                  <w:r>
                    <w:rPr>
                      <w:rFonts w:hint="eastAsia" w:ascii="Times New Roman" w:hAnsi="Times New Roman" w:eastAsia="宋体" w:cs="Times New Roman"/>
                      <w:color w:val="auto"/>
                      <w:sz w:val="21"/>
                    </w:rPr>
                    <w:t>0</w:t>
                  </w:r>
                </w:p>
              </w:tc>
            </w:tr>
            <w:tr w14:paraId="4F47AD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6" w:type="pct"/>
                  <w:vMerge w:val="continue"/>
                  <w:noWrap w:val="0"/>
                  <w:vAlign w:val="center"/>
                </w:tcPr>
                <w:p w14:paraId="3E6F384B">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688" w:type="pct"/>
                  <w:vMerge w:val="restart"/>
                  <w:noWrap w:val="0"/>
                  <w:vAlign w:val="center"/>
                </w:tcPr>
                <w:p w14:paraId="03F3665B">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color w:val="auto"/>
                      <w:sz w:val="21"/>
                    </w:rPr>
                  </w:pPr>
                  <w:r>
                    <w:rPr>
                      <w:rFonts w:hint="eastAsia" w:ascii="Times New Roman" w:hAnsi="Times New Roman" w:eastAsia="宋体" w:cs="Times New Roman"/>
                      <w:color w:val="auto"/>
                      <w:sz w:val="21"/>
                    </w:rPr>
                    <w:t>二氧化氮（NO</w:t>
                  </w:r>
                  <w:r>
                    <w:rPr>
                      <w:rFonts w:hint="eastAsia" w:ascii="Times New Roman" w:hAnsi="Times New Roman" w:eastAsia="宋体" w:cs="Times New Roman"/>
                      <w:color w:val="auto"/>
                      <w:sz w:val="21"/>
                      <w:vertAlign w:val="subscript"/>
                    </w:rPr>
                    <w:t>2</w:t>
                  </w:r>
                  <w:r>
                    <w:rPr>
                      <w:rFonts w:hint="eastAsia" w:ascii="Times New Roman" w:hAnsi="Times New Roman" w:eastAsia="宋体" w:cs="Times New Roman"/>
                      <w:color w:val="auto"/>
                      <w:sz w:val="21"/>
                    </w:rPr>
                    <w:t>）</w:t>
                  </w:r>
                </w:p>
              </w:tc>
              <w:tc>
                <w:tcPr>
                  <w:tcW w:w="838" w:type="pct"/>
                  <w:noWrap w:val="0"/>
                  <w:vAlign w:val="center"/>
                </w:tcPr>
                <w:p w14:paraId="7235568D">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年平均</w:t>
                  </w:r>
                </w:p>
              </w:tc>
              <w:tc>
                <w:tcPr>
                  <w:tcW w:w="1302" w:type="pct"/>
                  <w:noWrap w:val="0"/>
                  <w:vAlign w:val="center"/>
                </w:tcPr>
                <w:p w14:paraId="3DE486B6">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40</w:t>
                  </w:r>
                </w:p>
              </w:tc>
              <w:tc>
                <w:tcPr>
                  <w:tcW w:w="1294" w:type="pct"/>
                  <w:noWrap w:val="0"/>
                  <w:vAlign w:val="center"/>
                </w:tcPr>
                <w:p w14:paraId="78B5B663">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lang w:val="en-US" w:eastAsia="zh-CN"/>
                    </w:rPr>
                    <w:t>3</w:t>
                  </w:r>
                  <w:r>
                    <w:rPr>
                      <w:rFonts w:hint="eastAsia" w:ascii="Times New Roman" w:hAnsi="Times New Roman" w:eastAsia="宋体" w:cs="Times New Roman"/>
                      <w:color w:val="auto"/>
                      <w:sz w:val="21"/>
                    </w:rPr>
                    <w:t>0</w:t>
                  </w:r>
                </w:p>
              </w:tc>
            </w:tr>
            <w:tr w14:paraId="6F791E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6" w:type="pct"/>
                  <w:vMerge w:val="continue"/>
                  <w:noWrap w:val="0"/>
                  <w:vAlign w:val="center"/>
                </w:tcPr>
                <w:p w14:paraId="28E27824">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688" w:type="pct"/>
                  <w:vMerge w:val="continue"/>
                  <w:noWrap w:val="0"/>
                  <w:vAlign w:val="center"/>
                </w:tcPr>
                <w:p w14:paraId="4C4F55FE">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838" w:type="pct"/>
                  <w:noWrap w:val="0"/>
                  <w:vAlign w:val="center"/>
                </w:tcPr>
                <w:p w14:paraId="43AC1F48">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lang w:val="en-US" w:eastAsia="zh-CN"/>
                    </w:rPr>
                    <w:t>日</w:t>
                  </w:r>
                  <w:r>
                    <w:rPr>
                      <w:rFonts w:hint="eastAsia" w:ascii="Times New Roman" w:hAnsi="Times New Roman" w:eastAsia="宋体" w:cs="Times New Roman"/>
                      <w:color w:val="auto"/>
                      <w:sz w:val="21"/>
                    </w:rPr>
                    <w:t>平均</w:t>
                  </w:r>
                </w:p>
              </w:tc>
              <w:tc>
                <w:tcPr>
                  <w:tcW w:w="1302" w:type="pct"/>
                  <w:noWrap w:val="0"/>
                  <w:vAlign w:val="center"/>
                </w:tcPr>
                <w:p w14:paraId="71C7E3B9">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80</w:t>
                  </w:r>
                </w:p>
              </w:tc>
              <w:tc>
                <w:tcPr>
                  <w:tcW w:w="1294" w:type="pct"/>
                  <w:noWrap w:val="0"/>
                  <w:vAlign w:val="center"/>
                </w:tcPr>
                <w:p w14:paraId="4AC2FDFC">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lang w:val="en-US" w:eastAsia="zh-CN"/>
                    </w:rPr>
                    <w:t>5</w:t>
                  </w:r>
                  <w:r>
                    <w:rPr>
                      <w:rFonts w:hint="eastAsia" w:ascii="Times New Roman" w:hAnsi="Times New Roman" w:eastAsia="宋体" w:cs="Times New Roman"/>
                      <w:color w:val="auto"/>
                      <w:sz w:val="21"/>
                    </w:rPr>
                    <w:t>0</w:t>
                  </w:r>
                </w:p>
              </w:tc>
            </w:tr>
            <w:tr w14:paraId="5B4014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6" w:type="pct"/>
                  <w:vMerge w:val="continue"/>
                  <w:noWrap w:val="0"/>
                  <w:vAlign w:val="center"/>
                </w:tcPr>
                <w:p w14:paraId="7414683F">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688" w:type="pct"/>
                  <w:vMerge w:val="continue"/>
                  <w:noWrap w:val="0"/>
                  <w:vAlign w:val="center"/>
                </w:tcPr>
                <w:p w14:paraId="08116057">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838" w:type="pct"/>
                  <w:noWrap w:val="0"/>
                  <w:vAlign w:val="center"/>
                </w:tcPr>
                <w:p w14:paraId="39F3C1CE">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1小时平均</w:t>
                  </w:r>
                </w:p>
              </w:tc>
              <w:tc>
                <w:tcPr>
                  <w:tcW w:w="1302" w:type="pct"/>
                  <w:noWrap w:val="0"/>
                  <w:vAlign w:val="center"/>
                </w:tcPr>
                <w:p w14:paraId="03140C93">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200</w:t>
                  </w:r>
                </w:p>
              </w:tc>
              <w:tc>
                <w:tcPr>
                  <w:tcW w:w="1294" w:type="pct"/>
                  <w:noWrap w:val="0"/>
                  <w:vAlign w:val="center"/>
                </w:tcPr>
                <w:p w14:paraId="786CE532">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200</w:t>
                  </w:r>
                </w:p>
              </w:tc>
            </w:tr>
            <w:tr w14:paraId="756B45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6" w:type="pct"/>
                  <w:vMerge w:val="continue"/>
                  <w:noWrap w:val="0"/>
                  <w:vAlign w:val="center"/>
                </w:tcPr>
                <w:p w14:paraId="002E012D">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688" w:type="pct"/>
                  <w:vMerge w:val="restart"/>
                  <w:noWrap w:val="0"/>
                  <w:vAlign w:val="center"/>
                </w:tcPr>
                <w:p w14:paraId="09006BCE">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color w:val="auto"/>
                      <w:sz w:val="21"/>
                    </w:rPr>
                  </w:pPr>
                  <w:r>
                    <w:rPr>
                      <w:rFonts w:hint="eastAsia" w:ascii="Times New Roman" w:hAnsi="Times New Roman" w:eastAsia="宋体" w:cs="Times New Roman"/>
                      <w:color w:val="auto"/>
                      <w:sz w:val="21"/>
                    </w:rPr>
                    <w:t>一氧化碳（CO）</w:t>
                  </w:r>
                </w:p>
              </w:tc>
              <w:tc>
                <w:tcPr>
                  <w:tcW w:w="838" w:type="pct"/>
                  <w:noWrap w:val="0"/>
                  <w:vAlign w:val="center"/>
                </w:tcPr>
                <w:p w14:paraId="134FBDDD">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lang w:val="en-US" w:eastAsia="zh-CN"/>
                    </w:rPr>
                    <w:t>日</w:t>
                  </w:r>
                  <w:r>
                    <w:rPr>
                      <w:rFonts w:hint="eastAsia" w:ascii="Times New Roman" w:hAnsi="Times New Roman" w:eastAsia="宋体" w:cs="Times New Roman"/>
                      <w:color w:val="auto"/>
                      <w:sz w:val="21"/>
                    </w:rPr>
                    <w:t>平均</w:t>
                  </w:r>
                </w:p>
              </w:tc>
              <w:tc>
                <w:tcPr>
                  <w:tcW w:w="1302" w:type="pct"/>
                  <w:noWrap w:val="0"/>
                  <w:vAlign w:val="center"/>
                </w:tcPr>
                <w:p w14:paraId="6F7C03E9">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vertAlign w:val="superscript"/>
                    </w:rPr>
                  </w:pPr>
                  <w:r>
                    <w:rPr>
                      <w:rFonts w:hint="eastAsia" w:ascii="Times New Roman" w:hAnsi="Times New Roman" w:eastAsia="宋体" w:cs="Times New Roman"/>
                      <w:color w:val="auto"/>
                      <w:sz w:val="21"/>
                      <w:vertAlign w:val="baseline"/>
                    </w:rPr>
                    <w:t>4m</w:t>
                  </w:r>
                  <w:r>
                    <w:rPr>
                      <w:rFonts w:hint="default" w:ascii="Times New Roman" w:hAnsi="Times New Roman" w:eastAsia="宋体" w:cs="Times New Roman"/>
                      <w:color w:val="auto"/>
                      <w:sz w:val="21"/>
                      <w:vertAlign w:val="baseline"/>
                    </w:rPr>
                    <w:t>g/m</w:t>
                  </w:r>
                  <w:r>
                    <w:rPr>
                      <w:rFonts w:hint="default" w:ascii="Times New Roman" w:hAnsi="Times New Roman" w:eastAsia="宋体" w:cs="Times New Roman"/>
                      <w:color w:val="auto"/>
                      <w:sz w:val="21"/>
                      <w:vertAlign w:val="superscript"/>
                    </w:rPr>
                    <w:t>3</w:t>
                  </w:r>
                </w:p>
              </w:tc>
              <w:tc>
                <w:tcPr>
                  <w:tcW w:w="1294" w:type="pct"/>
                  <w:noWrap w:val="0"/>
                  <w:vAlign w:val="center"/>
                </w:tcPr>
                <w:p w14:paraId="0BED1DE8">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4m</w:t>
                  </w:r>
                  <w:r>
                    <w:rPr>
                      <w:rFonts w:hint="default" w:ascii="Times New Roman" w:hAnsi="Times New Roman" w:eastAsia="宋体" w:cs="Times New Roman"/>
                      <w:color w:val="auto"/>
                      <w:sz w:val="21"/>
                    </w:rPr>
                    <w:t>g/m</w:t>
                  </w:r>
                  <w:r>
                    <w:rPr>
                      <w:rFonts w:hint="default" w:ascii="Times New Roman" w:hAnsi="Times New Roman" w:eastAsia="宋体" w:cs="Times New Roman"/>
                      <w:color w:val="auto"/>
                      <w:sz w:val="21"/>
                      <w:vertAlign w:val="superscript"/>
                    </w:rPr>
                    <w:t>3</w:t>
                  </w:r>
                </w:p>
              </w:tc>
            </w:tr>
            <w:tr w14:paraId="52C91D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6" w:type="pct"/>
                  <w:vMerge w:val="continue"/>
                  <w:noWrap w:val="0"/>
                  <w:vAlign w:val="center"/>
                </w:tcPr>
                <w:p w14:paraId="012FC849">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688" w:type="pct"/>
                  <w:vMerge w:val="continue"/>
                  <w:noWrap w:val="0"/>
                  <w:vAlign w:val="center"/>
                </w:tcPr>
                <w:p w14:paraId="3B7C2BDA">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838" w:type="pct"/>
                  <w:noWrap w:val="0"/>
                  <w:vAlign w:val="center"/>
                </w:tcPr>
                <w:p w14:paraId="0983E9C2">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1小时平均</w:t>
                  </w:r>
                </w:p>
              </w:tc>
              <w:tc>
                <w:tcPr>
                  <w:tcW w:w="1302" w:type="pct"/>
                  <w:noWrap w:val="0"/>
                  <w:vAlign w:val="center"/>
                </w:tcPr>
                <w:p w14:paraId="5D7CE1D2">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10m</w:t>
                  </w:r>
                  <w:r>
                    <w:rPr>
                      <w:rFonts w:hint="default" w:ascii="Times New Roman" w:hAnsi="Times New Roman" w:eastAsia="宋体" w:cs="Times New Roman"/>
                      <w:color w:val="auto"/>
                      <w:sz w:val="21"/>
                    </w:rPr>
                    <w:t>g/m</w:t>
                  </w:r>
                  <w:r>
                    <w:rPr>
                      <w:rFonts w:hint="default" w:ascii="Times New Roman" w:hAnsi="Times New Roman" w:eastAsia="宋体" w:cs="Times New Roman"/>
                      <w:color w:val="auto"/>
                      <w:sz w:val="21"/>
                      <w:vertAlign w:val="superscript"/>
                    </w:rPr>
                    <w:t>3</w:t>
                  </w:r>
                </w:p>
              </w:tc>
              <w:tc>
                <w:tcPr>
                  <w:tcW w:w="1294" w:type="pct"/>
                  <w:noWrap w:val="0"/>
                  <w:vAlign w:val="center"/>
                </w:tcPr>
                <w:p w14:paraId="452823D2">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10m</w:t>
                  </w:r>
                  <w:r>
                    <w:rPr>
                      <w:rFonts w:hint="default" w:ascii="Times New Roman" w:hAnsi="Times New Roman" w:eastAsia="宋体" w:cs="Times New Roman"/>
                      <w:color w:val="auto"/>
                      <w:sz w:val="21"/>
                    </w:rPr>
                    <w:t>g/m</w:t>
                  </w:r>
                  <w:r>
                    <w:rPr>
                      <w:rFonts w:hint="default" w:ascii="Times New Roman" w:hAnsi="Times New Roman" w:eastAsia="宋体" w:cs="Times New Roman"/>
                      <w:color w:val="auto"/>
                      <w:sz w:val="21"/>
                      <w:vertAlign w:val="superscript"/>
                    </w:rPr>
                    <w:t>3</w:t>
                  </w:r>
                </w:p>
              </w:tc>
            </w:tr>
            <w:tr w14:paraId="4AF0BA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6" w:type="pct"/>
                  <w:vMerge w:val="continue"/>
                  <w:noWrap w:val="0"/>
                  <w:vAlign w:val="center"/>
                </w:tcPr>
                <w:p w14:paraId="7C0AD1CA">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688" w:type="pct"/>
                  <w:vMerge w:val="restart"/>
                  <w:noWrap w:val="0"/>
                  <w:vAlign w:val="center"/>
                </w:tcPr>
                <w:p w14:paraId="4F80064B">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color w:val="auto"/>
                      <w:sz w:val="21"/>
                    </w:rPr>
                  </w:pPr>
                  <w:r>
                    <w:rPr>
                      <w:rFonts w:hint="eastAsia" w:ascii="Times New Roman" w:hAnsi="Times New Roman" w:eastAsia="宋体" w:cs="Times New Roman"/>
                      <w:color w:val="auto"/>
                      <w:sz w:val="21"/>
                    </w:rPr>
                    <w:t>臭氧（O</w:t>
                  </w:r>
                  <w:r>
                    <w:rPr>
                      <w:rFonts w:hint="eastAsia" w:ascii="Times New Roman" w:hAnsi="Times New Roman" w:eastAsia="宋体" w:cs="Times New Roman"/>
                      <w:color w:val="auto"/>
                      <w:sz w:val="21"/>
                      <w:vertAlign w:val="subscript"/>
                    </w:rPr>
                    <w:t>3</w:t>
                  </w:r>
                  <w:r>
                    <w:rPr>
                      <w:rFonts w:hint="eastAsia" w:ascii="Times New Roman" w:hAnsi="Times New Roman" w:eastAsia="宋体" w:cs="Times New Roman"/>
                      <w:color w:val="auto"/>
                      <w:sz w:val="21"/>
                    </w:rPr>
                    <w:t>）</w:t>
                  </w:r>
                </w:p>
              </w:tc>
              <w:tc>
                <w:tcPr>
                  <w:tcW w:w="838" w:type="pct"/>
                  <w:noWrap w:val="0"/>
                  <w:vAlign w:val="center"/>
                </w:tcPr>
                <w:p w14:paraId="156B80AC">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日最大8小时平均</w:t>
                  </w:r>
                </w:p>
              </w:tc>
              <w:tc>
                <w:tcPr>
                  <w:tcW w:w="1302" w:type="pct"/>
                  <w:noWrap w:val="0"/>
                  <w:vAlign w:val="center"/>
                </w:tcPr>
                <w:p w14:paraId="76C08D78">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160</w:t>
                  </w:r>
                </w:p>
              </w:tc>
              <w:tc>
                <w:tcPr>
                  <w:tcW w:w="1294" w:type="pct"/>
                  <w:noWrap w:val="0"/>
                  <w:vAlign w:val="center"/>
                </w:tcPr>
                <w:p w14:paraId="6661BB2C">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160</w:t>
                  </w:r>
                </w:p>
              </w:tc>
            </w:tr>
            <w:tr w14:paraId="0A4DDF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6" w:type="pct"/>
                  <w:vMerge w:val="continue"/>
                  <w:noWrap w:val="0"/>
                  <w:vAlign w:val="center"/>
                </w:tcPr>
                <w:p w14:paraId="3F3E2E48">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688" w:type="pct"/>
                  <w:vMerge w:val="continue"/>
                  <w:noWrap w:val="0"/>
                  <w:vAlign w:val="center"/>
                </w:tcPr>
                <w:p w14:paraId="0618B98E">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838" w:type="pct"/>
                  <w:noWrap w:val="0"/>
                  <w:vAlign w:val="center"/>
                </w:tcPr>
                <w:p w14:paraId="51939E3C">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1小时平均</w:t>
                  </w:r>
                </w:p>
              </w:tc>
              <w:tc>
                <w:tcPr>
                  <w:tcW w:w="1302" w:type="pct"/>
                  <w:noWrap w:val="0"/>
                  <w:vAlign w:val="center"/>
                </w:tcPr>
                <w:p w14:paraId="420B8BE0">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200</w:t>
                  </w:r>
                </w:p>
              </w:tc>
              <w:tc>
                <w:tcPr>
                  <w:tcW w:w="1294" w:type="pct"/>
                  <w:noWrap w:val="0"/>
                  <w:vAlign w:val="center"/>
                </w:tcPr>
                <w:p w14:paraId="058FA9FF">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200</w:t>
                  </w:r>
                </w:p>
              </w:tc>
            </w:tr>
            <w:tr w14:paraId="493C2F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6" w:type="pct"/>
                  <w:vMerge w:val="continue"/>
                  <w:noWrap w:val="0"/>
                  <w:vAlign w:val="center"/>
                </w:tcPr>
                <w:p w14:paraId="5C50B814">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688" w:type="pct"/>
                  <w:vMerge w:val="restart"/>
                  <w:noWrap w:val="0"/>
                  <w:vAlign w:val="center"/>
                </w:tcPr>
                <w:p w14:paraId="54737F9D">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default" w:ascii="Times New Roman" w:hAnsi="Times New Roman" w:eastAsia="宋体" w:cs="Times New Roman"/>
                      <w:color w:val="auto"/>
                      <w:sz w:val="21"/>
                    </w:rPr>
                    <w:t>PM</w:t>
                  </w:r>
                  <w:r>
                    <w:rPr>
                      <w:rFonts w:hint="default" w:ascii="Times New Roman" w:hAnsi="Times New Roman" w:eastAsia="宋体" w:cs="Times New Roman"/>
                      <w:color w:val="auto"/>
                      <w:sz w:val="21"/>
                      <w:vertAlign w:val="subscript"/>
                    </w:rPr>
                    <w:t>10</w:t>
                  </w:r>
                </w:p>
              </w:tc>
              <w:tc>
                <w:tcPr>
                  <w:tcW w:w="838" w:type="pct"/>
                  <w:noWrap w:val="0"/>
                  <w:vAlign w:val="center"/>
                </w:tcPr>
                <w:p w14:paraId="4581B2B8">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val="0"/>
                      <w:iCs/>
                      <w:snapToGrid w:val="0"/>
                      <w:color w:val="auto"/>
                      <w:kern w:val="0"/>
                      <w:sz w:val="21"/>
                      <w:szCs w:val="21"/>
                      <w:lang w:val="en-US" w:eastAsia="zh-CN" w:bidi="ar-SA"/>
                    </w:rPr>
                  </w:pPr>
                  <w:r>
                    <w:rPr>
                      <w:rFonts w:hint="eastAsia" w:ascii="Times New Roman" w:hAnsi="Times New Roman" w:eastAsia="宋体" w:cs="Times New Roman"/>
                      <w:color w:val="auto"/>
                      <w:sz w:val="21"/>
                    </w:rPr>
                    <w:t>年平均</w:t>
                  </w:r>
                </w:p>
              </w:tc>
              <w:tc>
                <w:tcPr>
                  <w:tcW w:w="1302" w:type="pct"/>
                  <w:noWrap w:val="0"/>
                  <w:vAlign w:val="center"/>
                </w:tcPr>
                <w:p w14:paraId="50E93219">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val="0"/>
                      <w:iCs/>
                      <w:snapToGrid w:val="0"/>
                      <w:color w:val="auto"/>
                      <w:kern w:val="0"/>
                      <w:sz w:val="21"/>
                      <w:szCs w:val="21"/>
                      <w:lang w:val="en-US" w:eastAsia="zh-CN" w:bidi="ar-SA"/>
                    </w:rPr>
                  </w:pPr>
                  <w:r>
                    <w:rPr>
                      <w:rFonts w:hint="eastAsia" w:ascii="Times New Roman" w:hAnsi="Times New Roman" w:eastAsia="宋体" w:cs="Times New Roman"/>
                      <w:color w:val="auto"/>
                      <w:sz w:val="21"/>
                      <w:lang w:val="en-US" w:eastAsia="zh-CN"/>
                    </w:rPr>
                    <w:t>60</w:t>
                  </w:r>
                </w:p>
              </w:tc>
              <w:tc>
                <w:tcPr>
                  <w:tcW w:w="1294" w:type="pct"/>
                  <w:noWrap w:val="0"/>
                  <w:vAlign w:val="center"/>
                </w:tcPr>
                <w:p w14:paraId="72D3B7F5">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val="0"/>
                      <w:iCs/>
                      <w:snapToGrid w:val="0"/>
                      <w:color w:val="auto"/>
                      <w:kern w:val="0"/>
                      <w:sz w:val="21"/>
                      <w:szCs w:val="21"/>
                      <w:lang w:val="en-US" w:eastAsia="zh-CN" w:bidi="ar-SA"/>
                    </w:rPr>
                  </w:pPr>
                  <w:r>
                    <w:rPr>
                      <w:rFonts w:hint="eastAsia" w:ascii="Times New Roman" w:hAnsi="Times New Roman" w:eastAsia="宋体" w:cs="Times New Roman"/>
                      <w:color w:val="auto"/>
                      <w:sz w:val="21"/>
                      <w:lang w:val="en-US" w:eastAsia="zh-CN"/>
                    </w:rPr>
                    <w:t>50</w:t>
                  </w:r>
                </w:p>
              </w:tc>
            </w:tr>
            <w:tr w14:paraId="2D214B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6" w:type="pct"/>
                  <w:vMerge w:val="continue"/>
                  <w:noWrap w:val="0"/>
                  <w:vAlign w:val="center"/>
                </w:tcPr>
                <w:p w14:paraId="5A637A1D">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688" w:type="pct"/>
                  <w:vMerge w:val="continue"/>
                  <w:noWrap w:val="0"/>
                  <w:vAlign w:val="center"/>
                </w:tcPr>
                <w:p w14:paraId="518771CF">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838" w:type="pct"/>
                  <w:noWrap w:val="0"/>
                  <w:vAlign w:val="center"/>
                </w:tcPr>
                <w:p w14:paraId="1668BDD0">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val="0"/>
                      <w:iCs/>
                      <w:snapToGrid w:val="0"/>
                      <w:color w:val="auto"/>
                      <w:kern w:val="0"/>
                      <w:sz w:val="21"/>
                      <w:szCs w:val="21"/>
                      <w:lang w:val="en-US" w:eastAsia="zh-CN" w:bidi="ar-SA"/>
                    </w:rPr>
                  </w:pPr>
                  <w:r>
                    <w:rPr>
                      <w:rFonts w:hint="eastAsia" w:ascii="Times New Roman" w:hAnsi="Times New Roman" w:eastAsia="宋体" w:cs="Times New Roman"/>
                      <w:color w:val="auto"/>
                      <w:sz w:val="21"/>
                      <w:lang w:val="en-US" w:eastAsia="zh-CN"/>
                    </w:rPr>
                    <w:t>日</w:t>
                  </w:r>
                  <w:r>
                    <w:rPr>
                      <w:rFonts w:hint="eastAsia" w:ascii="Times New Roman" w:hAnsi="Times New Roman" w:eastAsia="宋体" w:cs="Times New Roman"/>
                      <w:color w:val="auto"/>
                      <w:sz w:val="21"/>
                    </w:rPr>
                    <w:t>平均</w:t>
                  </w:r>
                </w:p>
              </w:tc>
              <w:tc>
                <w:tcPr>
                  <w:tcW w:w="1302" w:type="pct"/>
                  <w:noWrap w:val="0"/>
                  <w:vAlign w:val="center"/>
                </w:tcPr>
                <w:p w14:paraId="23265265">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val="0"/>
                      <w:iCs/>
                      <w:snapToGrid w:val="0"/>
                      <w:color w:val="auto"/>
                      <w:kern w:val="0"/>
                      <w:sz w:val="21"/>
                      <w:szCs w:val="21"/>
                      <w:lang w:val="en-US" w:eastAsia="zh-CN" w:bidi="ar-SA"/>
                    </w:rPr>
                  </w:pPr>
                  <w:r>
                    <w:rPr>
                      <w:rFonts w:hint="default" w:ascii="Times New Roman" w:hAnsi="Times New Roman" w:eastAsia="宋体" w:cs="Times New Roman"/>
                      <w:color w:val="auto"/>
                      <w:sz w:val="21"/>
                    </w:rPr>
                    <w:t>1</w:t>
                  </w:r>
                  <w:r>
                    <w:rPr>
                      <w:rFonts w:hint="eastAsia" w:ascii="Times New Roman" w:hAnsi="Times New Roman" w:eastAsia="宋体" w:cs="Times New Roman"/>
                      <w:color w:val="auto"/>
                      <w:sz w:val="21"/>
                      <w:lang w:val="en-US" w:eastAsia="zh-CN"/>
                    </w:rPr>
                    <w:t>2</w:t>
                  </w:r>
                  <w:r>
                    <w:rPr>
                      <w:rFonts w:hint="default" w:ascii="Times New Roman" w:hAnsi="Times New Roman" w:eastAsia="宋体" w:cs="Times New Roman"/>
                      <w:color w:val="auto"/>
                      <w:sz w:val="21"/>
                    </w:rPr>
                    <w:t>0</w:t>
                  </w:r>
                </w:p>
              </w:tc>
              <w:tc>
                <w:tcPr>
                  <w:tcW w:w="1294" w:type="pct"/>
                  <w:noWrap w:val="0"/>
                  <w:vAlign w:val="center"/>
                </w:tcPr>
                <w:p w14:paraId="4B094C8D">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val="0"/>
                      <w:iCs/>
                      <w:snapToGrid w:val="0"/>
                      <w:color w:val="auto"/>
                      <w:kern w:val="0"/>
                      <w:sz w:val="21"/>
                      <w:szCs w:val="21"/>
                      <w:lang w:val="en-US" w:eastAsia="zh-CN" w:bidi="ar-SA"/>
                    </w:rPr>
                  </w:pPr>
                  <w:r>
                    <w:rPr>
                      <w:rFonts w:hint="default" w:ascii="Times New Roman" w:hAnsi="Times New Roman" w:eastAsia="宋体" w:cs="Times New Roman"/>
                      <w:color w:val="auto"/>
                      <w:sz w:val="21"/>
                    </w:rPr>
                    <w:t>1</w:t>
                  </w:r>
                  <w:r>
                    <w:rPr>
                      <w:rFonts w:hint="eastAsia" w:ascii="Times New Roman" w:hAnsi="Times New Roman" w:eastAsia="宋体" w:cs="Times New Roman"/>
                      <w:color w:val="auto"/>
                      <w:sz w:val="21"/>
                      <w:lang w:val="en-US" w:eastAsia="zh-CN"/>
                    </w:rPr>
                    <w:t>0</w:t>
                  </w:r>
                  <w:r>
                    <w:rPr>
                      <w:rFonts w:hint="default" w:ascii="Times New Roman" w:hAnsi="Times New Roman" w:eastAsia="宋体" w:cs="Times New Roman"/>
                      <w:color w:val="auto"/>
                      <w:sz w:val="21"/>
                    </w:rPr>
                    <w:t>0</w:t>
                  </w:r>
                </w:p>
              </w:tc>
            </w:tr>
            <w:tr w14:paraId="5044F3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6" w:type="pct"/>
                  <w:vMerge w:val="continue"/>
                  <w:noWrap w:val="0"/>
                  <w:vAlign w:val="center"/>
                </w:tcPr>
                <w:p w14:paraId="6806C810">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688" w:type="pct"/>
                  <w:vMerge w:val="restart"/>
                  <w:noWrap w:val="0"/>
                  <w:vAlign w:val="center"/>
                </w:tcPr>
                <w:p w14:paraId="59F6EB4B">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default" w:ascii="Times New Roman" w:hAnsi="Times New Roman" w:eastAsia="宋体" w:cs="Times New Roman"/>
                      <w:color w:val="auto"/>
                      <w:sz w:val="21"/>
                    </w:rPr>
                    <w:t>PM</w:t>
                  </w:r>
                  <w:r>
                    <w:rPr>
                      <w:rFonts w:hint="default" w:ascii="Times New Roman" w:hAnsi="Times New Roman" w:eastAsia="宋体" w:cs="Times New Roman"/>
                      <w:color w:val="auto"/>
                      <w:sz w:val="21"/>
                      <w:vertAlign w:val="subscript"/>
                    </w:rPr>
                    <w:t>2.5</w:t>
                  </w:r>
                </w:p>
              </w:tc>
              <w:tc>
                <w:tcPr>
                  <w:tcW w:w="838" w:type="pct"/>
                  <w:noWrap w:val="0"/>
                  <w:vAlign w:val="center"/>
                </w:tcPr>
                <w:p w14:paraId="2DA76EE5">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val="0"/>
                      <w:iCs/>
                      <w:snapToGrid w:val="0"/>
                      <w:color w:val="auto"/>
                      <w:kern w:val="0"/>
                      <w:sz w:val="21"/>
                      <w:szCs w:val="21"/>
                      <w:lang w:val="en-US" w:eastAsia="zh-CN" w:bidi="ar-SA"/>
                    </w:rPr>
                  </w:pPr>
                  <w:r>
                    <w:rPr>
                      <w:rFonts w:hint="eastAsia" w:ascii="Times New Roman" w:hAnsi="Times New Roman" w:eastAsia="宋体" w:cs="Times New Roman"/>
                      <w:color w:val="auto"/>
                      <w:sz w:val="21"/>
                    </w:rPr>
                    <w:t>年平均</w:t>
                  </w:r>
                </w:p>
              </w:tc>
              <w:tc>
                <w:tcPr>
                  <w:tcW w:w="1302" w:type="pct"/>
                  <w:noWrap w:val="0"/>
                  <w:vAlign w:val="center"/>
                </w:tcPr>
                <w:p w14:paraId="076D5291">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val="0"/>
                      <w:iCs/>
                      <w:snapToGrid w:val="0"/>
                      <w:color w:val="auto"/>
                      <w:kern w:val="0"/>
                      <w:sz w:val="21"/>
                      <w:szCs w:val="21"/>
                      <w:lang w:val="en-US" w:eastAsia="zh-CN" w:bidi="ar-SA"/>
                    </w:rPr>
                  </w:pPr>
                  <w:r>
                    <w:rPr>
                      <w:rFonts w:hint="eastAsia" w:ascii="Times New Roman" w:hAnsi="Times New Roman" w:eastAsia="宋体" w:cs="Times New Roman"/>
                      <w:color w:val="auto"/>
                      <w:sz w:val="21"/>
                      <w:lang w:val="en-US" w:eastAsia="zh-CN"/>
                    </w:rPr>
                    <w:t>30</w:t>
                  </w:r>
                </w:p>
              </w:tc>
              <w:tc>
                <w:tcPr>
                  <w:tcW w:w="1294" w:type="pct"/>
                  <w:noWrap w:val="0"/>
                  <w:vAlign w:val="center"/>
                </w:tcPr>
                <w:p w14:paraId="21DF6271">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val="0"/>
                      <w:iCs/>
                      <w:snapToGrid w:val="0"/>
                      <w:color w:val="auto"/>
                      <w:kern w:val="0"/>
                      <w:sz w:val="21"/>
                      <w:szCs w:val="21"/>
                      <w:lang w:val="en-US" w:eastAsia="zh-CN" w:bidi="ar-SA"/>
                    </w:rPr>
                  </w:pPr>
                  <w:r>
                    <w:rPr>
                      <w:rFonts w:hint="eastAsia" w:ascii="Times New Roman" w:hAnsi="Times New Roman" w:eastAsia="宋体" w:cs="Times New Roman"/>
                      <w:color w:val="auto"/>
                      <w:sz w:val="21"/>
                      <w:lang w:val="en-US" w:eastAsia="zh-CN"/>
                    </w:rPr>
                    <w:t>25</w:t>
                  </w:r>
                </w:p>
              </w:tc>
            </w:tr>
            <w:tr w14:paraId="23BD13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6" w:type="pct"/>
                  <w:vMerge w:val="continue"/>
                  <w:noWrap w:val="0"/>
                  <w:vAlign w:val="center"/>
                </w:tcPr>
                <w:p w14:paraId="2B43DBFC">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688" w:type="pct"/>
                  <w:vMerge w:val="continue"/>
                  <w:noWrap w:val="0"/>
                  <w:vAlign w:val="center"/>
                </w:tcPr>
                <w:p w14:paraId="0265303B">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838" w:type="pct"/>
                  <w:noWrap w:val="0"/>
                  <w:vAlign w:val="center"/>
                </w:tcPr>
                <w:p w14:paraId="56DC450D">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val="0"/>
                      <w:iCs/>
                      <w:snapToGrid w:val="0"/>
                      <w:color w:val="auto"/>
                      <w:kern w:val="0"/>
                      <w:sz w:val="21"/>
                      <w:szCs w:val="21"/>
                      <w:lang w:val="en-US" w:eastAsia="zh-CN" w:bidi="ar-SA"/>
                    </w:rPr>
                  </w:pPr>
                  <w:r>
                    <w:rPr>
                      <w:rFonts w:hint="eastAsia" w:ascii="Times New Roman" w:hAnsi="Times New Roman" w:eastAsia="宋体" w:cs="Times New Roman"/>
                      <w:color w:val="auto"/>
                      <w:sz w:val="21"/>
                      <w:lang w:val="en-US" w:eastAsia="zh-CN"/>
                    </w:rPr>
                    <w:t>日</w:t>
                  </w:r>
                  <w:r>
                    <w:rPr>
                      <w:rFonts w:hint="eastAsia" w:ascii="Times New Roman" w:hAnsi="Times New Roman" w:eastAsia="宋体" w:cs="Times New Roman"/>
                      <w:color w:val="auto"/>
                      <w:sz w:val="21"/>
                    </w:rPr>
                    <w:t>平均</w:t>
                  </w:r>
                </w:p>
              </w:tc>
              <w:tc>
                <w:tcPr>
                  <w:tcW w:w="1302" w:type="pct"/>
                  <w:noWrap w:val="0"/>
                  <w:vAlign w:val="center"/>
                </w:tcPr>
                <w:p w14:paraId="131D5B66">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b w:val="0"/>
                      <w:iCs/>
                      <w:snapToGrid w:val="0"/>
                      <w:color w:val="auto"/>
                      <w:kern w:val="0"/>
                      <w:sz w:val="21"/>
                      <w:szCs w:val="21"/>
                      <w:lang w:val="en-US" w:eastAsia="zh-CN" w:bidi="ar-SA"/>
                    </w:rPr>
                  </w:pPr>
                  <w:r>
                    <w:rPr>
                      <w:rFonts w:hint="eastAsia" w:ascii="Times New Roman" w:hAnsi="Times New Roman" w:eastAsia="宋体" w:cs="Times New Roman"/>
                      <w:color w:val="auto"/>
                      <w:sz w:val="21"/>
                      <w:lang w:val="en-US" w:eastAsia="zh-CN"/>
                    </w:rPr>
                    <w:t>60</w:t>
                  </w:r>
                </w:p>
              </w:tc>
              <w:tc>
                <w:tcPr>
                  <w:tcW w:w="1294" w:type="pct"/>
                  <w:noWrap w:val="0"/>
                  <w:vAlign w:val="center"/>
                </w:tcPr>
                <w:p w14:paraId="490BDFB8">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b w:val="0"/>
                      <w:iCs/>
                      <w:snapToGrid w:val="0"/>
                      <w:color w:val="auto"/>
                      <w:kern w:val="0"/>
                      <w:sz w:val="21"/>
                      <w:szCs w:val="21"/>
                      <w:lang w:val="en-US" w:eastAsia="zh-CN" w:bidi="ar-SA"/>
                    </w:rPr>
                  </w:pPr>
                  <w:r>
                    <w:rPr>
                      <w:rFonts w:hint="eastAsia" w:ascii="Times New Roman" w:hAnsi="Times New Roman" w:eastAsia="宋体" w:cs="Times New Roman"/>
                      <w:color w:val="auto"/>
                      <w:sz w:val="21"/>
                      <w:lang w:val="en-US" w:eastAsia="zh-CN"/>
                    </w:rPr>
                    <w:t>60</w:t>
                  </w:r>
                </w:p>
              </w:tc>
            </w:tr>
            <w:tr w14:paraId="390F6C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6" w:type="pct"/>
                  <w:vMerge w:val="continue"/>
                  <w:noWrap w:val="0"/>
                  <w:vAlign w:val="center"/>
                </w:tcPr>
                <w:p w14:paraId="1C92A472">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688" w:type="pct"/>
                  <w:vMerge w:val="restart"/>
                  <w:noWrap w:val="0"/>
                  <w:vAlign w:val="center"/>
                </w:tcPr>
                <w:p w14:paraId="6EC82FBD">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default" w:ascii="Times New Roman" w:hAnsi="Times New Roman" w:eastAsia="宋体" w:cs="Times New Roman"/>
                      <w:bCs/>
                      <w:color w:val="auto"/>
                      <w:sz w:val="21"/>
                      <w:szCs w:val="21"/>
                      <w:highlight w:val="none"/>
                      <w:lang w:eastAsia="zh-CN"/>
                    </w:rPr>
                    <w:t>TSP</w:t>
                  </w:r>
                </w:p>
              </w:tc>
              <w:tc>
                <w:tcPr>
                  <w:tcW w:w="838" w:type="pct"/>
                  <w:noWrap w:val="0"/>
                  <w:vAlign w:val="center"/>
                </w:tcPr>
                <w:p w14:paraId="775F0549">
                  <w:pPr>
                    <w:pStyle w:val="44"/>
                    <w:adjustRightInd w:val="0"/>
                    <w:snapToGrid w:val="0"/>
                    <w:spacing w:line="320" w:lineRule="exact"/>
                    <w:jc w:val="center"/>
                    <w:rPr>
                      <w:rFonts w:hint="eastAsia" w:ascii="Times New Roman" w:hAnsi="Times New Roman" w:eastAsia="宋体" w:cs="Times New Roman"/>
                      <w:color w:val="auto"/>
                      <w:sz w:val="21"/>
                    </w:rPr>
                  </w:pPr>
                  <w:r>
                    <w:rPr>
                      <w:rFonts w:hint="default" w:ascii="Times New Roman" w:hAnsi="Times New Roman" w:eastAsia="宋体" w:cs="Times New Roman"/>
                      <w:bCs/>
                      <w:color w:val="auto"/>
                      <w:sz w:val="21"/>
                      <w:szCs w:val="21"/>
                      <w:highlight w:val="none"/>
                      <w:lang w:eastAsia="zh-CN"/>
                    </w:rPr>
                    <w:t>年平均</w:t>
                  </w:r>
                </w:p>
              </w:tc>
              <w:tc>
                <w:tcPr>
                  <w:tcW w:w="2596" w:type="pct"/>
                  <w:gridSpan w:val="2"/>
                  <w:noWrap w:val="0"/>
                  <w:vAlign w:val="center"/>
                </w:tcPr>
                <w:p w14:paraId="7492838B">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200</w:t>
                  </w:r>
                </w:p>
              </w:tc>
            </w:tr>
            <w:tr w14:paraId="7E1BD2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876" w:type="pct"/>
                  <w:vMerge w:val="continue"/>
                  <w:noWrap w:val="0"/>
                  <w:vAlign w:val="center"/>
                </w:tcPr>
                <w:p w14:paraId="47015021">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ascii="Times New Roman" w:hAnsi="Times New Roman" w:eastAsia="宋体"/>
                      <w:color w:val="auto"/>
                    </w:rPr>
                  </w:pPr>
                </w:p>
              </w:tc>
              <w:tc>
                <w:tcPr>
                  <w:tcW w:w="688" w:type="pct"/>
                  <w:vMerge w:val="continue"/>
                  <w:noWrap w:val="0"/>
                  <w:vAlign w:val="center"/>
                </w:tcPr>
                <w:p w14:paraId="6CCA40B2">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ascii="Times New Roman" w:hAnsi="Times New Roman" w:eastAsia="宋体"/>
                      <w:color w:val="auto"/>
                    </w:rPr>
                  </w:pPr>
                </w:p>
              </w:tc>
              <w:tc>
                <w:tcPr>
                  <w:tcW w:w="838" w:type="pct"/>
                  <w:noWrap w:val="0"/>
                  <w:vAlign w:val="center"/>
                </w:tcPr>
                <w:p w14:paraId="0AC4A41D">
                  <w:pPr>
                    <w:pStyle w:val="44"/>
                    <w:adjustRightInd w:val="0"/>
                    <w:snapToGrid w:val="0"/>
                    <w:spacing w:line="320" w:lineRule="exact"/>
                    <w:jc w:val="center"/>
                    <w:rPr>
                      <w:rFonts w:hint="eastAsia" w:ascii="Times New Roman" w:hAnsi="Times New Roman" w:eastAsia="宋体" w:cs="Times New Roman"/>
                      <w:color w:val="auto"/>
                      <w:sz w:val="21"/>
                    </w:rPr>
                  </w:pPr>
                  <w:r>
                    <w:rPr>
                      <w:rFonts w:hint="default" w:ascii="Times New Roman" w:hAnsi="Times New Roman" w:eastAsia="宋体" w:cs="Times New Roman"/>
                      <w:bCs/>
                      <w:color w:val="auto"/>
                      <w:sz w:val="21"/>
                      <w:szCs w:val="21"/>
                      <w:highlight w:val="none"/>
                      <w:lang w:eastAsia="zh-CN"/>
                    </w:rPr>
                    <w:t>24小时平均</w:t>
                  </w:r>
                </w:p>
              </w:tc>
              <w:tc>
                <w:tcPr>
                  <w:tcW w:w="2596" w:type="pct"/>
                  <w:gridSpan w:val="2"/>
                  <w:noWrap w:val="0"/>
                  <w:vAlign w:val="center"/>
                </w:tcPr>
                <w:p w14:paraId="5F620536">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300</w:t>
                  </w:r>
                </w:p>
              </w:tc>
            </w:tr>
            <w:tr w14:paraId="25162E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6" w:type="pct"/>
                  <w:noWrap w:val="0"/>
                  <w:vAlign w:val="center"/>
                </w:tcPr>
                <w:p w14:paraId="17179F94">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《大气污染物综合排放标准详解》（国家环境保护局科技标准司）P244中的标准值</w:t>
                  </w:r>
                </w:p>
              </w:tc>
              <w:tc>
                <w:tcPr>
                  <w:tcW w:w="688" w:type="pct"/>
                  <w:noWrap w:val="0"/>
                  <w:vAlign w:val="center"/>
                </w:tcPr>
                <w:p w14:paraId="7CFD4C81">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非甲烷总烃</w:t>
                  </w:r>
                </w:p>
              </w:tc>
              <w:tc>
                <w:tcPr>
                  <w:tcW w:w="838" w:type="pct"/>
                  <w:noWrap w:val="0"/>
                  <w:vAlign w:val="center"/>
                </w:tcPr>
                <w:p w14:paraId="65642A48">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1小时平均</w:t>
                  </w:r>
                </w:p>
              </w:tc>
              <w:tc>
                <w:tcPr>
                  <w:tcW w:w="2596" w:type="pct"/>
                  <w:gridSpan w:val="2"/>
                  <w:noWrap w:val="0"/>
                  <w:vAlign w:val="center"/>
                </w:tcPr>
                <w:p w14:paraId="212E1000">
                  <w:pPr>
                    <w:pStyle w:val="33"/>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2.0mg/m</w:t>
                  </w:r>
                  <w:r>
                    <w:rPr>
                      <w:rFonts w:hint="eastAsia" w:ascii="Times New Roman" w:hAnsi="Times New Roman" w:eastAsia="宋体" w:cs="Times New Roman"/>
                      <w:color w:val="auto"/>
                      <w:sz w:val="21"/>
                      <w:vertAlign w:val="superscript"/>
                    </w:rPr>
                    <w:t>3</w:t>
                  </w:r>
                </w:p>
              </w:tc>
            </w:tr>
            <w:tr w14:paraId="4FC70C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5"/>
                  <w:noWrap w:val="0"/>
                  <w:vAlign w:val="center"/>
                </w:tcPr>
                <w:p w14:paraId="16E36CE5">
                  <w:pPr>
                    <w:pStyle w:val="33"/>
                    <w:keepNext w:val="0"/>
                    <w:keepLines w:val="0"/>
                    <w:pageBreakBefore w:val="0"/>
                    <w:widowControl/>
                    <w:kinsoku/>
                    <w:wordWrap/>
                    <w:overflowPunct/>
                    <w:topLinePunct w:val="0"/>
                    <w:autoSpaceDE/>
                    <w:autoSpaceDN/>
                    <w:bidi w:val="0"/>
                    <w:adjustRightInd/>
                    <w:snapToGrid/>
                    <w:ind w:left="0" w:firstLine="0" w:firstLineChars="0"/>
                    <w:jc w:val="left"/>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18"/>
                      <w:szCs w:val="18"/>
                    </w:rPr>
                    <w:t>注</w:t>
                  </w:r>
                  <w:r>
                    <w:rPr>
                      <w:rFonts w:hint="eastAsia" w:ascii="Times New Roman" w:hAnsi="Times New Roman" w:eastAsia="宋体" w:cs="Times New Roman"/>
                      <w:color w:val="auto"/>
                      <w:sz w:val="18"/>
                      <w:szCs w:val="18"/>
                      <w:lang w:eastAsia="zh-CN"/>
                    </w:rPr>
                    <w:t>：</w:t>
                  </w:r>
                  <w:r>
                    <w:rPr>
                      <w:rFonts w:hint="eastAsia" w:ascii="Times New Roman" w:hAnsi="Times New Roman" w:eastAsia="宋体" w:cs="Times New Roman"/>
                      <w:color w:val="auto"/>
                      <w:sz w:val="18"/>
                      <w:szCs w:val="18"/>
                      <w:lang w:val="en-US" w:eastAsia="zh-CN"/>
                    </w:rPr>
                    <w:t>根据《环境空气质量标准》（GB 3095-2026），</w:t>
                  </w:r>
                  <w:r>
                    <w:rPr>
                      <w:rFonts w:hint="eastAsia" w:ascii="Times New Roman" w:hAnsi="Times New Roman" w:eastAsia="宋体" w:cs="Times New Roman"/>
                      <w:color w:val="auto"/>
                      <w:sz w:val="18"/>
                      <w:szCs w:val="18"/>
                    </w:rPr>
                    <w:t>2026年3月1日</w:t>
                  </w:r>
                  <w:r>
                    <w:rPr>
                      <w:rFonts w:hint="eastAsia" w:ascii="Times New Roman" w:hAnsi="Times New Roman" w:eastAsia="宋体" w:cs="Times New Roman"/>
                      <w:color w:val="auto"/>
                      <w:sz w:val="18"/>
                      <w:szCs w:val="18"/>
                      <w:lang w:eastAsia="zh-CN"/>
                    </w:rPr>
                    <w:t>—</w:t>
                  </w:r>
                  <w:r>
                    <w:rPr>
                      <w:rFonts w:hint="eastAsia" w:ascii="Times New Roman" w:hAnsi="Times New Roman" w:eastAsia="宋体" w:cs="Times New Roman"/>
                      <w:color w:val="auto"/>
                      <w:sz w:val="18"/>
                      <w:szCs w:val="18"/>
                    </w:rPr>
                    <w:t>2030年12月31日环境空气污染物基本项目实施过渡阶段浓度限值</w:t>
                  </w:r>
                  <w:r>
                    <w:rPr>
                      <w:rFonts w:hint="eastAsia" w:ascii="Times New Roman" w:hAnsi="Times New Roman" w:eastAsia="宋体" w:cs="Times New Roman"/>
                      <w:color w:val="auto"/>
                      <w:sz w:val="18"/>
                      <w:szCs w:val="18"/>
                      <w:lang w:eastAsia="zh-CN"/>
                    </w:rPr>
                    <w:t>；</w:t>
                  </w:r>
                  <w:r>
                    <w:rPr>
                      <w:rFonts w:hint="eastAsia" w:ascii="Times New Roman" w:hAnsi="Times New Roman" w:eastAsia="宋体" w:cs="Times New Roman"/>
                      <w:color w:val="auto"/>
                      <w:sz w:val="18"/>
                      <w:szCs w:val="18"/>
                    </w:rPr>
                    <w:t>2031年1月1日起，在全国范围内实施基本项目浓度限值。</w:t>
                  </w:r>
                </w:p>
              </w:tc>
            </w:tr>
          </w:tbl>
          <w:p w14:paraId="2263EAAC">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36" w:name="_Toc14721"/>
            <w:r>
              <w:rPr>
                <w:rFonts w:hint="eastAsia" w:ascii="Times New Roman" w:hAnsi="Times New Roman" w:eastAsia="宋体" w:cs="Times New Roman"/>
                <w:b/>
                <w:color w:val="auto"/>
                <w:kern w:val="2"/>
                <w:sz w:val="24"/>
                <w:szCs w:val="24"/>
                <w:lang w:val="en-US" w:eastAsia="zh-CN" w:bidi="ar-SA"/>
              </w:rPr>
              <w:t>3.1.2区域大气</w:t>
            </w:r>
            <w:r>
              <w:rPr>
                <w:rFonts w:hint="eastAsia" w:cs="Times New Roman"/>
                <w:b/>
                <w:color w:val="auto"/>
                <w:kern w:val="2"/>
                <w:sz w:val="24"/>
                <w:szCs w:val="24"/>
                <w:lang w:val="en-US" w:eastAsia="zh-CN" w:bidi="ar-SA"/>
              </w:rPr>
              <w:t>环境</w:t>
            </w:r>
            <w:r>
              <w:rPr>
                <w:rFonts w:hint="eastAsia" w:ascii="Times New Roman" w:hAnsi="Times New Roman" w:eastAsia="宋体" w:cs="Times New Roman"/>
                <w:b/>
                <w:color w:val="auto"/>
                <w:kern w:val="2"/>
                <w:sz w:val="24"/>
                <w:szCs w:val="24"/>
                <w:lang w:val="en-US" w:eastAsia="zh-CN" w:bidi="ar-SA"/>
              </w:rPr>
              <w:t>质量现状</w:t>
            </w:r>
            <w:bookmarkEnd w:id="36"/>
          </w:p>
          <w:p w14:paraId="02135C5F">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（1）项目所在区域环境质量现状</w:t>
            </w:r>
          </w:p>
          <w:p w14:paraId="6255B163">
            <w:pPr>
              <w:spacing w:line="360" w:lineRule="auto"/>
              <w:ind w:firstLine="480" w:firstLineChars="200"/>
              <w:rPr>
                <w:rFonts w:hint="eastAsia" w:ascii="Times New Roman" w:hAnsi="Times New Roman" w:eastAsia="宋体"/>
                <w:bCs/>
                <w:color w:val="auto"/>
                <w:sz w:val="24"/>
                <w:lang w:eastAsia="zh-CN"/>
              </w:rPr>
            </w:pPr>
            <w:r>
              <w:rPr>
                <w:rFonts w:hint="default" w:ascii="Times New Roman" w:hAnsi="Times New Roman" w:cs="Calibri"/>
                <w:bCs/>
                <w:color w:val="auto"/>
                <w:sz w:val="24"/>
              </w:rPr>
              <w:t>①</w:t>
            </w:r>
            <w:r>
              <w:rPr>
                <w:rFonts w:hint="eastAsia" w:ascii="Times New Roman" w:hAnsi="Times New Roman"/>
                <w:bCs/>
                <w:color w:val="auto"/>
                <w:sz w:val="24"/>
              </w:rPr>
              <w:t>常规因子</w:t>
            </w:r>
            <w:r>
              <w:rPr>
                <w:rFonts w:hint="eastAsia" w:ascii="Times New Roman" w:hAnsi="Times New Roman"/>
                <w:bCs/>
                <w:color w:val="auto"/>
                <w:sz w:val="24"/>
                <w:lang w:eastAsia="zh-CN"/>
              </w:rPr>
              <w:t>现状调查</w:t>
            </w:r>
          </w:p>
          <w:p w14:paraId="6240B3B6">
            <w:pPr>
              <w:spacing w:line="360" w:lineRule="auto"/>
              <w:ind w:firstLine="480" w:firstLineChars="200"/>
              <w:rPr>
                <w:rFonts w:ascii="Times New Roman" w:hAnsi="Times New Roman"/>
                <w:bCs/>
                <w:color w:val="auto"/>
                <w:sz w:val="24"/>
              </w:rPr>
            </w:pPr>
            <w:r>
              <w:rPr>
                <w:rFonts w:hint="eastAsia"/>
                <w:bCs/>
                <w:color w:val="auto"/>
                <w:sz w:val="24"/>
              </w:rPr>
              <w:t>根据福建省生态</w:t>
            </w:r>
            <w:r>
              <w:rPr>
                <w:rFonts w:ascii="Times New Roman" w:hAnsi="Times New Roman"/>
                <w:bCs/>
                <w:color w:val="auto"/>
                <w:sz w:val="24"/>
              </w:rPr>
              <w:t>环境厅公布的《202</w:t>
            </w:r>
            <w:r>
              <w:rPr>
                <w:rFonts w:hint="eastAsia"/>
                <w:bCs/>
                <w:color w:val="auto"/>
                <w:sz w:val="24"/>
                <w:lang w:val="en-US" w:eastAsia="zh-CN"/>
              </w:rPr>
              <w:t>5</w:t>
            </w:r>
            <w:r>
              <w:rPr>
                <w:rFonts w:ascii="Times New Roman" w:hAnsi="Times New Roman"/>
                <w:bCs/>
                <w:color w:val="auto"/>
                <w:sz w:val="24"/>
              </w:rPr>
              <w:t>年12月福建省城市环境空气质量状况》，</w:t>
            </w:r>
            <w:r>
              <w:rPr>
                <w:rFonts w:hint="eastAsia" w:ascii="Times New Roman" w:hAnsi="Times New Roman"/>
                <w:bCs/>
                <w:color w:val="auto"/>
                <w:sz w:val="24"/>
              </w:rPr>
              <w:t>　1―12月，9个设区城市环境空气质量优良天数比例平均为98.4%，同比上升0.1个百分点。环境空气质量综合指数范围为2.19～2.84，首要污染物为臭氧。平潭综合实验区环境空气质量优良天数比例平均为99.5%，同比下降0.2个百分点；环境空气质量综合指数为1.94，首要污染物为臭氧，细颗粒物浓度为14</w:t>
            </w:r>
            <w:r>
              <w:rPr>
                <w:rFonts w:hint="default" w:ascii="Times New Roman" w:hAnsi="Times New Roman" w:cs="Times New Roman"/>
                <w:bCs/>
                <w:color w:val="auto"/>
                <w:sz w:val="24"/>
              </w:rPr>
              <w:t>μg/m</w:t>
            </w:r>
            <w:r>
              <w:rPr>
                <w:rFonts w:hint="default" w:ascii="Times New Roman" w:hAnsi="Times New Roman" w:cs="Times New Roman"/>
                <w:bCs/>
                <w:color w:val="auto"/>
                <w:sz w:val="24"/>
                <w:vertAlign w:val="superscript"/>
              </w:rPr>
              <w:t>3</w:t>
            </w:r>
            <w:r>
              <w:rPr>
                <w:rFonts w:ascii="Times New Roman" w:hAnsi="Times New Roman"/>
                <w:bCs/>
                <w:color w:val="auto"/>
                <w:sz w:val="24"/>
              </w:rPr>
              <w:t>。</w:t>
            </w:r>
          </w:p>
          <w:p w14:paraId="1F2DDD05">
            <w:pPr>
              <w:pStyle w:val="6"/>
              <w:spacing w:line="360" w:lineRule="auto"/>
              <w:ind w:firstLine="480" w:firstLineChars="200"/>
              <w:rPr>
                <w:rFonts w:hint="default" w:ascii="Times New Roman" w:hAnsi="Times New Roman" w:eastAsia="宋体" w:cs="Times New Roman"/>
                <w:bCs/>
                <w:color w:val="auto"/>
                <w:kern w:val="2"/>
                <w:sz w:val="24"/>
                <w:szCs w:val="24"/>
                <w:lang w:val="en-US" w:eastAsia="zh-CN" w:bidi="ar-SA"/>
              </w:rPr>
            </w:pPr>
            <w:r>
              <w:rPr>
                <w:rFonts w:hint="default" w:ascii="Times New Roman" w:hAnsi="Times New Roman" w:eastAsia="宋体" w:cs="Times New Roman"/>
                <w:bCs/>
                <w:color w:val="auto"/>
                <w:kern w:val="2"/>
                <w:sz w:val="24"/>
                <w:szCs w:val="24"/>
                <w:lang w:val="en-US" w:eastAsia="zh-CN" w:bidi="ar-SA"/>
              </w:rPr>
              <w:t>1-12月，58个县级城市环境空气质量优良天数比例平均为99.3%，同比下降0.1个百分点；环境空气质量综合指数范围为1.24～2.47，首要污染物为细颗粒物、臭氧。</w:t>
            </w:r>
          </w:p>
          <w:tbl>
            <w:tblPr>
              <w:tblStyle w:val="18"/>
              <w:tblW w:w="7974"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986"/>
            </w:tblGrid>
            <w:tr w14:paraId="43563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7974" w:type="dxa"/>
                </w:tcPr>
                <w:p w14:paraId="3B526F9F">
                  <w:pPr>
                    <w:pStyle w:val="55"/>
                    <w:spacing w:line="240" w:lineRule="auto"/>
                    <w:ind w:firstLine="0" w:firstLineChars="0"/>
                    <w:jc w:val="center"/>
                    <w:rPr>
                      <w:rFonts w:ascii="Times New Roman" w:hAnsi="Times New Roman" w:eastAsia="宋体" w:cs="Times New Roman"/>
                      <w:bCs/>
                      <w:color w:val="auto"/>
                      <w:sz w:val="21"/>
                      <w:szCs w:val="21"/>
                    </w:rPr>
                  </w:pPr>
                  <w:r>
                    <w:rPr>
                      <w:color w:val="auto"/>
                      <w:sz w:val="28"/>
                    </w:rPr>
                    <mc:AlternateContent>
                      <mc:Choice Requires="wps">
                        <w:drawing>
                          <wp:anchor distT="0" distB="0" distL="114300" distR="114300" simplePos="0" relativeHeight="251665408" behindDoc="0" locked="0" layoutInCell="1" allowOverlap="1">
                            <wp:simplePos x="0" y="0"/>
                            <wp:positionH relativeFrom="column">
                              <wp:posOffset>67945</wp:posOffset>
                            </wp:positionH>
                            <wp:positionV relativeFrom="paragraph">
                              <wp:posOffset>791845</wp:posOffset>
                            </wp:positionV>
                            <wp:extent cx="4791075" cy="209550"/>
                            <wp:effectExtent l="12700" t="12700" r="15875" b="25400"/>
                            <wp:wrapNone/>
                            <wp:docPr id="9" name="矩形 9"/>
                            <wp:cNvGraphicFramePr/>
                            <a:graphic xmlns:a="http://schemas.openxmlformats.org/drawingml/2006/main">
                              <a:graphicData uri="http://schemas.microsoft.com/office/word/2010/wordprocessingShape">
                                <wps:wsp>
                                  <wps:cNvSpPr/>
                                  <wps:spPr>
                                    <a:xfrm>
                                      <a:off x="1613535" y="4041775"/>
                                      <a:ext cx="4791075" cy="209550"/>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35pt;margin-top:62.35pt;height:16.5pt;width:377.25pt;z-index:251665408;v-text-anchor:middle;mso-width-relative:page;mso-height-relative:page;" filled="f" stroked="t" coordsize="21600,21600" o:gfxdata="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dPK6T2AAAAAoBAAAPAAAAAAAAAAEAIAAAACIAAABkcnMvZG93bnJldi54&#10;bWxQSwECFAAUAAAACACHTuJAe9M/o2wCAADABAAADgAAAAAAAAABACAAAAAnAQAAZHJzL2Uyb0Rv&#10;Yy54bWxQSwUGAAAAAAYABgBZAQAABQYAAAAA&#10;">
                            <v:fill on="f" focussize="0,0"/>
                            <v:stroke weight="2pt" color="#FF0000 [2404]" joinstyle="round"/>
                            <v:imagedata o:title=""/>
                            <o:lock v:ext="edit" aspectratio="f"/>
                          </v:rect>
                        </w:pict>
                      </mc:Fallback>
                    </mc:AlternateContent>
                  </w:r>
                  <w:r>
                    <w:rPr>
                      <w:color w:val="auto"/>
                    </w:rPr>
                    <w:drawing>
                      <wp:inline distT="0" distB="0" distL="114300" distR="114300">
                        <wp:extent cx="4925060" cy="4775200"/>
                        <wp:effectExtent l="0" t="0" r="8890" b="635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25"/>
                                <a:stretch>
                                  <a:fillRect/>
                                </a:stretch>
                              </pic:blipFill>
                              <pic:spPr>
                                <a:xfrm>
                                  <a:off x="0" y="0"/>
                                  <a:ext cx="4925060" cy="4775200"/>
                                </a:xfrm>
                                <a:prstGeom prst="rect">
                                  <a:avLst/>
                                </a:prstGeom>
                                <a:noFill/>
                                <a:ln>
                                  <a:noFill/>
                                </a:ln>
                              </pic:spPr>
                            </pic:pic>
                          </a:graphicData>
                        </a:graphic>
                      </wp:inline>
                    </w:drawing>
                  </w:r>
                </w:p>
              </w:tc>
            </w:tr>
            <w:tr w14:paraId="40D9C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2299327C">
                  <w:pPr>
                    <w:pStyle w:val="55"/>
                    <w:spacing w:line="240" w:lineRule="auto"/>
                    <w:ind w:firstLine="0" w:firstLineChars="0"/>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
                      <w:bCs/>
                      <w:color w:val="auto"/>
                      <w:kern w:val="2"/>
                      <w:sz w:val="21"/>
                      <w:szCs w:val="21"/>
                      <w:lang w:val="en-US" w:eastAsia="zh-CN" w:bidi="ar-SA"/>
                    </w:rPr>
                    <w:t>图3</w:t>
                  </w:r>
                  <w:r>
                    <w:rPr>
                      <w:rFonts w:hint="eastAsia" w:eastAsia="宋体" w:cs="Times New Roman"/>
                      <w:b/>
                      <w:bCs/>
                      <w:color w:val="auto"/>
                      <w:kern w:val="2"/>
                      <w:sz w:val="21"/>
                      <w:szCs w:val="21"/>
                      <w:lang w:val="en-US" w:eastAsia="zh-CN" w:bidi="ar-SA"/>
                    </w:rPr>
                    <w:t>.1</w:t>
                  </w:r>
                  <w:r>
                    <w:rPr>
                      <w:rFonts w:hint="eastAsia" w:ascii="Times New Roman" w:hAnsi="Times New Roman" w:eastAsia="宋体" w:cs="Times New Roman"/>
                      <w:b/>
                      <w:bCs/>
                      <w:color w:val="auto"/>
                      <w:kern w:val="2"/>
                      <w:sz w:val="21"/>
                      <w:szCs w:val="21"/>
                      <w:lang w:val="en-US" w:eastAsia="zh-CN" w:bidi="ar-SA"/>
                    </w:rPr>
                    <w:t>-1</w:t>
                  </w:r>
                  <w:r>
                    <w:rPr>
                      <w:rFonts w:hint="eastAsia" w:eastAsia="宋体" w:cs="Times New Roman"/>
                      <w:b/>
                      <w:bCs/>
                      <w:color w:val="auto"/>
                      <w:kern w:val="2"/>
                      <w:sz w:val="21"/>
                      <w:szCs w:val="21"/>
                      <w:lang w:val="en-US" w:eastAsia="zh-CN" w:bidi="ar-SA"/>
                    </w:rPr>
                    <w:t xml:space="preserve">  </w:t>
                  </w:r>
                  <w:r>
                    <w:rPr>
                      <w:rFonts w:hint="eastAsia" w:ascii="Times New Roman" w:hAnsi="Times New Roman" w:eastAsia="宋体" w:cs="Times New Roman"/>
                      <w:b/>
                      <w:bCs/>
                      <w:color w:val="auto"/>
                      <w:kern w:val="2"/>
                      <w:sz w:val="21"/>
                      <w:szCs w:val="21"/>
                      <w:lang w:val="en-US" w:eastAsia="zh-CN" w:bidi="ar-SA"/>
                    </w:rPr>
                    <w:t>福建省生态环境厅网站截图</w:t>
                  </w:r>
                </w:p>
              </w:tc>
            </w:tr>
          </w:tbl>
          <w:p w14:paraId="788396DA">
            <w:pPr>
              <w:pStyle w:val="57"/>
              <w:ind w:firstLine="480"/>
              <w:rPr>
                <w:rFonts w:ascii="Times New Roman" w:hAnsi="Times New Roman"/>
                <w:color w:val="auto"/>
              </w:rPr>
            </w:pPr>
            <w:r>
              <w:rPr>
                <w:rFonts w:ascii="Times New Roman" w:hAnsi="Times New Roman"/>
                <w:color w:val="auto"/>
              </w:rPr>
              <w:t>同时</w:t>
            </w:r>
            <w:r>
              <w:rPr>
                <w:rFonts w:ascii="Times New Roman" w:hAnsi="Times New Roman"/>
                <w:bCs w:val="0"/>
                <w:color w:val="auto"/>
              </w:rPr>
              <w:t>根据闽侯县人民政府公布的</w:t>
            </w:r>
            <w:r>
              <w:rPr>
                <w:rFonts w:ascii="Times New Roman" w:hAnsi="Times New Roman"/>
                <w:color w:val="auto"/>
              </w:rPr>
              <w:t>202</w:t>
            </w:r>
            <w:r>
              <w:rPr>
                <w:rFonts w:hint="eastAsia"/>
                <w:color w:val="auto"/>
                <w:lang w:val="en-US" w:eastAsia="zh-CN"/>
              </w:rPr>
              <w:t>5</w:t>
            </w:r>
            <w:r>
              <w:rPr>
                <w:rFonts w:ascii="Times New Roman" w:hAnsi="Times New Roman"/>
                <w:color w:val="auto"/>
              </w:rPr>
              <w:t>年1月</w:t>
            </w:r>
            <w:r>
              <w:rPr>
                <w:rFonts w:hint="eastAsia"/>
                <w:color w:val="auto"/>
                <w:lang w:eastAsia="zh-CN"/>
              </w:rPr>
              <w:t>～</w:t>
            </w:r>
            <w:r>
              <w:rPr>
                <w:rFonts w:ascii="Times New Roman" w:hAnsi="Times New Roman"/>
                <w:bCs w:val="0"/>
                <w:color w:val="auto"/>
              </w:rPr>
              <w:t>12月</w:t>
            </w:r>
            <w:r>
              <w:rPr>
                <w:rFonts w:ascii="Times New Roman" w:hAnsi="Times New Roman"/>
                <w:color w:val="auto"/>
              </w:rPr>
              <w:t>份</w:t>
            </w:r>
            <w:r>
              <w:rPr>
                <w:rFonts w:hint="eastAsia" w:ascii="Times New Roman" w:hAnsi="Times New Roman"/>
                <w:color w:val="auto"/>
              </w:rPr>
              <w:t>监测数据统计，</w:t>
            </w:r>
            <w:r>
              <w:rPr>
                <w:rFonts w:ascii="Times New Roman" w:hAnsi="Times New Roman"/>
                <w:bCs w:val="0"/>
                <w:color w:val="auto"/>
              </w:rPr>
              <w:t>闽侯县</w:t>
            </w:r>
            <w:r>
              <w:rPr>
                <w:rFonts w:ascii="Times New Roman" w:hAnsi="Times New Roman"/>
                <w:color w:val="auto"/>
              </w:rPr>
              <w:t>环境空气质量优，</w:t>
            </w:r>
            <w:r>
              <w:rPr>
                <w:rFonts w:hint="eastAsia"/>
                <w:color w:val="auto"/>
                <w:lang w:eastAsia="zh-CN"/>
              </w:rPr>
              <w:t>能够</w:t>
            </w:r>
            <w:r>
              <w:rPr>
                <w:rFonts w:ascii="Times New Roman" w:hAnsi="Times New Roman"/>
                <w:bCs w:val="0"/>
                <w:color w:val="auto"/>
              </w:rPr>
              <w:t>达到国家环境空气质量标准</w:t>
            </w:r>
            <w:r>
              <w:rPr>
                <w:rFonts w:hint="eastAsia" w:ascii="Times New Roman" w:hAnsi="Times New Roman"/>
                <w:bCs w:val="0"/>
                <w:color w:val="auto"/>
              </w:rPr>
              <w:t>（GB3095-2026）</w:t>
            </w:r>
            <w:r>
              <w:rPr>
                <w:rFonts w:hint="eastAsia" w:hAnsi="Times New Roman" w:cs="Times New Roman"/>
                <w:color w:val="auto"/>
                <w:sz w:val="24"/>
                <w:szCs w:val="20"/>
                <w:lang w:eastAsia="zh-CN"/>
              </w:rPr>
              <w:t>“过渡阶段浓度限值”</w:t>
            </w:r>
            <w:r>
              <w:rPr>
                <w:rFonts w:hint="eastAsia" w:hAnsi="Times New Roman" w:cs="Times New Roman"/>
                <w:color w:val="auto"/>
                <w:sz w:val="24"/>
                <w:szCs w:val="20"/>
              </w:rPr>
              <w:t>二级标准</w:t>
            </w:r>
            <w:r>
              <w:rPr>
                <w:rFonts w:ascii="Times New Roman" w:hAnsi="Times New Roman"/>
                <w:bCs w:val="0"/>
                <w:color w:val="auto"/>
              </w:rPr>
              <w:t>。</w:t>
            </w:r>
          </w:p>
          <w:tbl>
            <w:tblPr>
              <w:tblStyle w:val="18"/>
              <w:tblW w:w="7974"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986"/>
            </w:tblGrid>
            <w:tr w14:paraId="623A9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7974" w:type="dxa"/>
                </w:tcPr>
                <w:p w14:paraId="70E40A97">
                  <w:pPr>
                    <w:pStyle w:val="55"/>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17440" cy="1560195"/>
                        <wp:effectExtent l="0" t="0" r="16510" b="1905"/>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26"/>
                                <a:stretch>
                                  <a:fillRect/>
                                </a:stretch>
                              </pic:blipFill>
                              <pic:spPr>
                                <a:xfrm>
                                  <a:off x="0" y="0"/>
                                  <a:ext cx="4917440" cy="1560195"/>
                                </a:xfrm>
                                <a:prstGeom prst="rect">
                                  <a:avLst/>
                                </a:prstGeom>
                                <a:noFill/>
                                <a:ln>
                                  <a:noFill/>
                                </a:ln>
                              </pic:spPr>
                            </pic:pic>
                          </a:graphicData>
                        </a:graphic>
                      </wp:inline>
                    </w:drawing>
                  </w:r>
                </w:p>
              </w:tc>
            </w:tr>
            <w:tr w14:paraId="0DBB0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0B7AF873">
                  <w:pPr>
                    <w:pStyle w:val="55"/>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20615" cy="1500505"/>
                        <wp:effectExtent l="0" t="0" r="13335" b="4445"/>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27"/>
                                <a:stretch>
                                  <a:fillRect/>
                                </a:stretch>
                              </pic:blipFill>
                              <pic:spPr>
                                <a:xfrm>
                                  <a:off x="0" y="0"/>
                                  <a:ext cx="4920615" cy="1500505"/>
                                </a:xfrm>
                                <a:prstGeom prst="rect">
                                  <a:avLst/>
                                </a:prstGeom>
                                <a:noFill/>
                                <a:ln>
                                  <a:noFill/>
                                </a:ln>
                              </pic:spPr>
                            </pic:pic>
                          </a:graphicData>
                        </a:graphic>
                      </wp:inline>
                    </w:drawing>
                  </w:r>
                </w:p>
              </w:tc>
            </w:tr>
            <w:tr w14:paraId="00BD9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0E14BFAC">
                  <w:pPr>
                    <w:pStyle w:val="55"/>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18075" cy="1454785"/>
                        <wp:effectExtent l="0" t="0" r="15875" b="12065"/>
                        <wp:docPr id="3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8"/>
                                <pic:cNvPicPr>
                                  <a:picLocks noChangeAspect="1"/>
                                </pic:cNvPicPr>
                              </pic:nvPicPr>
                              <pic:blipFill>
                                <a:blip r:embed="rId28"/>
                                <a:stretch>
                                  <a:fillRect/>
                                </a:stretch>
                              </pic:blipFill>
                              <pic:spPr>
                                <a:xfrm>
                                  <a:off x="0" y="0"/>
                                  <a:ext cx="4918075" cy="1454785"/>
                                </a:xfrm>
                                <a:prstGeom prst="rect">
                                  <a:avLst/>
                                </a:prstGeom>
                                <a:noFill/>
                                <a:ln>
                                  <a:noFill/>
                                </a:ln>
                              </pic:spPr>
                            </pic:pic>
                          </a:graphicData>
                        </a:graphic>
                      </wp:inline>
                    </w:drawing>
                  </w:r>
                </w:p>
              </w:tc>
            </w:tr>
            <w:tr w14:paraId="1B75A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3AB68A8D">
                  <w:pPr>
                    <w:pStyle w:val="55"/>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13630" cy="1451610"/>
                        <wp:effectExtent l="0" t="0" r="1270" b="15240"/>
                        <wp:docPr id="6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9"/>
                                <pic:cNvPicPr>
                                  <a:picLocks noChangeAspect="1"/>
                                </pic:cNvPicPr>
                              </pic:nvPicPr>
                              <pic:blipFill>
                                <a:blip r:embed="rId29"/>
                                <a:stretch>
                                  <a:fillRect/>
                                </a:stretch>
                              </pic:blipFill>
                              <pic:spPr>
                                <a:xfrm>
                                  <a:off x="0" y="0"/>
                                  <a:ext cx="4913630" cy="1451610"/>
                                </a:xfrm>
                                <a:prstGeom prst="rect">
                                  <a:avLst/>
                                </a:prstGeom>
                                <a:noFill/>
                                <a:ln>
                                  <a:noFill/>
                                </a:ln>
                              </pic:spPr>
                            </pic:pic>
                          </a:graphicData>
                        </a:graphic>
                      </wp:inline>
                    </w:drawing>
                  </w:r>
                </w:p>
              </w:tc>
            </w:tr>
            <w:tr w14:paraId="594E0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39A8CE53">
                  <w:pPr>
                    <w:pStyle w:val="55"/>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21885" cy="1386205"/>
                        <wp:effectExtent l="0" t="0" r="12065" b="4445"/>
                        <wp:docPr id="16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0"/>
                                <pic:cNvPicPr>
                                  <a:picLocks noChangeAspect="1"/>
                                </pic:cNvPicPr>
                              </pic:nvPicPr>
                              <pic:blipFill>
                                <a:blip r:embed="rId30"/>
                                <a:stretch>
                                  <a:fillRect/>
                                </a:stretch>
                              </pic:blipFill>
                              <pic:spPr>
                                <a:xfrm>
                                  <a:off x="0" y="0"/>
                                  <a:ext cx="4921885" cy="1386205"/>
                                </a:xfrm>
                                <a:prstGeom prst="rect">
                                  <a:avLst/>
                                </a:prstGeom>
                                <a:noFill/>
                                <a:ln>
                                  <a:noFill/>
                                </a:ln>
                              </pic:spPr>
                            </pic:pic>
                          </a:graphicData>
                        </a:graphic>
                      </wp:inline>
                    </w:drawing>
                  </w:r>
                </w:p>
              </w:tc>
            </w:tr>
            <w:tr w14:paraId="40F1A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06B7FBDF">
                  <w:pPr>
                    <w:pStyle w:val="55"/>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19345" cy="1375410"/>
                        <wp:effectExtent l="0" t="0" r="14605" b="15240"/>
                        <wp:docPr id="17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1"/>
                                <pic:cNvPicPr>
                                  <a:picLocks noChangeAspect="1"/>
                                </pic:cNvPicPr>
                              </pic:nvPicPr>
                              <pic:blipFill>
                                <a:blip r:embed="rId31"/>
                                <a:stretch>
                                  <a:fillRect/>
                                </a:stretch>
                              </pic:blipFill>
                              <pic:spPr>
                                <a:xfrm>
                                  <a:off x="0" y="0"/>
                                  <a:ext cx="4919345" cy="1375410"/>
                                </a:xfrm>
                                <a:prstGeom prst="rect">
                                  <a:avLst/>
                                </a:prstGeom>
                                <a:noFill/>
                                <a:ln>
                                  <a:noFill/>
                                </a:ln>
                              </pic:spPr>
                            </pic:pic>
                          </a:graphicData>
                        </a:graphic>
                      </wp:inline>
                    </w:drawing>
                  </w:r>
                </w:p>
              </w:tc>
            </w:tr>
            <w:tr w14:paraId="513B0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004B1CE1">
                  <w:pPr>
                    <w:pStyle w:val="55"/>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23790" cy="1574165"/>
                        <wp:effectExtent l="0" t="0" r="10160" b="6985"/>
                        <wp:docPr id="17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2"/>
                                <pic:cNvPicPr>
                                  <a:picLocks noChangeAspect="1"/>
                                </pic:cNvPicPr>
                              </pic:nvPicPr>
                              <pic:blipFill>
                                <a:blip r:embed="rId32"/>
                                <a:stretch>
                                  <a:fillRect/>
                                </a:stretch>
                              </pic:blipFill>
                              <pic:spPr>
                                <a:xfrm>
                                  <a:off x="0" y="0"/>
                                  <a:ext cx="4923790" cy="1574165"/>
                                </a:xfrm>
                                <a:prstGeom prst="rect">
                                  <a:avLst/>
                                </a:prstGeom>
                                <a:noFill/>
                                <a:ln>
                                  <a:noFill/>
                                </a:ln>
                              </pic:spPr>
                            </pic:pic>
                          </a:graphicData>
                        </a:graphic>
                      </wp:inline>
                    </w:drawing>
                  </w:r>
                </w:p>
              </w:tc>
            </w:tr>
            <w:tr w14:paraId="3FF7C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443A3890">
                  <w:pPr>
                    <w:pStyle w:val="55"/>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16805" cy="1343025"/>
                        <wp:effectExtent l="0" t="0" r="17145" b="9525"/>
                        <wp:docPr id="17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3"/>
                                <pic:cNvPicPr>
                                  <a:picLocks noChangeAspect="1"/>
                                </pic:cNvPicPr>
                              </pic:nvPicPr>
                              <pic:blipFill>
                                <a:blip r:embed="rId33"/>
                                <a:stretch>
                                  <a:fillRect/>
                                </a:stretch>
                              </pic:blipFill>
                              <pic:spPr>
                                <a:xfrm>
                                  <a:off x="0" y="0"/>
                                  <a:ext cx="4916805" cy="1343025"/>
                                </a:xfrm>
                                <a:prstGeom prst="rect">
                                  <a:avLst/>
                                </a:prstGeom>
                                <a:noFill/>
                                <a:ln>
                                  <a:noFill/>
                                </a:ln>
                              </pic:spPr>
                            </pic:pic>
                          </a:graphicData>
                        </a:graphic>
                      </wp:inline>
                    </w:drawing>
                  </w:r>
                </w:p>
              </w:tc>
            </w:tr>
            <w:tr w14:paraId="6DAAE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7B91755D">
                  <w:pPr>
                    <w:pStyle w:val="55"/>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25695" cy="1461770"/>
                        <wp:effectExtent l="0" t="0" r="8255" b="5080"/>
                        <wp:docPr id="17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4"/>
                                <pic:cNvPicPr>
                                  <a:picLocks noChangeAspect="1"/>
                                </pic:cNvPicPr>
                              </pic:nvPicPr>
                              <pic:blipFill>
                                <a:blip r:embed="rId34"/>
                                <a:stretch>
                                  <a:fillRect/>
                                </a:stretch>
                              </pic:blipFill>
                              <pic:spPr>
                                <a:xfrm>
                                  <a:off x="0" y="0"/>
                                  <a:ext cx="4925695" cy="1461770"/>
                                </a:xfrm>
                                <a:prstGeom prst="rect">
                                  <a:avLst/>
                                </a:prstGeom>
                                <a:noFill/>
                                <a:ln>
                                  <a:noFill/>
                                </a:ln>
                              </pic:spPr>
                            </pic:pic>
                          </a:graphicData>
                        </a:graphic>
                      </wp:inline>
                    </w:drawing>
                  </w:r>
                </w:p>
              </w:tc>
            </w:tr>
            <w:tr w14:paraId="2A6C5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064AC1E1">
                  <w:pPr>
                    <w:pStyle w:val="55"/>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19345" cy="1486535"/>
                        <wp:effectExtent l="0" t="0" r="14605" b="18415"/>
                        <wp:docPr id="17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5"/>
                                <pic:cNvPicPr>
                                  <a:picLocks noChangeAspect="1"/>
                                </pic:cNvPicPr>
                              </pic:nvPicPr>
                              <pic:blipFill>
                                <a:blip r:embed="rId35"/>
                                <a:stretch>
                                  <a:fillRect/>
                                </a:stretch>
                              </pic:blipFill>
                              <pic:spPr>
                                <a:xfrm>
                                  <a:off x="0" y="0"/>
                                  <a:ext cx="4919345" cy="1486535"/>
                                </a:xfrm>
                                <a:prstGeom prst="rect">
                                  <a:avLst/>
                                </a:prstGeom>
                                <a:noFill/>
                                <a:ln>
                                  <a:noFill/>
                                </a:ln>
                              </pic:spPr>
                            </pic:pic>
                          </a:graphicData>
                        </a:graphic>
                      </wp:inline>
                    </w:drawing>
                  </w:r>
                </w:p>
              </w:tc>
            </w:tr>
            <w:tr w14:paraId="213F6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0FBA15A1">
                  <w:pPr>
                    <w:pStyle w:val="55"/>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16805" cy="1335405"/>
                        <wp:effectExtent l="0" t="0" r="17145" b="17145"/>
                        <wp:docPr id="17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6"/>
                                <pic:cNvPicPr>
                                  <a:picLocks noChangeAspect="1"/>
                                </pic:cNvPicPr>
                              </pic:nvPicPr>
                              <pic:blipFill>
                                <a:blip r:embed="rId36"/>
                                <a:stretch>
                                  <a:fillRect/>
                                </a:stretch>
                              </pic:blipFill>
                              <pic:spPr>
                                <a:xfrm>
                                  <a:off x="0" y="0"/>
                                  <a:ext cx="4916805" cy="1335405"/>
                                </a:xfrm>
                                <a:prstGeom prst="rect">
                                  <a:avLst/>
                                </a:prstGeom>
                                <a:noFill/>
                                <a:ln>
                                  <a:noFill/>
                                </a:ln>
                              </pic:spPr>
                            </pic:pic>
                          </a:graphicData>
                        </a:graphic>
                      </wp:inline>
                    </w:drawing>
                  </w:r>
                </w:p>
              </w:tc>
            </w:tr>
            <w:tr w14:paraId="2634C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19250515">
                  <w:pPr>
                    <w:pStyle w:val="55"/>
                    <w:spacing w:line="240" w:lineRule="auto"/>
                    <w:ind w:firstLine="0" w:firstLineChars="0"/>
                    <w:jc w:val="center"/>
                    <w:rPr>
                      <w:rFonts w:hint="eastAsia" w:ascii="Times New Roman" w:hAnsi="Times New Roman" w:eastAsia="宋体" w:cs="Times New Roman"/>
                      <w:color w:val="auto"/>
                      <w:sz w:val="21"/>
                      <w:szCs w:val="21"/>
                      <w:lang w:eastAsia="zh-CN"/>
                    </w:rPr>
                  </w:pPr>
                  <w:r>
                    <w:rPr>
                      <w:color w:val="auto"/>
                    </w:rPr>
                    <w:drawing>
                      <wp:inline distT="0" distB="0" distL="114300" distR="114300">
                        <wp:extent cx="4918075" cy="1433195"/>
                        <wp:effectExtent l="0" t="0" r="15875" b="14605"/>
                        <wp:docPr id="17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
                                <pic:cNvPicPr>
                                  <a:picLocks noChangeAspect="1"/>
                                </pic:cNvPicPr>
                              </pic:nvPicPr>
                              <pic:blipFill>
                                <a:blip r:embed="rId37"/>
                                <a:stretch>
                                  <a:fillRect/>
                                </a:stretch>
                              </pic:blipFill>
                              <pic:spPr>
                                <a:xfrm>
                                  <a:off x="0" y="0"/>
                                  <a:ext cx="4918075" cy="1433195"/>
                                </a:xfrm>
                                <a:prstGeom prst="rect">
                                  <a:avLst/>
                                </a:prstGeom>
                                <a:noFill/>
                                <a:ln>
                                  <a:noFill/>
                                </a:ln>
                              </pic:spPr>
                            </pic:pic>
                          </a:graphicData>
                        </a:graphic>
                      </wp:inline>
                    </w:drawing>
                  </w:r>
                </w:p>
              </w:tc>
            </w:tr>
            <w:tr w14:paraId="043FE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74" w:type="dxa"/>
                </w:tcPr>
                <w:p w14:paraId="2685CE0D">
                  <w:pPr>
                    <w:pStyle w:val="55"/>
                    <w:spacing w:line="240" w:lineRule="auto"/>
                    <w:ind w:firstLine="0" w:firstLineChars="0"/>
                    <w:jc w:val="center"/>
                    <w:rPr>
                      <w:rFonts w:hint="eastAsia" w:ascii="Times New Roman" w:hAnsi="Times New Roman" w:eastAsia="宋体" w:cs="Times New Roman"/>
                      <w:color w:val="auto"/>
                      <w:sz w:val="21"/>
                      <w:szCs w:val="21"/>
                      <w:lang w:eastAsia="zh-CN"/>
                    </w:rPr>
                  </w:pPr>
                  <w:r>
                    <w:rPr>
                      <w:rFonts w:hint="eastAsia" w:eastAsia="宋体"/>
                      <w:b/>
                      <w:bCs/>
                      <w:color w:val="auto"/>
                      <w:kern w:val="2"/>
                      <w:sz w:val="21"/>
                      <w:szCs w:val="21"/>
                      <w:lang w:eastAsia="zh-CN"/>
                    </w:rPr>
                    <w:t>图</w:t>
                  </w:r>
                  <w:r>
                    <w:rPr>
                      <w:rFonts w:hint="eastAsia" w:eastAsia="宋体"/>
                      <w:b/>
                      <w:bCs/>
                      <w:color w:val="auto"/>
                      <w:kern w:val="2"/>
                      <w:sz w:val="21"/>
                      <w:szCs w:val="21"/>
                      <w:lang w:val="en-US" w:eastAsia="zh-CN"/>
                    </w:rPr>
                    <w:t xml:space="preserve">3.1-2  </w:t>
                  </w:r>
                  <w:r>
                    <w:rPr>
                      <w:rFonts w:hint="eastAsia" w:eastAsia="宋体"/>
                      <w:b/>
                      <w:bCs/>
                      <w:color w:val="auto"/>
                      <w:kern w:val="2"/>
                      <w:sz w:val="21"/>
                      <w:szCs w:val="21"/>
                    </w:rPr>
                    <w:t>闽侯县人民政府网站摘录截图</w:t>
                  </w:r>
                </w:p>
              </w:tc>
            </w:tr>
          </w:tbl>
          <w:p w14:paraId="37E40FAC">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②特征污染物因子</w:t>
            </w:r>
          </w:p>
          <w:p w14:paraId="6C256D43">
            <w:pPr>
              <w:keepNext w:val="0"/>
              <w:keepLines w:val="0"/>
              <w:pageBreakBefore w:val="0"/>
              <w:widowControl/>
              <w:suppressLineNumbers w:val="0"/>
              <w:kinsoku/>
              <w:wordWrap/>
              <w:overflowPunct/>
              <w:topLinePunct w:val="0"/>
              <w:bidi w:val="0"/>
              <w:adjustRightInd/>
              <w:snapToGrid/>
              <w:spacing w:line="360" w:lineRule="auto"/>
              <w:ind w:firstLine="480" w:firstLineChars="200"/>
              <w:jc w:val="both"/>
              <w:textAlignment w:val="auto"/>
              <w:rPr>
                <w:rFonts w:hint="eastAsia" w:ascii="Times New Roman" w:hAnsi="Times New Roman" w:eastAsia="宋体" w:cs="Times New Roman"/>
                <w:color w:val="auto"/>
                <w:kern w:val="0"/>
                <w:sz w:val="24"/>
                <w:szCs w:val="24"/>
                <w:lang w:val="en-US" w:eastAsia="zh-CN" w:bidi="ar"/>
              </w:rPr>
            </w:pPr>
            <w:r>
              <w:rPr>
                <w:rFonts w:ascii="Times New Roman" w:hAnsi="Times New Roman" w:eastAsia="宋体" w:cs="宋体"/>
                <w:color w:val="auto"/>
                <w:kern w:val="0"/>
                <w:sz w:val="24"/>
                <w:szCs w:val="24"/>
                <w:lang w:val="en-US" w:eastAsia="zh-CN" w:bidi="ar"/>
              </w:rPr>
              <w:t>本项目大气特征污染物因子为非甲烷总烃、乙醚、乙醇、丙酮</w:t>
            </w:r>
            <w:r>
              <w:rPr>
                <w:rFonts w:hint="eastAsia" w:ascii="Times New Roman" w:hAnsi="Times New Roman" w:eastAsia="宋体" w:cs="宋体"/>
                <w:color w:val="auto"/>
                <w:kern w:val="0"/>
                <w:sz w:val="24"/>
                <w:szCs w:val="24"/>
                <w:lang w:val="en-US" w:eastAsia="zh-CN" w:bidi="ar"/>
              </w:rPr>
              <w:t>、颗粒物</w:t>
            </w:r>
            <w:r>
              <w:rPr>
                <w:rFonts w:ascii="Times New Roman" w:hAnsi="Times New Roman" w:eastAsia="宋体" w:cs="宋体"/>
                <w:color w:val="auto"/>
                <w:kern w:val="0"/>
                <w:sz w:val="24"/>
                <w:szCs w:val="24"/>
                <w:lang w:val="en-US" w:eastAsia="zh-CN" w:bidi="ar"/>
              </w:rPr>
              <w:t>。根据《建设项目环境影响报告表编制技术指南（污染影响类）（试行）》（环办环评〔2020〕33号）要求，应根据建设项目所在环境功能区、适用的国家及地方环境质量标准以及地方环境质量管理要求，评价大气环境质量现状达标情况。经核查，</w:t>
            </w:r>
            <w:r>
              <w:rPr>
                <w:rStyle w:val="20"/>
                <w:rFonts w:ascii="Times New Roman" w:hAnsi="Times New Roman" w:eastAsia="宋体" w:cs="宋体"/>
                <w:b/>
                <w:bCs/>
                <w:color w:val="auto"/>
                <w:kern w:val="0"/>
                <w:sz w:val="24"/>
                <w:szCs w:val="24"/>
                <w:lang w:val="en-US" w:eastAsia="zh-CN" w:bidi="ar"/>
              </w:rPr>
              <w:t>现行国家《环境空气质量标准》（GB 3095-20</w:t>
            </w:r>
            <w:r>
              <w:rPr>
                <w:rStyle w:val="20"/>
                <w:rFonts w:hint="eastAsia" w:ascii="Times New Roman" w:hAnsi="Times New Roman" w:eastAsia="宋体" w:cs="宋体"/>
                <w:b/>
                <w:bCs/>
                <w:color w:val="auto"/>
                <w:kern w:val="0"/>
                <w:sz w:val="24"/>
                <w:szCs w:val="24"/>
                <w:lang w:val="en-US" w:eastAsia="zh-CN" w:bidi="ar"/>
              </w:rPr>
              <w:t>26</w:t>
            </w:r>
            <w:r>
              <w:rPr>
                <w:rStyle w:val="20"/>
                <w:rFonts w:ascii="Times New Roman" w:hAnsi="Times New Roman" w:eastAsia="宋体" w:cs="宋体"/>
                <w:b/>
                <w:bCs/>
                <w:color w:val="auto"/>
                <w:kern w:val="0"/>
                <w:sz w:val="24"/>
                <w:szCs w:val="24"/>
                <w:lang w:val="en-US" w:eastAsia="zh-CN" w:bidi="ar"/>
              </w:rPr>
              <w:t>）及地方环境空气质量标准中，无非甲烷总烃、乙醚、乙醇、丙酮</w:t>
            </w:r>
            <w:r>
              <w:rPr>
                <w:rStyle w:val="20"/>
                <w:rFonts w:hint="eastAsia" w:cs="宋体"/>
                <w:b/>
                <w:bCs/>
                <w:color w:val="auto"/>
                <w:kern w:val="0"/>
                <w:sz w:val="24"/>
                <w:szCs w:val="24"/>
                <w:lang w:val="en-US" w:eastAsia="zh-CN" w:bidi="ar"/>
              </w:rPr>
              <w:t>、氨、硝酸雾</w:t>
            </w:r>
            <w:r>
              <w:rPr>
                <w:rStyle w:val="20"/>
                <w:rFonts w:ascii="Times New Roman" w:hAnsi="Times New Roman" w:eastAsia="宋体" w:cs="宋体"/>
                <w:b/>
                <w:bCs/>
                <w:color w:val="auto"/>
                <w:kern w:val="0"/>
                <w:sz w:val="24"/>
                <w:szCs w:val="24"/>
                <w:lang w:val="en-US" w:eastAsia="zh-CN" w:bidi="ar"/>
              </w:rPr>
              <w:t>的环境质量标准限值</w:t>
            </w:r>
            <w:r>
              <w:rPr>
                <w:rFonts w:ascii="Times New Roman" w:hAnsi="Times New Roman" w:eastAsia="宋体" w:cs="宋体"/>
                <w:color w:val="auto"/>
                <w:kern w:val="0"/>
                <w:sz w:val="24"/>
                <w:szCs w:val="24"/>
                <w:lang w:val="en-US" w:eastAsia="zh-CN" w:bidi="ar"/>
              </w:rPr>
              <w:t>，无对应的评价标准可执行。依据相关技术规范，</w:t>
            </w:r>
            <w:r>
              <w:rPr>
                <w:rStyle w:val="20"/>
                <w:rFonts w:ascii="Times New Roman" w:hAnsi="Times New Roman" w:eastAsia="宋体" w:cs="宋体"/>
                <w:b/>
                <w:bCs/>
                <w:color w:val="auto"/>
                <w:kern w:val="0"/>
                <w:sz w:val="24"/>
                <w:szCs w:val="24"/>
                <w:lang w:val="en-US" w:eastAsia="zh-CN" w:bidi="ar"/>
              </w:rPr>
              <w:t>无环境质量标准的污染物可不开展现状环境质量监测</w:t>
            </w:r>
            <w:r>
              <w:rPr>
                <w:rFonts w:ascii="Times New Roman" w:hAnsi="Times New Roman" w:eastAsia="宋体" w:cs="宋体"/>
                <w:color w:val="auto"/>
                <w:kern w:val="0"/>
                <w:sz w:val="24"/>
                <w:szCs w:val="24"/>
                <w:lang w:val="en-US" w:eastAsia="zh-CN" w:bidi="ar"/>
              </w:rPr>
              <w:t>，本次评价不对上述</w:t>
            </w:r>
            <w:r>
              <w:rPr>
                <w:rFonts w:hint="eastAsia" w:ascii="Times New Roman" w:hAnsi="Times New Roman" w:eastAsia="宋体" w:cs="宋体"/>
                <w:color w:val="auto"/>
                <w:kern w:val="0"/>
                <w:sz w:val="24"/>
                <w:szCs w:val="24"/>
                <w:lang w:val="en-US" w:eastAsia="zh-CN" w:bidi="ar"/>
              </w:rPr>
              <w:t>这些</w:t>
            </w:r>
            <w:r>
              <w:rPr>
                <w:rFonts w:ascii="Times New Roman" w:hAnsi="Times New Roman" w:eastAsia="宋体" w:cs="宋体"/>
                <w:color w:val="auto"/>
                <w:kern w:val="0"/>
                <w:sz w:val="24"/>
                <w:szCs w:val="24"/>
                <w:lang w:val="en-US" w:eastAsia="zh-CN" w:bidi="ar"/>
              </w:rPr>
              <w:t>特征污染物进行现状监测</w:t>
            </w:r>
            <w:r>
              <w:rPr>
                <w:rFonts w:hint="eastAsia" w:ascii="Times New Roman" w:hAnsi="Times New Roman" w:eastAsia="宋体" w:cs="宋体"/>
                <w:color w:val="auto"/>
                <w:kern w:val="0"/>
                <w:sz w:val="24"/>
                <w:szCs w:val="24"/>
                <w:lang w:val="en-US" w:eastAsia="zh-CN" w:bidi="ar"/>
              </w:rPr>
              <w:t>；因此本次评价</w:t>
            </w:r>
            <w:r>
              <w:rPr>
                <w:rFonts w:hint="default" w:ascii="Times New Roman" w:hAnsi="Times New Roman" w:eastAsia="宋体" w:cs="Times New Roman"/>
                <w:color w:val="auto"/>
                <w:kern w:val="0"/>
                <w:sz w:val="24"/>
                <w:szCs w:val="24"/>
                <w:lang w:val="en-US" w:eastAsia="zh-CN" w:bidi="ar"/>
              </w:rPr>
              <w:t>确定项目大气环境现状调查因子为颗粒物</w:t>
            </w:r>
            <w:r>
              <w:rPr>
                <w:rFonts w:hint="eastAsia" w:ascii="Times New Roman" w:hAnsi="Times New Roman" w:eastAsia="宋体" w:cs="Times New Roman"/>
                <w:color w:val="auto"/>
                <w:kern w:val="0"/>
                <w:sz w:val="24"/>
                <w:szCs w:val="24"/>
                <w:lang w:val="en-US" w:eastAsia="zh-CN" w:bidi="ar"/>
              </w:rPr>
              <w:t>。为了解项目所在区域环境空气中颗粒物情况，本次评价引用</w:t>
            </w:r>
            <w:r>
              <w:rPr>
                <w:rFonts w:hint="eastAsia" w:cs="Times New Roman"/>
                <w:b/>
                <w:color w:val="auto"/>
                <w:kern w:val="0"/>
                <w:sz w:val="24"/>
                <w:szCs w:val="20"/>
                <w:lang w:val="en-US" w:eastAsia="zh-CN" w:bidi="ar-SA"/>
              </w:rPr>
              <w:t>（涉密）</w:t>
            </w:r>
            <w:r>
              <w:rPr>
                <w:rFonts w:hint="eastAsia" w:ascii="Times New Roman" w:hAnsi="Times New Roman" w:eastAsia="宋体" w:cs="Times New Roman"/>
                <w:color w:val="auto"/>
                <w:kern w:val="0"/>
                <w:sz w:val="24"/>
                <w:szCs w:val="24"/>
                <w:lang w:val="en-US" w:eastAsia="zh-CN" w:bidi="ar"/>
              </w:rPr>
              <w:t>现状监测报告，监测结果见表3.1-</w:t>
            </w:r>
            <w:r>
              <w:rPr>
                <w:rFonts w:hint="eastAsia" w:cs="Times New Roman"/>
                <w:color w:val="auto"/>
                <w:kern w:val="0"/>
                <w:sz w:val="24"/>
                <w:szCs w:val="24"/>
                <w:lang w:val="en-US" w:eastAsia="zh-CN" w:bidi="ar"/>
              </w:rPr>
              <w:t>2</w:t>
            </w:r>
            <w:r>
              <w:rPr>
                <w:rFonts w:hint="eastAsia" w:ascii="Times New Roman" w:hAnsi="Times New Roman" w:eastAsia="宋体" w:cs="Times New Roman"/>
                <w:color w:val="auto"/>
                <w:kern w:val="0"/>
                <w:sz w:val="24"/>
                <w:szCs w:val="24"/>
                <w:lang w:val="en-US" w:eastAsia="zh-CN" w:bidi="ar"/>
              </w:rPr>
              <w:t>，检测报告见附件二十。</w:t>
            </w:r>
          </w:p>
          <w:p w14:paraId="13942905">
            <w:pPr>
              <w:widowControl w:val="0"/>
              <w:spacing w:line="240" w:lineRule="auto"/>
              <w:ind w:firstLine="0" w:firstLineChars="0"/>
              <w:jc w:val="center"/>
              <w:outlineLvl w:val="2"/>
              <w:rPr>
                <w:rFonts w:hint="default" w:ascii="Times New Roman" w:hAnsi="Times New Roman" w:eastAsia="宋体" w:cs="Times New Roman"/>
                <w:b/>
                <w:color w:val="auto"/>
                <w:kern w:val="0"/>
                <w:sz w:val="24"/>
                <w:szCs w:val="20"/>
                <w:lang w:val="en-US" w:eastAsia="zh-CN" w:bidi="ar-SA"/>
              </w:rPr>
            </w:pPr>
            <w:bookmarkStart w:id="37" w:name="_Toc1942"/>
            <w:bookmarkStart w:id="38" w:name="_Toc14791"/>
            <w:bookmarkStart w:id="39" w:name="_Toc20468"/>
            <w:r>
              <w:rPr>
                <w:rFonts w:hint="eastAsia" w:ascii="Times New Roman" w:hAnsi="Times New Roman" w:eastAsia="宋体" w:cs="Times New Roman"/>
                <w:b/>
                <w:color w:val="auto"/>
                <w:kern w:val="0"/>
                <w:sz w:val="24"/>
                <w:szCs w:val="20"/>
                <w:lang w:val="en-US" w:eastAsia="zh-CN" w:bidi="ar-SA"/>
              </w:rPr>
              <w:t>表</w:t>
            </w:r>
            <w:r>
              <w:rPr>
                <w:rFonts w:hint="default" w:ascii="Times New Roman" w:hAnsi="Times New Roman" w:eastAsia="宋体" w:cs="Times New Roman"/>
                <w:b/>
                <w:color w:val="auto"/>
                <w:kern w:val="0"/>
                <w:sz w:val="24"/>
                <w:szCs w:val="20"/>
                <w:lang w:val="en-US" w:eastAsia="zh-CN" w:bidi="ar-SA"/>
              </w:rPr>
              <w:t>3</w:t>
            </w:r>
            <w:r>
              <w:rPr>
                <w:rFonts w:hint="eastAsia" w:ascii="Times New Roman" w:hAnsi="Times New Roman" w:eastAsia="宋体" w:cs="Times New Roman"/>
                <w:b/>
                <w:color w:val="auto"/>
                <w:kern w:val="0"/>
                <w:sz w:val="24"/>
                <w:szCs w:val="20"/>
                <w:lang w:val="en-US" w:eastAsia="zh-CN" w:bidi="ar-SA"/>
              </w:rPr>
              <w:t>.1-</w:t>
            </w:r>
            <w:r>
              <w:rPr>
                <w:rFonts w:hint="eastAsia" w:cs="Times New Roman"/>
                <w:b/>
                <w:color w:val="auto"/>
                <w:kern w:val="0"/>
                <w:sz w:val="24"/>
                <w:szCs w:val="20"/>
                <w:lang w:val="en-US" w:eastAsia="zh-CN" w:bidi="ar-SA"/>
              </w:rPr>
              <w:t>2</w:t>
            </w:r>
            <w:r>
              <w:rPr>
                <w:rFonts w:hint="default" w:ascii="Times New Roman" w:hAnsi="Times New Roman" w:eastAsia="宋体" w:cs="Times New Roman"/>
                <w:b/>
                <w:color w:val="auto"/>
                <w:kern w:val="0"/>
                <w:sz w:val="24"/>
                <w:szCs w:val="20"/>
                <w:lang w:val="en-US" w:eastAsia="zh-CN" w:bidi="ar-SA"/>
              </w:rPr>
              <w:t xml:space="preserve"> </w:t>
            </w:r>
            <w:r>
              <w:rPr>
                <w:rFonts w:hint="eastAsia" w:ascii="Times New Roman" w:hAnsi="Times New Roman" w:eastAsia="宋体" w:cs="Times New Roman"/>
                <w:b/>
                <w:color w:val="auto"/>
                <w:kern w:val="0"/>
                <w:sz w:val="24"/>
                <w:szCs w:val="20"/>
                <w:lang w:val="en-US" w:eastAsia="zh-CN" w:bidi="ar-SA"/>
              </w:rPr>
              <w:t xml:space="preserve"> 颗粒物现状情况一览表</w:t>
            </w:r>
            <w:bookmarkEnd w:id="37"/>
            <w:bookmarkEnd w:id="38"/>
            <w:bookmarkEnd w:id="39"/>
            <w:r>
              <w:rPr>
                <w:rFonts w:hint="eastAsia" w:cs="Times New Roman"/>
                <w:b/>
                <w:color w:val="auto"/>
                <w:kern w:val="0"/>
                <w:sz w:val="24"/>
                <w:szCs w:val="20"/>
                <w:lang w:val="en-US" w:eastAsia="zh-CN" w:bidi="ar-SA"/>
              </w:rPr>
              <w:t>（涉密）</w:t>
            </w:r>
          </w:p>
          <w:tbl>
            <w:tblPr>
              <w:tblStyle w:val="17"/>
              <w:tblW w:w="845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74"/>
              <w:gridCol w:w="1679"/>
              <w:gridCol w:w="2807"/>
              <w:gridCol w:w="1591"/>
              <w:gridCol w:w="1206"/>
            </w:tblGrid>
            <w:tr w14:paraId="07695F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174" w:type="dxa"/>
                  <w:noWrap w:val="0"/>
                  <w:vAlign w:val="center"/>
                </w:tcPr>
                <w:p w14:paraId="21A40245">
                  <w:pPr>
                    <w:pStyle w:val="3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检测点位</w:t>
                  </w:r>
                </w:p>
              </w:tc>
              <w:tc>
                <w:tcPr>
                  <w:tcW w:w="1679" w:type="dxa"/>
                  <w:noWrap w:val="0"/>
                  <w:vAlign w:val="center"/>
                </w:tcPr>
                <w:p w14:paraId="28926905">
                  <w:pPr>
                    <w:pStyle w:val="3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检测项目</w:t>
                  </w:r>
                </w:p>
              </w:tc>
              <w:tc>
                <w:tcPr>
                  <w:tcW w:w="2807" w:type="dxa"/>
                  <w:noWrap w:val="0"/>
                  <w:vAlign w:val="center"/>
                </w:tcPr>
                <w:p w14:paraId="52442342">
                  <w:pPr>
                    <w:pStyle w:val="3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采样日期</w:t>
                  </w:r>
                </w:p>
              </w:tc>
              <w:tc>
                <w:tcPr>
                  <w:tcW w:w="1591" w:type="dxa"/>
                  <w:noWrap w:val="0"/>
                  <w:vAlign w:val="center"/>
                </w:tcPr>
                <w:p w14:paraId="0D740DF2">
                  <w:pPr>
                    <w:pStyle w:val="3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检测结果</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日均值</w:t>
                  </w:r>
                  <w:r>
                    <w:rPr>
                      <w:rFonts w:hint="eastAsia" w:ascii="Times New Roman" w:hAnsi="Times New Roman" w:eastAsia="宋体" w:cs="Times New Roman"/>
                      <w:color w:val="auto"/>
                      <w:sz w:val="21"/>
                      <w:szCs w:val="21"/>
                      <w:highlight w:val="none"/>
                      <w:lang w:eastAsia="zh-CN"/>
                    </w:rPr>
                    <w:t>）</w:t>
                  </w:r>
                </w:p>
              </w:tc>
              <w:tc>
                <w:tcPr>
                  <w:tcW w:w="1206" w:type="dxa"/>
                  <w:tcBorders>
                    <w:right w:val="nil"/>
                  </w:tcBorders>
                  <w:noWrap w:val="0"/>
                  <w:vAlign w:val="center"/>
                </w:tcPr>
                <w:p w14:paraId="6C7F65E8">
                  <w:pPr>
                    <w:pStyle w:val="3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单位</w:t>
                  </w:r>
                </w:p>
              </w:tc>
            </w:tr>
            <w:tr w14:paraId="731A8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74" w:type="dxa"/>
                  <w:vMerge w:val="restart"/>
                  <w:tcBorders>
                    <w:left w:val="nil"/>
                  </w:tcBorders>
                  <w:noWrap w:val="0"/>
                  <w:vAlign w:val="center"/>
                </w:tcPr>
                <w:p w14:paraId="7A60C60F">
                  <w:pPr>
                    <w:pStyle w:val="3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p>
              </w:tc>
              <w:tc>
                <w:tcPr>
                  <w:tcW w:w="1679" w:type="dxa"/>
                  <w:vMerge w:val="restart"/>
                  <w:noWrap w:val="0"/>
                  <w:vAlign w:val="center"/>
                </w:tcPr>
                <w:p w14:paraId="69C5AD06">
                  <w:pPr>
                    <w:pStyle w:val="3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p>
              </w:tc>
              <w:tc>
                <w:tcPr>
                  <w:tcW w:w="2807" w:type="dxa"/>
                  <w:noWrap w:val="0"/>
                  <w:vAlign w:val="center"/>
                </w:tcPr>
                <w:p w14:paraId="679CBADE">
                  <w:pPr>
                    <w:pStyle w:val="3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p>
              </w:tc>
              <w:tc>
                <w:tcPr>
                  <w:tcW w:w="1591" w:type="dxa"/>
                  <w:noWrap w:val="0"/>
                  <w:vAlign w:val="center"/>
                </w:tcPr>
                <w:p w14:paraId="0FB2F7EF">
                  <w:pPr>
                    <w:pStyle w:val="3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p>
              </w:tc>
              <w:tc>
                <w:tcPr>
                  <w:tcW w:w="1206" w:type="dxa"/>
                  <w:vMerge w:val="restart"/>
                  <w:tcBorders>
                    <w:right w:val="nil"/>
                  </w:tcBorders>
                  <w:noWrap w:val="0"/>
                  <w:vAlign w:val="center"/>
                </w:tcPr>
                <w:p w14:paraId="489CAC6E">
                  <w:pPr>
                    <w:pStyle w:val="3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rPr>
                    <w:t>mg/m</w:t>
                  </w:r>
                  <w:r>
                    <w:rPr>
                      <w:rFonts w:hint="eastAsia" w:ascii="Times New Roman" w:hAnsi="Times New Roman" w:eastAsia="宋体" w:cs="Times New Roman"/>
                      <w:color w:val="auto"/>
                      <w:sz w:val="21"/>
                      <w:szCs w:val="21"/>
                      <w:highlight w:val="none"/>
                      <w:vertAlign w:val="superscript"/>
                    </w:rPr>
                    <w:t>3</w:t>
                  </w:r>
                </w:p>
              </w:tc>
            </w:tr>
            <w:tr w14:paraId="0AE7C2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74" w:type="dxa"/>
                  <w:vMerge w:val="continue"/>
                  <w:tcBorders>
                    <w:left w:val="nil"/>
                  </w:tcBorders>
                  <w:noWrap w:val="0"/>
                  <w:vAlign w:val="center"/>
                </w:tcPr>
                <w:p w14:paraId="2975CDD6">
                  <w:pPr>
                    <w:pStyle w:val="3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p>
              </w:tc>
              <w:tc>
                <w:tcPr>
                  <w:tcW w:w="1679" w:type="dxa"/>
                  <w:vMerge w:val="continue"/>
                  <w:noWrap w:val="0"/>
                  <w:vAlign w:val="center"/>
                </w:tcPr>
                <w:p w14:paraId="2980CEC1">
                  <w:pPr>
                    <w:pStyle w:val="3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p>
              </w:tc>
              <w:tc>
                <w:tcPr>
                  <w:tcW w:w="2807" w:type="dxa"/>
                  <w:noWrap w:val="0"/>
                  <w:vAlign w:val="center"/>
                </w:tcPr>
                <w:p w14:paraId="4679BEEA">
                  <w:pPr>
                    <w:pStyle w:val="3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p>
              </w:tc>
              <w:tc>
                <w:tcPr>
                  <w:tcW w:w="1591" w:type="dxa"/>
                  <w:noWrap w:val="0"/>
                  <w:vAlign w:val="center"/>
                </w:tcPr>
                <w:p w14:paraId="213A9AF6">
                  <w:pPr>
                    <w:pStyle w:val="3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p>
              </w:tc>
              <w:tc>
                <w:tcPr>
                  <w:tcW w:w="1206" w:type="dxa"/>
                  <w:vMerge w:val="continue"/>
                  <w:tcBorders>
                    <w:right w:val="nil"/>
                  </w:tcBorders>
                  <w:noWrap w:val="0"/>
                  <w:vAlign w:val="center"/>
                </w:tcPr>
                <w:p w14:paraId="665369C3">
                  <w:pPr>
                    <w:pStyle w:val="3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p>
              </w:tc>
            </w:tr>
            <w:tr w14:paraId="324F55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74" w:type="dxa"/>
                  <w:vMerge w:val="continue"/>
                  <w:tcBorders>
                    <w:left w:val="nil"/>
                  </w:tcBorders>
                  <w:noWrap w:val="0"/>
                  <w:vAlign w:val="center"/>
                </w:tcPr>
                <w:p w14:paraId="5F76D779">
                  <w:pPr>
                    <w:pStyle w:val="3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p>
              </w:tc>
              <w:tc>
                <w:tcPr>
                  <w:tcW w:w="1679" w:type="dxa"/>
                  <w:vMerge w:val="continue"/>
                  <w:noWrap w:val="0"/>
                  <w:vAlign w:val="center"/>
                </w:tcPr>
                <w:p w14:paraId="082FD871">
                  <w:pPr>
                    <w:pStyle w:val="3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p>
              </w:tc>
              <w:tc>
                <w:tcPr>
                  <w:tcW w:w="2807" w:type="dxa"/>
                  <w:noWrap w:val="0"/>
                  <w:vAlign w:val="center"/>
                </w:tcPr>
                <w:p w14:paraId="4B2F594A">
                  <w:pPr>
                    <w:pStyle w:val="3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p>
              </w:tc>
              <w:tc>
                <w:tcPr>
                  <w:tcW w:w="1591" w:type="dxa"/>
                  <w:noWrap w:val="0"/>
                  <w:vAlign w:val="center"/>
                </w:tcPr>
                <w:p w14:paraId="1898019E">
                  <w:pPr>
                    <w:pStyle w:val="3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p>
              </w:tc>
              <w:tc>
                <w:tcPr>
                  <w:tcW w:w="1206" w:type="dxa"/>
                  <w:vMerge w:val="continue"/>
                  <w:tcBorders>
                    <w:right w:val="nil"/>
                  </w:tcBorders>
                  <w:noWrap w:val="0"/>
                  <w:vAlign w:val="center"/>
                </w:tcPr>
                <w:p w14:paraId="54D63C8F">
                  <w:pPr>
                    <w:pStyle w:val="3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p>
              </w:tc>
            </w:tr>
          </w:tbl>
          <w:p w14:paraId="59DF7630">
            <w:pPr>
              <w:keepLines w:val="0"/>
              <w:pageBreakBefore w:val="0"/>
              <w:numPr>
                <w:ilvl w:val="0"/>
                <w:numId w:val="0"/>
              </w:numPr>
              <w:kinsoku/>
              <w:wordWrap/>
              <w:topLinePunct w:val="0"/>
              <w:autoSpaceDE/>
              <w:autoSpaceDN/>
              <w:bidi w:val="0"/>
              <w:spacing w:line="360" w:lineRule="auto"/>
              <w:ind w:left="0" w:leftChars="0" w:right="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根据上表监测结果可知，项目所在区TS</w:t>
            </w:r>
            <w:r>
              <w:rPr>
                <w:rFonts w:hint="default" w:ascii="Times New Roman" w:hAnsi="Times New Roman" w:eastAsia="宋体" w:cs="Times New Roman"/>
                <w:color w:val="auto"/>
                <w:sz w:val="24"/>
                <w:szCs w:val="24"/>
                <w:highlight w:val="none"/>
              </w:rPr>
              <w:t>P的浓度值</w:t>
            </w:r>
            <w:r>
              <w:rPr>
                <w:rFonts w:hint="eastAsia" w:ascii="Times New Roman" w:hAnsi="Times New Roman" w:eastAsia="宋体" w:cs="Times New Roman"/>
                <w:color w:val="auto"/>
                <w:sz w:val="24"/>
                <w:szCs w:val="24"/>
                <w:highlight w:val="none"/>
                <w:lang w:val="en-US" w:eastAsia="zh-CN"/>
              </w:rPr>
              <w:t>均</w:t>
            </w:r>
            <w:r>
              <w:rPr>
                <w:rFonts w:hint="default" w:ascii="Times New Roman" w:hAnsi="Times New Roman" w:eastAsia="宋体" w:cs="Times New Roman"/>
                <w:color w:val="auto"/>
                <w:sz w:val="24"/>
                <w:szCs w:val="24"/>
              </w:rPr>
              <w:t>符合《环境空气质量标准》（GB3095-2026）</w:t>
            </w:r>
            <w:r>
              <w:rPr>
                <w:rFonts w:hint="eastAsia" w:ascii="Times New Roman" w:hAnsi="Times New Roman" w:eastAsia="宋体" w:cs="Times New Roman"/>
                <w:color w:val="auto"/>
                <w:sz w:val="24"/>
                <w:szCs w:val="24"/>
                <w:lang w:val="en-US" w:eastAsia="zh-CN"/>
              </w:rPr>
              <w:t>中</w:t>
            </w:r>
            <w:r>
              <w:rPr>
                <w:rFonts w:hint="eastAsia" w:ascii="Times New Roman" w:hAnsi="Times New Roman" w:eastAsia="宋体"/>
                <w:color w:val="auto"/>
                <w:sz w:val="24"/>
                <w:lang w:val="en-US" w:eastAsia="zh-CN"/>
              </w:rPr>
              <w:t>表2环境空气污染物其他项目二级浓度限值（日均值）</w:t>
            </w:r>
            <w:r>
              <w:rPr>
                <w:rFonts w:hint="default" w:ascii="Times New Roman" w:hAnsi="Times New Roman" w:eastAsia="宋体" w:cs="Times New Roman"/>
                <w:color w:val="auto"/>
                <w:sz w:val="24"/>
                <w:szCs w:val="24"/>
              </w:rPr>
              <w:t>，即≤</w:t>
            </w:r>
            <w:r>
              <w:rPr>
                <w:rFonts w:hint="eastAsia" w:ascii="Times New Roman" w:hAnsi="Times New Roman" w:eastAsia="宋体" w:cs="Times New Roman"/>
                <w:color w:val="auto"/>
                <w:sz w:val="24"/>
                <w:szCs w:val="24"/>
                <w:lang w:val="en-US" w:eastAsia="zh-CN"/>
              </w:rPr>
              <w:t>0.30m</w:t>
            </w:r>
            <w:r>
              <w:rPr>
                <w:rFonts w:hint="default" w:ascii="Times New Roman" w:hAnsi="Times New Roman" w:eastAsia="宋体" w:cs="Times New Roman"/>
                <w:color w:val="auto"/>
                <w:sz w:val="24"/>
                <w:szCs w:val="24"/>
              </w:rPr>
              <w:t>g/m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，环境质量现状良好。</w:t>
            </w:r>
          </w:p>
          <w:p w14:paraId="37D7FADD">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w:t>
            </w:r>
            <w:r>
              <w:rPr>
                <w:rFonts w:hint="default" w:ascii="Times New Roman" w:hAnsi="Times New Roman" w:eastAsia="宋体" w:cs="宋体"/>
                <w:color w:val="auto"/>
                <w:kern w:val="2"/>
                <w:sz w:val="24"/>
                <w:szCs w:val="24"/>
                <w:lang w:val="en-US" w:eastAsia="zh-CN" w:bidi="ar-SA"/>
              </w:rPr>
              <w:t>引用资料的可行性分析</w:t>
            </w:r>
          </w:p>
          <w:p w14:paraId="5F5F0772">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根据《建设项目环境影响报告表编制技术指南</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污染影响类</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试行</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环办环评〔2020〕33号</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的要求：</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大气环境区域环境质量现状常规污染物引用与建设项目距离近的有效数据，包括近3年的规划环境影响评价的监测数据，国家、地方环境空气质量监测网数据或生态环境主管部门公开发布的质量数据等</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排放国家、地方环境空气质量标准中有标准限值要求的特征污染物时，引用建设项目周边5千米范围内近3年的现有监测数据</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因此引用福州高新区202</w:t>
            </w:r>
            <w:r>
              <w:rPr>
                <w:rFonts w:hint="eastAsia" w:cs="宋体"/>
                <w:color w:val="auto"/>
                <w:kern w:val="2"/>
                <w:sz w:val="24"/>
                <w:szCs w:val="24"/>
                <w:lang w:val="en-US" w:eastAsia="zh-CN" w:bidi="ar-SA"/>
              </w:rPr>
              <w:t>5</w:t>
            </w:r>
            <w:r>
              <w:rPr>
                <w:rFonts w:hint="eastAsia" w:ascii="Times New Roman" w:hAnsi="Times New Roman" w:eastAsia="宋体" w:cs="宋体"/>
                <w:color w:val="auto"/>
                <w:kern w:val="2"/>
                <w:sz w:val="24"/>
                <w:szCs w:val="24"/>
                <w:lang w:val="en-US" w:eastAsia="zh-CN" w:bidi="ar-SA"/>
              </w:rPr>
              <w:t>年1</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12月空气质量月报的数据是可行的。</w:t>
            </w:r>
          </w:p>
          <w:p w14:paraId="46EB3DED">
            <w:pPr>
              <w:keepNext/>
              <w:keepLines/>
              <w:widowControl w:val="0"/>
              <w:bidi w:val="0"/>
              <w:spacing w:beforeLines="0" w:beforeAutospacing="0" w:afterLines="0" w:afterAutospacing="0" w:line="360" w:lineRule="auto"/>
              <w:jc w:val="left"/>
              <w:outlineLvl w:val="1"/>
              <w:rPr>
                <w:rFonts w:hint="eastAsia" w:ascii="Times New Roman" w:hAnsi="Times New Roman" w:eastAsia="宋体" w:cs="Times New Roman"/>
                <w:b/>
                <w:color w:val="auto"/>
                <w:kern w:val="2"/>
                <w:sz w:val="28"/>
                <w:szCs w:val="24"/>
                <w:lang w:val="en-US" w:eastAsia="zh-CN" w:bidi="ar-SA"/>
              </w:rPr>
            </w:pPr>
            <w:bookmarkStart w:id="40" w:name="_Toc32748"/>
            <w:r>
              <w:rPr>
                <w:rFonts w:hint="eastAsia" w:ascii="Times New Roman" w:hAnsi="Times New Roman" w:eastAsia="宋体" w:cs="Times New Roman"/>
                <w:b/>
                <w:color w:val="auto"/>
                <w:kern w:val="2"/>
                <w:sz w:val="28"/>
                <w:szCs w:val="24"/>
                <w:lang w:val="en-US" w:eastAsia="zh-CN" w:bidi="ar-SA"/>
              </w:rPr>
              <w:t>3.2地表水环境质量现状</w:t>
            </w:r>
            <w:bookmarkEnd w:id="40"/>
          </w:p>
          <w:p w14:paraId="364066FE">
            <w:pPr>
              <w:adjustRightInd w:val="0"/>
              <w:snapToGrid w:val="0"/>
              <w:spacing w:line="360" w:lineRule="auto"/>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3.2.1地表水功能区划</w:t>
            </w:r>
          </w:p>
          <w:p w14:paraId="73515360">
            <w:pPr>
              <w:pStyle w:val="40"/>
              <w:spacing w:line="360" w:lineRule="auto"/>
              <w:ind w:firstLine="480" w:firstLineChars="200"/>
              <w:rPr>
                <w:rFonts w:hint="default"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1</w:t>
            </w:r>
            <w:r>
              <w:rPr>
                <w:rFonts w:hint="eastAsia"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水环境</w:t>
            </w:r>
          </w:p>
          <w:p w14:paraId="26987BA6">
            <w:pPr>
              <w:pStyle w:val="25"/>
              <w:bidi w:val="0"/>
              <w:rPr>
                <w:rFonts w:hint="default" w:ascii="Times New Roman" w:hAnsi="Times New Roman"/>
                <w:color w:val="auto"/>
                <w:lang w:val="en-US" w:eastAsia="zh-CN"/>
              </w:rPr>
            </w:pPr>
            <w:r>
              <w:rPr>
                <w:rFonts w:hint="default" w:ascii="Times New Roman" w:hAnsi="Times New Roman"/>
                <w:color w:val="auto"/>
                <w:lang w:val="en-US" w:eastAsia="zh-CN"/>
              </w:rPr>
              <w:t>项目附近水域为</w:t>
            </w:r>
            <w:r>
              <w:rPr>
                <w:rFonts w:hint="default" w:ascii="Times New Roman" w:hAnsi="Times New Roman" w:eastAsia="宋体" w:cs="Times New Roman"/>
                <w:color w:val="auto"/>
                <w:sz w:val="24"/>
                <w:szCs w:val="24"/>
                <w:highlight w:val="none"/>
                <w:lang w:val="en-US" w:eastAsia="zh-CN"/>
              </w:rPr>
              <w:t>大樟溪</w:t>
            </w:r>
            <w:r>
              <w:rPr>
                <w:rFonts w:hint="default" w:ascii="Times New Roman" w:hAnsi="Times New Roman"/>
                <w:color w:val="auto"/>
                <w:lang w:val="en-US" w:eastAsia="zh-CN"/>
              </w:rPr>
              <w:t>，</w:t>
            </w:r>
            <w:r>
              <w:rPr>
                <w:rFonts w:hint="eastAsia" w:ascii="Times New Roman" w:hAnsi="Times New Roman"/>
                <w:color w:val="auto"/>
                <w:lang w:val="en-US" w:eastAsia="zh-CN"/>
              </w:rPr>
              <w:t>大樟溪</w:t>
            </w:r>
            <w:r>
              <w:rPr>
                <w:rFonts w:hint="default" w:ascii="Times New Roman" w:hAnsi="Times New Roman"/>
                <w:color w:val="auto"/>
                <w:lang w:val="en-US" w:eastAsia="zh-CN"/>
              </w:rPr>
              <w:t>属</w:t>
            </w:r>
            <w:r>
              <w:rPr>
                <w:rFonts w:ascii="宋体" w:hAnsi="宋体" w:eastAsia="宋体" w:cs="宋体"/>
                <w:color w:val="auto"/>
                <w:sz w:val="24"/>
                <w:szCs w:val="24"/>
              </w:rPr>
              <w:t>闽江下游一级支流</w:t>
            </w:r>
            <w:r>
              <w:rPr>
                <w:rFonts w:hint="default" w:ascii="Times New Roman" w:hAnsi="Times New Roman"/>
                <w:color w:val="auto"/>
                <w:lang w:val="en-US" w:eastAsia="zh-CN"/>
              </w:rPr>
              <w:t>，根据福建省人民政府闽政文</w:t>
            </w:r>
            <w:r>
              <w:rPr>
                <w:rFonts w:hint="eastAsia"/>
                <w:color w:val="auto"/>
                <w:lang w:val="en-US" w:eastAsia="zh-CN"/>
              </w:rPr>
              <w:t>〔2006〕133号</w:t>
            </w:r>
            <w:r>
              <w:rPr>
                <w:rFonts w:hint="default" w:ascii="Times New Roman" w:hAnsi="Times New Roman"/>
                <w:color w:val="auto"/>
                <w:lang w:val="en-US" w:eastAsia="zh-CN"/>
              </w:rPr>
              <w:t>批准实施《福州市地表水环境功能区划定方案》，</w:t>
            </w:r>
            <w:r>
              <w:rPr>
                <w:rFonts w:hint="eastAsia" w:ascii="Times New Roman" w:hAnsi="Times New Roman"/>
                <w:color w:val="auto"/>
                <w:lang w:val="en-US" w:eastAsia="zh-CN"/>
              </w:rPr>
              <w:t>大樟溪（</w:t>
            </w:r>
            <w:r>
              <w:rPr>
                <w:rFonts w:ascii="宋体" w:hAnsi="宋体" w:eastAsia="宋体" w:cs="宋体"/>
                <w:color w:val="auto"/>
                <w:sz w:val="24"/>
                <w:szCs w:val="24"/>
              </w:rPr>
              <w:t>闽江下游一级支流</w:t>
            </w:r>
            <w:r>
              <w:rPr>
                <w:rFonts w:hint="default" w:ascii="Times New Roman" w:hAnsi="Times New Roman"/>
                <w:color w:val="auto"/>
                <w:lang w:val="en-US" w:eastAsia="zh-CN"/>
              </w:rPr>
              <w:t>全段</w:t>
            </w:r>
            <w:r>
              <w:rPr>
                <w:rFonts w:hint="eastAsia" w:ascii="Times New Roman" w:hAnsi="Times New Roman"/>
                <w:color w:val="auto"/>
                <w:lang w:val="en-US" w:eastAsia="zh-CN"/>
              </w:rPr>
              <w:t>）</w:t>
            </w:r>
            <w:r>
              <w:rPr>
                <w:rFonts w:hint="default" w:ascii="Times New Roman" w:hAnsi="Times New Roman"/>
                <w:color w:val="auto"/>
                <w:lang w:val="en-US" w:eastAsia="zh-CN"/>
              </w:rPr>
              <w:t>为</w:t>
            </w:r>
            <w:r>
              <w:rPr>
                <w:rFonts w:ascii="宋体" w:hAnsi="宋体" w:eastAsia="宋体" w:cs="宋体"/>
                <w:color w:val="auto"/>
                <w:sz w:val="24"/>
                <w:szCs w:val="24"/>
              </w:rPr>
              <w:t>饮用水二级保护区</w:t>
            </w:r>
            <w:r>
              <w:rPr>
                <w:rFonts w:hint="default" w:ascii="Times New Roman" w:hAnsi="Times New Roman"/>
                <w:color w:val="auto"/>
                <w:lang w:val="en-US" w:eastAsia="zh-CN"/>
              </w:rPr>
              <w:t>，水质执行《地表水环境质量标准》（GB3838-2002）</w:t>
            </w:r>
            <w:r>
              <w:rPr>
                <w:rFonts w:ascii="Times New Roman" w:hAnsi="Times New Roman" w:eastAsia="宋体" w:cs="Times New Roman"/>
                <w:color w:val="auto"/>
                <w:kern w:val="0"/>
                <w:sz w:val="21"/>
                <w:szCs w:val="20"/>
                <w:lang w:val="en-US" w:eastAsia="zh-CN" w:bidi="ar-SA"/>
              </w:rPr>
              <w:t>Ⅲ</w:t>
            </w:r>
            <w:r>
              <w:rPr>
                <w:rFonts w:hint="default" w:ascii="Times New Roman" w:hAnsi="Times New Roman"/>
                <w:color w:val="auto"/>
                <w:lang w:val="en-US" w:eastAsia="zh-CN"/>
              </w:rPr>
              <w:t>类水质标准。</w:t>
            </w:r>
          </w:p>
          <w:p w14:paraId="14491D03">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表3.2-1</w:t>
            </w:r>
            <w:r>
              <w:rPr>
                <w:rFonts w:hint="eastAsia" w:cs="Times New Roman"/>
                <w:b/>
                <w:color w:val="auto"/>
                <w:kern w:val="0"/>
                <w:sz w:val="24"/>
                <w:szCs w:val="20"/>
                <w:lang w:val="en-US" w:eastAsia="zh-CN" w:bidi="ar-SA"/>
              </w:rPr>
              <w:t xml:space="preserve">  </w:t>
            </w:r>
            <w:r>
              <w:rPr>
                <w:rFonts w:hint="eastAsia" w:ascii="Times New Roman" w:hAnsi="Times New Roman" w:eastAsia="宋体" w:cs="Times New Roman"/>
                <w:b/>
                <w:color w:val="auto"/>
                <w:kern w:val="0"/>
                <w:sz w:val="24"/>
                <w:szCs w:val="20"/>
                <w:lang w:val="en-US" w:eastAsia="zh-CN" w:bidi="ar-SA"/>
              </w:rPr>
              <w:t>地表水环境质量标准</w:t>
            </w:r>
          </w:p>
          <w:tbl>
            <w:tblPr>
              <w:tblStyle w:val="17"/>
              <w:tblW w:w="5000"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autofit"/>
              <w:tblCellMar>
                <w:top w:w="0" w:type="dxa"/>
                <w:left w:w="28" w:type="dxa"/>
                <w:bottom w:w="0" w:type="dxa"/>
                <w:right w:w="28" w:type="dxa"/>
              </w:tblCellMar>
            </w:tblPr>
            <w:tblGrid>
              <w:gridCol w:w="980"/>
              <w:gridCol w:w="3234"/>
              <w:gridCol w:w="1245"/>
              <w:gridCol w:w="987"/>
              <w:gridCol w:w="985"/>
              <w:gridCol w:w="989"/>
            </w:tblGrid>
            <w:tr w14:paraId="3A90908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cantSplit/>
                <w:trHeight w:val="397" w:hRule="exact"/>
                <w:jc w:val="center"/>
              </w:trPr>
              <w:tc>
                <w:tcPr>
                  <w:tcW w:w="582" w:type="pct"/>
                  <w:tcBorders>
                    <w:tl2br w:val="nil"/>
                    <w:tr2bl w:val="nil"/>
                  </w:tcBorders>
                  <w:shd w:val="clear" w:color="auto" w:fill="auto"/>
                  <w:noWrap w:val="0"/>
                  <w:vAlign w:val="center"/>
                </w:tcPr>
                <w:p w14:paraId="3C8C4F04">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序号</w:t>
                  </w:r>
                </w:p>
              </w:tc>
              <w:tc>
                <w:tcPr>
                  <w:tcW w:w="1920" w:type="pct"/>
                  <w:tcBorders>
                    <w:tl2br w:val="nil"/>
                    <w:tr2bl w:val="nil"/>
                  </w:tcBorders>
                  <w:shd w:val="clear" w:color="auto" w:fill="auto"/>
                  <w:noWrap w:val="0"/>
                  <w:vAlign w:val="center"/>
                </w:tcPr>
                <w:p w14:paraId="71D81CA4">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项目</w:t>
                  </w:r>
                </w:p>
              </w:tc>
              <w:tc>
                <w:tcPr>
                  <w:tcW w:w="739" w:type="pct"/>
                  <w:tcBorders>
                    <w:tl2br w:val="nil"/>
                    <w:tr2bl w:val="nil"/>
                  </w:tcBorders>
                  <w:shd w:val="clear" w:color="auto" w:fill="auto"/>
                  <w:noWrap w:val="0"/>
                  <w:vAlign w:val="center"/>
                </w:tcPr>
                <w:p w14:paraId="191404E0">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Ⅱ类</w:t>
                  </w:r>
                </w:p>
              </w:tc>
              <w:tc>
                <w:tcPr>
                  <w:tcW w:w="586" w:type="pct"/>
                  <w:tcBorders>
                    <w:tl2br w:val="nil"/>
                    <w:tr2bl w:val="nil"/>
                  </w:tcBorders>
                  <w:shd w:val="clear" w:color="auto" w:fill="A4A4A4"/>
                  <w:noWrap w:val="0"/>
                  <w:vAlign w:val="center"/>
                </w:tcPr>
                <w:p w14:paraId="06AD6AB1">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Ⅲ类</w:t>
                  </w:r>
                </w:p>
              </w:tc>
              <w:tc>
                <w:tcPr>
                  <w:tcW w:w="585" w:type="pct"/>
                  <w:tcBorders>
                    <w:tl2br w:val="nil"/>
                    <w:tr2bl w:val="nil"/>
                  </w:tcBorders>
                  <w:noWrap w:val="0"/>
                  <w:vAlign w:val="center"/>
                </w:tcPr>
                <w:p w14:paraId="1EA92E9C">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Ⅳ类</w:t>
                  </w:r>
                </w:p>
              </w:tc>
              <w:tc>
                <w:tcPr>
                  <w:tcW w:w="586" w:type="pct"/>
                  <w:tcBorders>
                    <w:tl2br w:val="nil"/>
                    <w:tr2bl w:val="nil"/>
                  </w:tcBorders>
                  <w:noWrap w:val="0"/>
                  <w:vAlign w:val="center"/>
                </w:tcPr>
                <w:p w14:paraId="0A537A02">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shd w:val="clear" w:color="auto" w:fill="auto"/>
                      <w:lang w:val="en-US" w:eastAsia="zh-CN" w:bidi="ar-SA"/>
                    </w:rPr>
                  </w:pPr>
                  <w:r>
                    <w:rPr>
                      <w:rFonts w:ascii="Times New Roman" w:hAnsi="Times New Roman" w:eastAsia="宋体" w:cs="Times New Roman"/>
                      <w:color w:val="auto"/>
                      <w:kern w:val="0"/>
                      <w:sz w:val="21"/>
                      <w:szCs w:val="20"/>
                      <w:shd w:val="clear" w:color="auto" w:fill="auto"/>
                      <w:lang w:val="en-US" w:eastAsia="zh-CN" w:bidi="ar-SA"/>
                    </w:rPr>
                    <w:t>Ⅴ类</w:t>
                  </w:r>
                </w:p>
              </w:tc>
            </w:tr>
            <w:tr w14:paraId="14A5492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cantSplit/>
                <w:trHeight w:val="397" w:hRule="exact"/>
                <w:jc w:val="center"/>
              </w:trPr>
              <w:tc>
                <w:tcPr>
                  <w:tcW w:w="582" w:type="pct"/>
                  <w:tcBorders>
                    <w:tl2br w:val="nil"/>
                    <w:tr2bl w:val="nil"/>
                  </w:tcBorders>
                  <w:noWrap w:val="0"/>
                  <w:vAlign w:val="center"/>
                </w:tcPr>
                <w:p w14:paraId="56F186A7">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1</w:t>
                  </w:r>
                </w:p>
              </w:tc>
              <w:tc>
                <w:tcPr>
                  <w:tcW w:w="1920" w:type="pct"/>
                  <w:tcBorders>
                    <w:tl2br w:val="nil"/>
                    <w:tr2bl w:val="nil"/>
                  </w:tcBorders>
                  <w:noWrap w:val="0"/>
                  <w:vAlign w:val="center"/>
                </w:tcPr>
                <w:p w14:paraId="43CCEFD7">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pH</w:t>
                  </w:r>
                  <w:r>
                    <w:rPr>
                      <w:rFonts w:hint="eastAsia" w:cs="Times New Roman"/>
                      <w:color w:val="auto"/>
                      <w:kern w:val="0"/>
                      <w:sz w:val="21"/>
                      <w:szCs w:val="20"/>
                      <w:lang w:val="en-US" w:eastAsia="zh-CN" w:bidi="ar-SA"/>
                    </w:rPr>
                    <w:t>（</w:t>
                  </w:r>
                  <w:r>
                    <w:rPr>
                      <w:rFonts w:hint="eastAsia" w:ascii="Times New Roman" w:hAnsi="Times New Roman" w:eastAsia="宋体" w:cs="宋体"/>
                      <w:color w:val="auto"/>
                      <w:kern w:val="0"/>
                      <w:sz w:val="21"/>
                      <w:szCs w:val="20"/>
                      <w:lang w:val="en-US" w:eastAsia="zh-CN" w:bidi="ar-SA"/>
                    </w:rPr>
                    <w:t>无量纲</w:t>
                  </w:r>
                  <w:r>
                    <w:rPr>
                      <w:rFonts w:hint="eastAsia" w:cs="宋体"/>
                      <w:color w:val="auto"/>
                      <w:kern w:val="0"/>
                      <w:sz w:val="21"/>
                      <w:szCs w:val="20"/>
                      <w:lang w:val="en-US" w:eastAsia="zh-CN" w:bidi="ar-SA"/>
                    </w:rPr>
                    <w:t>）</w:t>
                  </w:r>
                </w:p>
              </w:tc>
              <w:tc>
                <w:tcPr>
                  <w:tcW w:w="2497" w:type="pct"/>
                  <w:gridSpan w:val="4"/>
                  <w:tcBorders>
                    <w:tl2br w:val="nil"/>
                    <w:tr2bl w:val="nil"/>
                  </w:tcBorders>
                  <w:noWrap w:val="0"/>
                  <w:vAlign w:val="center"/>
                </w:tcPr>
                <w:p w14:paraId="1AE7AEA4">
                  <w:pPr>
                    <w:widowControl w:val="0"/>
                    <w:shd w:val="clear" w:color="auto" w:fill="7F7F7F"/>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shd w:val="clear" w:color="auto" w:fill="auto"/>
                      <w:lang w:val="en-US" w:eastAsia="zh-CN" w:bidi="ar-SA"/>
                    </w:rPr>
                  </w:pPr>
                  <w:r>
                    <w:rPr>
                      <w:rFonts w:ascii="Times New Roman" w:hAnsi="Times New Roman" w:eastAsia="宋体" w:cs="Times New Roman"/>
                      <w:color w:val="auto"/>
                      <w:kern w:val="0"/>
                      <w:sz w:val="21"/>
                      <w:szCs w:val="20"/>
                      <w:shd w:val="clear" w:color="auto" w:fill="7F7F7F"/>
                      <w:lang w:val="en-US" w:eastAsia="zh-CN" w:bidi="ar-SA"/>
                    </w:rPr>
                    <w:t>6</w:t>
                  </w:r>
                  <w:r>
                    <w:rPr>
                      <w:rFonts w:hint="eastAsia" w:cs="Times New Roman"/>
                      <w:color w:val="auto"/>
                      <w:kern w:val="0"/>
                      <w:sz w:val="21"/>
                      <w:szCs w:val="20"/>
                      <w:shd w:val="clear" w:color="auto" w:fill="7F7F7F"/>
                      <w:lang w:val="en-US" w:eastAsia="zh-CN" w:bidi="ar-SA"/>
                    </w:rPr>
                    <w:t>~</w:t>
                  </w:r>
                  <w:r>
                    <w:rPr>
                      <w:rFonts w:ascii="Times New Roman" w:hAnsi="Times New Roman" w:eastAsia="宋体" w:cs="Times New Roman"/>
                      <w:color w:val="auto"/>
                      <w:kern w:val="0"/>
                      <w:sz w:val="21"/>
                      <w:szCs w:val="20"/>
                      <w:shd w:val="clear" w:color="auto" w:fill="7F7F7F"/>
                      <w:lang w:val="en-US" w:eastAsia="zh-CN" w:bidi="ar-SA"/>
                    </w:rPr>
                    <w:t>9</w:t>
                  </w:r>
                </w:p>
              </w:tc>
            </w:tr>
            <w:tr w14:paraId="34ACD24C">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cantSplit/>
                <w:trHeight w:val="397" w:hRule="exact"/>
                <w:jc w:val="center"/>
              </w:trPr>
              <w:tc>
                <w:tcPr>
                  <w:tcW w:w="582" w:type="pct"/>
                  <w:tcBorders>
                    <w:tl2br w:val="nil"/>
                    <w:tr2bl w:val="nil"/>
                  </w:tcBorders>
                  <w:shd w:val="clear" w:color="auto" w:fill="auto"/>
                  <w:noWrap w:val="0"/>
                  <w:vAlign w:val="center"/>
                </w:tcPr>
                <w:p w14:paraId="03827359">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2</w:t>
                  </w:r>
                </w:p>
              </w:tc>
              <w:tc>
                <w:tcPr>
                  <w:tcW w:w="1920" w:type="pct"/>
                  <w:tcBorders>
                    <w:tl2br w:val="nil"/>
                    <w:tr2bl w:val="nil"/>
                  </w:tcBorders>
                  <w:shd w:val="clear" w:color="auto" w:fill="auto"/>
                  <w:noWrap w:val="0"/>
                  <w:vAlign w:val="center"/>
                </w:tcPr>
                <w:p w14:paraId="6A254B73">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溶解氧≥</w:t>
                  </w:r>
                </w:p>
              </w:tc>
              <w:tc>
                <w:tcPr>
                  <w:tcW w:w="739" w:type="pct"/>
                  <w:tcBorders>
                    <w:tl2br w:val="nil"/>
                    <w:tr2bl w:val="nil"/>
                  </w:tcBorders>
                  <w:shd w:val="clear" w:color="auto" w:fill="auto"/>
                  <w:noWrap w:val="0"/>
                  <w:vAlign w:val="center"/>
                </w:tcPr>
                <w:p w14:paraId="5DDEA227">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6</w:t>
                  </w:r>
                </w:p>
              </w:tc>
              <w:tc>
                <w:tcPr>
                  <w:tcW w:w="586" w:type="pct"/>
                  <w:tcBorders>
                    <w:tl2br w:val="nil"/>
                    <w:tr2bl w:val="nil"/>
                  </w:tcBorders>
                  <w:shd w:val="clear" w:color="auto" w:fill="A4A4A4"/>
                  <w:noWrap w:val="0"/>
                  <w:vAlign w:val="center"/>
                </w:tcPr>
                <w:p w14:paraId="76930FFC">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5</w:t>
                  </w:r>
                </w:p>
              </w:tc>
              <w:tc>
                <w:tcPr>
                  <w:tcW w:w="585" w:type="pct"/>
                  <w:tcBorders>
                    <w:tl2br w:val="nil"/>
                    <w:tr2bl w:val="nil"/>
                  </w:tcBorders>
                  <w:noWrap w:val="0"/>
                  <w:vAlign w:val="center"/>
                </w:tcPr>
                <w:p w14:paraId="32116839">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3</w:t>
                  </w:r>
                </w:p>
              </w:tc>
              <w:tc>
                <w:tcPr>
                  <w:tcW w:w="586" w:type="pct"/>
                  <w:tcBorders>
                    <w:tl2br w:val="nil"/>
                    <w:tr2bl w:val="nil"/>
                  </w:tcBorders>
                  <w:noWrap w:val="0"/>
                  <w:vAlign w:val="center"/>
                </w:tcPr>
                <w:p w14:paraId="4B05DCD6">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shd w:val="clear" w:color="auto" w:fill="auto"/>
                      <w:lang w:val="en-US" w:eastAsia="zh-CN" w:bidi="ar-SA"/>
                    </w:rPr>
                  </w:pPr>
                  <w:r>
                    <w:rPr>
                      <w:rFonts w:ascii="Times New Roman" w:hAnsi="Times New Roman" w:eastAsia="宋体" w:cs="Times New Roman"/>
                      <w:color w:val="auto"/>
                      <w:kern w:val="0"/>
                      <w:sz w:val="21"/>
                      <w:szCs w:val="20"/>
                      <w:shd w:val="clear" w:color="auto" w:fill="auto"/>
                      <w:lang w:val="en-US" w:eastAsia="zh-CN" w:bidi="ar-SA"/>
                    </w:rPr>
                    <w:t>2</w:t>
                  </w:r>
                </w:p>
              </w:tc>
            </w:tr>
            <w:tr w14:paraId="3C72B5C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cantSplit/>
                <w:trHeight w:val="397" w:hRule="exact"/>
                <w:jc w:val="center"/>
              </w:trPr>
              <w:tc>
                <w:tcPr>
                  <w:tcW w:w="582" w:type="pct"/>
                  <w:tcBorders>
                    <w:tl2br w:val="nil"/>
                    <w:tr2bl w:val="nil"/>
                  </w:tcBorders>
                  <w:shd w:val="clear" w:color="auto" w:fill="auto"/>
                  <w:noWrap w:val="0"/>
                  <w:vAlign w:val="center"/>
                </w:tcPr>
                <w:p w14:paraId="6B92F509">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3</w:t>
                  </w:r>
                </w:p>
              </w:tc>
              <w:tc>
                <w:tcPr>
                  <w:tcW w:w="1920" w:type="pct"/>
                  <w:tcBorders>
                    <w:tl2br w:val="nil"/>
                    <w:tr2bl w:val="nil"/>
                  </w:tcBorders>
                  <w:shd w:val="clear" w:color="auto" w:fill="auto"/>
                  <w:noWrap w:val="0"/>
                  <w:vAlign w:val="center"/>
                </w:tcPr>
                <w:p w14:paraId="15964470">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高锰酸盐指数≤</w:t>
                  </w:r>
                </w:p>
              </w:tc>
              <w:tc>
                <w:tcPr>
                  <w:tcW w:w="739" w:type="pct"/>
                  <w:tcBorders>
                    <w:tl2br w:val="nil"/>
                    <w:tr2bl w:val="nil"/>
                  </w:tcBorders>
                  <w:shd w:val="clear" w:color="auto" w:fill="auto"/>
                  <w:noWrap w:val="0"/>
                  <w:vAlign w:val="center"/>
                </w:tcPr>
                <w:p w14:paraId="0BC2EC52">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4</w:t>
                  </w:r>
                </w:p>
              </w:tc>
              <w:tc>
                <w:tcPr>
                  <w:tcW w:w="586" w:type="pct"/>
                  <w:tcBorders>
                    <w:tl2br w:val="nil"/>
                    <w:tr2bl w:val="nil"/>
                  </w:tcBorders>
                  <w:shd w:val="clear" w:color="auto" w:fill="A4A4A4"/>
                  <w:noWrap w:val="0"/>
                  <w:vAlign w:val="center"/>
                </w:tcPr>
                <w:p w14:paraId="3E2C59E4">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6</w:t>
                  </w:r>
                </w:p>
              </w:tc>
              <w:tc>
                <w:tcPr>
                  <w:tcW w:w="585" w:type="pct"/>
                  <w:tcBorders>
                    <w:tl2br w:val="nil"/>
                    <w:tr2bl w:val="nil"/>
                  </w:tcBorders>
                  <w:noWrap w:val="0"/>
                  <w:vAlign w:val="center"/>
                </w:tcPr>
                <w:p w14:paraId="3F21E747">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10</w:t>
                  </w:r>
                </w:p>
              </w:tc>
              <w:tc>
                <w:tcPr>
                  <w:tcW w:w="586" w:type="pct"/>
                  <w:tcBorders>
                    <w:tl2br w:val="nil"/>
                    <w:tr2bl w:val="nil"/>
                  </w:tcBorders>
                  <w:noWrap w:val="0"/>
                  <w:vAlign w:val="center"/>
                </w:tcPr>
                <w:p w14:paraId="03968386">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shd w:val="clear" w:color="auto" w:fill="auto"/>
                      <w:lang w:val="en-US" w:eastAsia="zh-CN" w:bidi="ar-SA"/>
                    </w:rPr>
                  </w:pPr>
                  <w:r>
                    <w:rPr>
                      <w:rFonts w:ascii="Times New Roman" w:hAnsi="Times New Roman" w:eastAsia="宋体" w:cs="Times New Roman"/>
                      <w:color w:val="auto"/>
                      <w:kern w:val="0"/>
                      <w:sz w:val="21"/>
                      <w:szCs w:val="20"/>
                      <w:shd w:val="clear" w:color="auto" w:fill="auto"/>
                      <w:lang w:val="en-US" w:eastAsia="zh-CN" w:bidi="ar-SA"/>
                    </w:rPr>
                    <w:t>15</w:t>
                  </w:r>
                </w:p>
              </w:tc>
            </w:tr>
            <w:tr w14:paraId="50922080">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cantSplit/>
                <w:trHeight w:val="397" w:hRule="exact"/>
                <w:jc w:val="center"/>
              </w:trPr>
              <w:tc>
                <w:tcPr>
                  <w:tcW w:w="582" w:type="pct"/>
                  <w:tcBorders>
                    <w:tl2br w:val="nil"/>
                    <w:tr2bl w:val="nil"/>
                  </w:tcBorders>
                  <w:shd w:val="clear" w:color="auto" w:fill="auto"/>
                  <w:noWrap w:val="0"/>
                  <w:vAlign w:val="center"/>
                </w:tcPr>
                <w:p w14:paraId="2539898B">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4</w:t>
                  </w:r>
                </w:p>
              </w:tc>
              <w:tc>
                <w:tcPr>
                  <w:tcW w:w="1920" w:type="pct"/>
                  <w:tcBorders>
                    <w:tl2br w:val="nil"/>
                    <w:tr2bl w:val="nil"/>
                  </w:tcBorders>
                  <w:shd w:val="clear" w:color="auto" w:fill="auto"/>
                  <w:noWrap w:val="0"/>
                  <w:vAlign w:val="center"/>
                </w:tcPr>
                <w:p w14:paraId="53E47FBD">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化学需氧量</w:t>
                  </w:r>
                  <w:r>
                    <w:rPr>
                      <w:rFonts w:hint="eastAsia" w:ascii="Times New Roman" w:hAnsi="Times New Roman" w:eastAsia="宋体" w:cs="Times New Roman"/>
                      <w:color w:val="auto"/>
                      <w:kern w:val="0"/>
                      <w:sz w:val="21"/>
                      <w:szCs w:val="20"/>
                      <w:lang w:val="en-US" w:eastAsia="zh-CN" w:bidi="ar-SA"/>
                    </w:rPr>
                    <w:t>（</w:t>
                  </w:r>
                  <w:r>
                    <w:rPr>
                      <w:rFonts w:ascii="Times New Roman" w:hAnsi="Times New Roman" w:eastAsia="宋体" w:cs="Times New Roman"/>
                      <w:color w:val="auto"/>
                      <w:kern w:val="0"/>
                      <w:sz w:val="21"/>
                      <w:szCs w:val="20"/>
                      <w:lang w:val="en-US" w:eastAsia="zh-CN" w:bidi="ar-SA"/>
                    </w:rPr>
                    <w:t>COD</w:t>
                  </w:r>
                  <w:r>
                    <w:rPr>
                      <w:rFonts w:hint="eastAsia" w:ascii="Times New Roman" w:hAnsi="Times New Roman" w:eastAsia="宋体" w:cs="Times New Roman"/>
                      <w:color w:val="auto"/>
                      <w:kern w:val="0"/>
                      <w:sz w:val="21"/>
                      <w:szCs w:val="20"/>
                      <w:lang w:val="en-US" w:eastAsia="zh-CN" w:bidi="ar-SA"/>
                    </w:rPr>
                    <w:t>）</w:t>
                  </w:r>
                  <w:r>
                    <w:rPr>
                      <w:rFonts w:ascii="Times New Roman" w:hAnsi="Times New Roman" w:eastAsia="宋体" w:cs="Times New Roman"/>
                      <w:color w:val="auto"/>
                      <w:kern w:val="0"/>
                      <w:sz w:val="21"/>
                      <w:szCs w:val="20"/>
                      <w:lang w:val="en-US" w:eastAsia="zh-CN" w:bidi="ar-SA"/>
                    </w:rPr>
                    <w:t>≤</w:t>
                  </w:r>
                </w:p>
              </w:tc>
              <w:tc>
                <w:tcPr>
                  <w:tcW w:w="739" w:type="pct"/>
                  <w:tcBorders>
                    <w:tl2br w:val="nil"/>
                    <w:tr2bl w:val="nil"/>
                  </w:tcBorders>
                  <w:shd w:val="clear" w:color="auto" w:fill="auto"/>
                  <w:noWrap w:val="0"/>
                  <w:vAlign w:val="center"/>
                </w:tcPr>
                <w:p w14:paraId="25BBF28D">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15</w:t>
                  </w:r>
                </w:p>
              </w:tc>
              <w:tc>
                <w:tcPr>
                  <w:tcW w:w="586" w:type="pct"/>
                  <w:tcBorders>
                    <w:tl2br w:val="nil"/>
                    <w:tr2bl w:val="nil"/>
                  </w:tcBorders>
                  <w:shd w:val="clear" w:color="auto" w:fill="A4A4A4"/>
                  <w:noWrap w:val="0"/>
                  <w:vAlign w:val="center"/>
                </w:tcPr>
                <w:p w14:paraId="1053324C">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20</w:t>
                  </w:r>
                </w:p>
              </w:tc>
              <w:tc>
                <w:tcPr>
                  <w:tcW w:w="585" w:type="pct"/>
                  <w:tcBorders>
                    <w:tl2br w:val="nil"/>
                    <w:tr2bl w:val="nil"/>
                  </w:tcBorders>
                  <w:noWrap w:val="0"/>
                  <w:vAlign w:val="center"/>
                </w:tcPr>
                <w:p w14:paraId="48D54079">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30</w:t>
                  </w:r>
                </w:p>
              </w:tc>
              <w:tc>
                <w:tcPr>
                  <w:tcW w:w="586" w:type="pct"/>
                  <w:tcBorders>
                    <w:tl2br w:val="nil"/>
                    <w:tr2bl w:val="nil"/>
                  </w:tcBorders>
                  <w:noWrap w:val="0"/>
                  <w:vAlign w:val="center"/>
                </w:tcPr>
                <w:p w14:paraId="2E7BA641">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shd w:val="clear" w:color="auto" w:fill="auto"/>
                      <w:lang w:val="en-US" w:eastAsia="zh-CN" w:bidi="ar-SA"/>
                    </w:rPr>
                  </w:pPr>
                  <w:r>
                    <w:rPr>
                      <w:rFonts w:ascii="Times New Roman" w:hAnsi="Times New Roman" w:eastAsia="宋体" w:cs="Times New Roman"/>
                      <w:color w:val="auto"/>
                      <w:kern w:val="0"/>
                      <w:sz w:val="21"/>
                      <w:szCs w:val="20"/>
                      <w:shd w:val="clear" w:color="auto" w:fill="auto"/>
                      <w:lang w:val="en-US" w:eastAsia="zh-CN" w:bidi="ar-SA"/>
                    </w:rPr>
                    <w:t>40</w:t>
                  </w:r>
                </w:p>
              </w:tc>
            </w:tr>
            <w:tr w14:paraId="35E64958">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cantSplit/>
                <w:trHeight w:val="397" w:hRule="exact"/>
                <w:jc w:val="center"/>
              </w:trPr>
              <w:tc>
                <w:tcPr>
                  <w:tcW w:w="582" w:type="pct"/>
                  <w:tcBorders>
                    <w:tl2br w:val="nil"/>
                    <w:tr2bl w:val="nil"/>
                  </w:tcBorders>
                  <w:shd w:val="clear" w:color="auto" w:fill="auto"/>
                  <w:noWrap w:val="0"/>
                  <w:vAlign w:val="center"/>
                </w:tcPr>
                <w:p w14:paraId="2D6BC317">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5</w:t>
                  </w:r>
                </w:p>
              </w:tc>
              <w:tc>
                <w:tcPr>
                  <w:tcW w:w="1920" w:type="pct"/>
                  <w:tcBorders>
                    <w:tl2br w:val="nil"/>
                    <w:tr2bl w:val="nil"/>
                  </w:tcBorders>
                  <w:shd w:val="clear" w:color="auto" w:fill="auto"/>
                  <w:noWrap w:val="0"/>
                  <w:vAlign w:val="center"/>
                </w:tcPr>
                <w:p w14:paraId="3FCEAE09">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氨氮</w:t>
                  </w:r>
                  <w:r>
                    <w:rPr>
                      <w:rFonts w:hint="eastAsia" w:ascii="Times New Roman" w:hAnsi="Times New Roman" w:eastAsia="宋体" w:cs="Times New Roman"/>
                      <w:color w:val="auto"/>
                      <w:kern w:val="0"/>
                      <w:sz w:val="21"/>
                      <w:szCs w:val="20"/>
                      <w:lang w:val="en-US" w:eastAsia="zh-CN" w:bidi="ar-SA"/>
                    </w:rPr>
                    <w:t>（</w:t>
                  </w:r>
                  <w:r>
                    <w:rPr>
                      <w:rFonts w:ascii="Times New Roman" w:hAnsi="Times New Roman" w:eastAsia="宋体" w:cs="Times New Roman"/>
                      <w:color w:val="auto"/>
                      <w:kern w:val="0"/>
                      <w:sz w:val="21"/>
                      <w:szCs w:val="20"/>
                      <w:lang w:val="en-US" w:eastAsia="zh-CN" w:bidi="ar-SA"/>
                    </w:rPr>
                    <w:t>NH</w:t>
                  </w:r>
                  <w:r>
                    <w:rPr>
                      <w:rFonts w:ascii="Times New Roman" w:hAnsi="Times New Roman" w:eastAsia="宋体" w:cs="Times New Roman"/>
                      <w:color w:val="auto"/>
                      <w:kern w:val="0"/>
                      <w:sz w:val="21"/>
                      <w:szCs w:val="20"/>
                      <w:vertAlign w:val="subscript"/>
                      <w:lang w:val="en-US" w:eastAsia="zh-CN" w:bidi="ar-SA"/>
                    </w:rPr>
                    <w:t>3</w:t>
                  </w:r>
                  <w:r>
                    <w:rPr>
                      <w:rFonts w:ascii="Times New Roman" w:hAnsi="Times New Roman" w:eastAsia="宋体" w:cs="Times New Roman"/>
                      <w:color w:val="auto"/>
                      <w:kern w:val="0"/>
                      <w:sz w:val="21"/>
                      <w:szCs w:val="20"/>
                      <w:lang w:val="en-US" w:eastAsia="zh-CN" w:bidi="ar-SA"/>
                    </w:rPr>
                    <w:t>-N</w:t>
                  </w:r>
                  <w:r>
                    <w:rPr>
                      <w:rFonts w:hint="eastAsia" w:ascii="Times New Roman" w:hAnsi="Times New Roman" w:eastAsia="宋体" w:cs="Times New Roman"/>
                      <w:color w:val="auto"/>
                      <w:kern w:val="0"/>
                      <w:sz w:val="21"/>
                      <w:szCs w:val="20"/>
                      <w:lang w:val="en-US" w:eastAsia="zh-CN" w:bidi="ar-SA"/>
                    </w:rPr>
                    <w:t>）</w:t>
                  </w:r>
                  <w:r>
                    <w:rPr>
                      <w:rFonts w:ascii="Times New Roman" w:hAnsi="Times New Roman" w:eastAsia="宋体" w:cs="Times New Roman"/>
                      <w:color w:val="auto"/>
                      <w:kern w:val="0"/>
                      <w:sz w:val="21"/>
                      <w:szCs w:val="20"/>
                      <w:lang w:val="en-US" w:eastAsia="zh-CN" w:bidi="ar-SA"/>
                    </w:rPr>
                    <w:t>≤</w:t>
                  </w:r>
                </w:p>
              </w:tc>
              <w:tc>
                <w:tcPr>
                  <w:tcW w:w="739" w:type="pct"/>
                  <w:tcBorders>
                    <w:tl2br w:val="nil"/>
                    <w:tr2bl w:val="nil"/>
                  </w:tcBorders>
                  <w:shd w:val="clear" w:color="auto" w:fill="auto"/>
                  <w:noWrap w:val="0"/>
                  <w:vAlign w:val="center"/>
                </w:tcPr>
                <w:p w14:paraId="5AC858A6">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0.5</w:t>
                  </w:r>
                </w:p>
              </w:tc>
              <w:tc>
                <w:tcPr>
                  <w:tcW w:w="586" w:type="pct"/>
                  <w:tcBorders>
                    <w:tl2br w:val="nil"/>
                    <w:tr2bl w:val="nil"/>
                  </w:tcBorders>
                  <w:shd w:val="clear" w:color="auto" w:fill="A4A4A4"/>
                  <w:noWrap w:val="0"/>
                  <w:vAlign w:val="center"/>
                </w:tcPr>
                <w:p w14:paraId="3DF9A111">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1.0</w:t>
                  </w:r>
                </w:p>
              </w:tc>
              <w:tc>
                <w:tcPr>
                  <w:tcW w:w="585" w:type="pct"/>
                  <w:tcBorders>
                    <w:tl2br w:val="nil"/>
                    <w:tr2bl w:val="nil"/>
                  </w:tcBorders>
                  <w:noWrap w:val="0"/>
                  <w:vAlign w:val="center"/>
                </w:tcPr>
                <w:p w14:paraId="417F9082">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1.5</w:t>
                  </w:r>
                </w:p>
              </w:tc>
              <w:tc>
                <w:tcPr>
                  <w:tcW w:w="586" w:type="pct"/>
                  <w:tcBorders>
                    <w:tl2br w:val="nil"/>
                    <w:tr2bl w:val="nil"/>
                  </w:tcBorders>
                  <w:noWrap w:val="0"/>
                  <w:vAlign w:val="center"/>
                </w:tcPr>
                <w:p w14:paraId="7CEC4770">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shd w:val="clear" w:color="auto" w:fill="auto"/>
                      <w:lang w:val="en-US" w:eastAsia="zh-CN" w:bidi="ar-SA"/>
                    </w:rPr>
                  </w:pPr>
                  <w:r>
                    <w:rPr>
                      <w:rFonts w:ascii="Times New Roman" w:hAnsi="Times New Roman" w:eastAsia="宋体" w:cs="Times New Roman"/>
                      <w:color w:val="auto"/>
                      <w:kern w:val="0"/>
                      <w:sz w:val="21"/>
                      <w:szCs w:val="20"/>
                      <w:shd w:val="clear" w:color="auto" w:fill="auto"/>
                      <w:lang w:val="en-US" w:eastAsia="zh-CN" w:bidi="ar-SA"/>
                    </w:rPr>
                    <w:t>2.0</w:t>
                  </w:r>
                </w:p>
              </w:tc>
            </w:tr>
            <w:tr w14:paraId="025F6AC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cantSplit/>
                <w:trHeight w:val="397" w:hRule="exact"/>
                <w:jc w:val="center"/>
              </w:trPr>
              <w:tc>
                <w:tcPr>
                  <w:tcW w:w="582" w:type="pct"/>
                  <w:tcBorders>
                    <w:tl2br w:val="nil"/>
                    <w:tr2bl w:val="nil"/>
                  </w:tcBorders>
                  <w:shd w:val="clear" w:color="auto" w:fill="auto"/>
                  <w:noWrap w:val="0"/>
                  <w:vAlign w:val="center"/>
                </w:tcPr>
                <w:p w14:paraId="79B55D2D">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6</w:t>
                  </w:r>
                </w:p>
              </w:tc>
              <w:tc>
                <w:tcPr>
                  <w:tcW w:w="1920" w:type="pct"/>
                  <w:tcBorders>
                    <w:tl2br w:val="nil"/>
                    <w:tr2bl w:val="nil"/>
                  </w:tcBorders>
                  <w:shd w:val="clear" w:color="auto" w:fill="auto"/>
                  <w:noWrap w:val="0"/>
                  <w:vAlign w:val="center"/>
                </w:tcPr>
                <w:p w14:paraId="7DEF1A1D">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五日生化需氧量</w:t>
                  </w:r>
                  <w:r>
                    <w:rPr>
                      <w:rFonts w:hint="eastAsia" w:ascii="Times New Roman" w:hAnsi="Times New Roman" w:eastAsia="宋体" w:cs="Times New Roman"/>
                      <w:color w:val="auto"/>
                      <w:kern w:val="0"/>
                      <w:sz w:val="21"/>
                      <w:szCs w:val="20"/>
                      <w:lang w:val="en-US" w:eastAsia="zh-CN" w:bidi="ar-SA"/>
                    </w:rPr>
                    <w:t>（</w:t>
                  </w:r>
                  <w:r>
                    <w:rPr>
                      <w:rFonts w:ascii="Times New Roman" w:hAnsi="Times New Roman" w:eastAsia="宋体" w:cs="Times New Roman"/>
                      <w:color w:val="auto"/>
                      <w:kern w:val="0"/>
                      <w:sz w:val="21"/>
                      <w:szCs w:val="20"/>
                      <w:lang w:val="en-US" w:eastAsia="zh-CN" w:bidi="ar-SA"/>
                    </w:rPr>
                    <w:t>BOD</w:t>
                  </w:r>
                  <w:r>
                    <w:rPr>
                      <w:rFonts w:ascii="Times New Roman" w:hAnsi="Times New Roman" w:eastAsia="宋体" w:cs="Times New Roman"/>
                      <w:color w:val="auto"/>
                      <w:kern w:val="0"/>
                      <w:sz w:val="21"/>
                      <w:szCs w:val="20"/>
                      <w:vertAlign w:val="subscript"/>
                      <w:lang w:val="en-US" w:eastAsia="zh-CN" w:bidi="ar-SA"/>
                    </w:rPr>
                    <w:t>5</w:t>
                  </w:r>
                  <w:r>
                    <w:rPr>
                      <w:rFonts w:hint="eastAsia" w:ascii="Times New Roman" w:hAnsi="Times New Roman" w:eastAsia="宋体" w:cs="Times New Roman"/>
                      <w:color w:val="auto"/>
                      <w:kern w:val="0"/>
                      <w:sz w:val="21"/>
                      <w:szCs w:val="20"/>
                      <w:lang w:val="en-US" w:eastAsia="zh-CN" w:bidi="ar-SA"/>
                    </w:rPr>
                    <w:t>）</w:t>
                  </w:r>
                  <w:r>
                    <w:rPr>
                      <w:rFonts w:ascii="Times New Roman" w:hAnsi="Times New Roman" w:eastAsia="宋体" w:cs="Times New Roman"/>
                      <w:color w:val="auto"/>
                      <w:kern w:val="0"/>
                      <w:sz w:val="21"/>
                      <w:szCs w:val="20"/>
                      <w:lang w:val="en-US" w:eastAsia="zh-CN" w:bidi="ar-SA"/>
                    </w:rPr>
                    <w:t>≤</w:t>
                  </w:r>
                </w:p>
              </w:tc>
              <w:tc>
                <w:tcPr>
                  <w:tcW w:w="739" w:type="pct"/>
                  <w:tcBorders>
                    <w:tl2br w:val="nil"/>
                    <w:tr2bl w:val="nil"/>
                  </w:tcBorders>
                  <w:shd w:val="clear" w:color="auto" w:fill="auto"/>
                  <w:noWrap w:val="0"/>
                  <w:vAlign w:val="center"/>
                </w:tcPr>
                <w:p w14:paraId="23E33ACE">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3</w:t>
                  </w:r>
                </w:p>
              </w:tc>
              <w:tc>
                <w:tcPr>
                  <w:tcW w:w="586" w:type="pct"/>
                  <w:tcBorders>
                    <w:tl2br w:val="nil"/>
                    <w:tr2bl w:val="nil"/>
                  </w:tcBorders>
                  <w:shd w:val="clear" w:color="auto" w:fill="A4A4A4"/>
                  <w:noWrap w:val="0"/>
                  <w:vAlign w:val="center"/>
                </w:tcPr>
                <w:p w14:paraId="1AE24C39">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4</w:t>
                  </w:r>
                </w:p>
              </w:tc>
              <w:tc>
                <w:tcPr>
                  <w:tcW w:w="585" w:type="pct"/>
                  <w:tcBorders>
                    <w:tl2br w:val="nil"/>
                    <w:tr2bl w:val="nil"/>
                  </w:tcBorders>
                  <w:noWrap w:val="0"/>
                  <w:vAlign w:val="center"/>
                </w:tcPr>
                <w:p w14:paraId="38FDC31C">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6</w:t>
                  </w:r>
                </w:p>
              </w:tc>
              <w:tc>
                <w:tcPr>
                  <w:tcW w:w="586" w:type="pct"/>
                  <w:tcBorders>
                    <w:tl2br w:val="nil"/>
                    <w:tr2bl w:val="nil"/>
                  </w:tcBorders>
                  <w:noWrap w:val="0"/>
                  <w:vAlign w:val="center"/>
                </w:tcPr>
                <w:p w14:paraId="733812BE">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shd w:val="clear" w:color="auto" w:fill="auto"/>
                      <w:lang w:val="en-US" w:eastAsia="zh-CN" w:bidi="ar-SA"/>
                    </w:rPr>
                  </w:pPr>
                  <w:r>
                    <w:rPr>
                      <w:rFonts w:ascii="Times New Roman" w:hAnsi="Times New Roman" w:eastAsia="宋体" w:cs="Times New Roman"/>
                      <w:color w:val="auto"/>
                      <w:kern w:val="0"/>
                      <w:sz w:val="21"/>
                      <w:szCs w:val="20"/>
                      <w:shd w:val="clear" w:color="auto" w:fill="auto"/>
                      <w:lang w:val="en-US" w:eastAsia="zh-CN" w:bidi="ar-SA"/>
                    </w:rPr>
                    <w:t>10</w:t>
                  </w:r>
                </w:p>
              </w:tc>
            </w:tr>
          </w:tbl>
          <w:p w14:paraId="75E42D14">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3.2.</w:t>
            </w:r>
            <w:r>
              <w:rPr>
                <w:rFonts w:hint="default" w:ascii="Times New Roman" w:hAnsi="Times New Roman" w:eastAsia="宋体" w:cs="Times New Roman"/>
                <w:b/>
                <w:bCs/>
                <w:color w:val="auto"/>
                <w:kern w:val="0"/>
                <w:sz w:val="24"/>
                <w:highlight w:val="none"/>
                <w:lang w:val="en-US" w:eastAsia="zh-CN"/>
              </w:rPr>
              <w:t>2</w:t>
            </w:r>
            <w:r>
              <w:rPr>
                <w:rFonts w:hint="default" w:ascii="Times New Roman" w:hAnsi="Times New Roman" w:eastAsia="宋体" w:cs="Times New Roman"/>
                <w:b/>
                <w:bCs/>
                <w:color w:val="auto"/>
                <w:kern w:val="0"/>
                <w:sz w:val="24"/>
                <w:highlight w:val="none"/>
              </w:rPr>
              <w:t>地表水环境质量现状</w:t>
            </w:r>
          </w:p>
          <w:p w14:paraId="5124A7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（1）</w:t>
            </w:r>
            <w:r>
              <w:rPr>
                <w:rFonts w:hint="default" w:ascii="Times New Roman" w:hAnsi="Times New Roman" w:eastAsia="宋体" w:cs="Times New Roman"/>
                <w:color w:val="auto"/>
                <w:sz w:val="24"/>
                <w:szCs w:val="24"/>
                <w:highlight w:val="none"/>
                <w:lang w:val="en-US" w:eastAsia="zh-CN"/>
              </w:rPr>
              <w:t>地表水水质现状调查</w:t>
            </w:r>
          </w:p>
          <w:p w14:paraId="466AB2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4"/>
                <w:szCs w:val="24"/>
                <w:highlight w:val="none"/>
                <w:lang w:val="en-US" w:eastAsia="zh-CN"/>
              </w:rPr>
              <w:t>本项目附近水域大樟溪。根据</w:t>
            </w:r>
            <w:r>
              <w:rPr>
                <w:rFonts w:hint="eastAsia" w:ascii="Times New Roman" w:hAnsi="Times New Roman" w:eastAsia="宋体" w:cs="Times New Roman"/>
                <w:color w:val="auto"/>
                <w:sz w:val="24"/>
                <w:szCs w:val="24"/>
                <w:highlight w:val="none"/>
                <w:lang w:val="en-US" w:eastAsia="zh-CN"/>
              </w:rPr>
              <w:t>福建省生态环境厅</w:t>
            </w:r>
            <w:r>
              <w:rPr>
                <w:rFonts w:hint="default" w:ascii="Times New Roman" w:hAnsi="Times New Roman" w:eastAsia="宋体" w:cs="Times New Roman"/>
                <w:color w:val="auto"/>
                <w:sz w:val="24"/>
                <w:szCs w:val="24"/>
                <w:highlight w:val="none"/>
                <w:lang w:val="en-US" w:eastAsia="zh-CN"/>
              </w:rPr>
              <w:t>网站上公布的《水质周报》，</w:t>
            </w:r>
            <w:r>
              <w:rPr>
                <w:rFonts w:hint="eastAsia" w:ascii="Times New Roman" w:hAnsi="Times New Roman" w:eastAsia="宋体" w:cs="Times New Roman"/>
                <w:color w:val="auto"/>
                <w:sz w:val="24"/>
                <w:szCs w:val="24"/>
                <w:highlight w:val="none"/>
                <w:lang w:val="en-US" w:eastAsia="zh-CN"/>
              </w:rPr>
              <w:t>2026年第8周</w:t>
            </w:r>
            <w:r>
              <w:rPr>
                <w:rFonts w:hint="default" w:ascii="Times New Roman" w:hAnsi="Times New Roman" w:eastAsia="宋体" w:cs="Times New Roman"/>
                <w:color w:val="auto"/>
                <w:sz w:val="24"/>
                <w:szCs w:val="24"/>
                <w:highlight w:val="none"/>
                <w:lang w:val="en-US" w:eastAsia="zh-CN"/>
              </w:rPr>
              <w:t>大樟溪监测点水环境质量良好，各检测项目均能达到《地表水环境质量标准》（GB3838-2002）中Ⅱ类水质标准，见图3.2-1。故项目区周边地表水环境质量现状良好。</w:t>
            </w:r>
          </w:p>
          <w:p w14:paraId="78F5FFA8">
            <w:pPr>
              <w:pStyle w:val="2"/>
              <w:numPr>
                <w:ilvl w:val="0"/>
                <w:numId w:val="0"/>
              </w:numPr>
              <w:jc w:val="center"/>
              <w:outlineLvl w:val="9"/>
              <w:rPr>
                <w:rFonts w:hint="eastAsia"/>
                <w:color w:val="auto"/>
                <w:highlight w:val="none"/>
                <w:lang w:val="en-US" w:eastAsia="zh-CN"/>
              </w:rPr>
            </w:pPr>
            <w:r>
              <w:rPr>
                <w:color w:val="auto"/>
              </w:rPr>
              <w:drawing>
                <wp:inline distT="0" distB="0" distL="114300" distR="114300">
                  <wp:extent cx="5059045" cy="3272155"/>
                  <wp:effectExtent l="0" t="0" r="0" b="0"/>
                  <wp:docPr id="45" name="图片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53"/>
                          <pic:cNvPicPr>
                            <a:picLocks noChangeAspect="1"/>
                          </pic:cNvPicPr>
                        </pic:nvPicPr>
                        <pic:blipFill>
                          <a:blip r:embed="rId38"/>
                          <a:stretch>
                            <a:fillRect/>
                          </a:stretch>
                        </pic:blipFill>
                        <pic:spPr>
                          <a:xfrm>
                            <a:off x="0" y="0"/>
                            <a:ext cx="5059045" cy="3272155"/>
                          </a:xfrm>
                          <a:prstGeom prst="rect">
                            <a:avLst/>
                          </a:prstGeom>
                          <a:noFill/>
                          <a:ln>
                            <a:noFill/>
                          </a:ln>
                        </pic:spPr>
                      </pic:pic>
                    </a:graphicData>
                  </a:graphic>
                </wp:inline>
              </w:drawing>
            </w:r>
          </w:p>
          <w:p w14:paraId="0FAB27B7">
            <w:pPr>
              <w:autoSpaceDE w:val="0"/>
              <w:autoSpaceDN w:val="0"/>
              <w:spacing w:line="360" w:lineRule="auto"/>
              <w:ind w:firstLine="422" w:firstLineChars="200"/>
              <w:jc w:val="center"/>
              <w:textAlignment w:val="bottom"/>
              <w:rPr>
                <w:rFonts w:hint="default" w:ascii="Times New Roman" w:hAnsi="Times New Roman" w:eastAsia="宋体" w:cs="Times New Roman"/>
                <w:b/>
                <w:bCs/>
                <w:color w:val="auto"/>
                <w:highlight w:val="none"/>
                <w:lang w:eastAsia="zh-CN"/>
              </w:rPr>
            </w:pPr>
            <w:r>
              <w:rPr>
                <w:rFonts w:hint="default" w:ascii="Times New Roman" w:hAnsi="Times New Roman" w:eastAsia="宋体" w:cs="Times New Roman"/>
                <w:b/>
                <w:bCs/>
                <w:color w:val="auto"/>
                <w:highlight w:val="none"/>
              </w:rPr>
              <w:t>图</w:t>
            </w:r>
            <w:r>
              <w:rPr>
                <w:rFonts w:hint="default" w:ascii="Times New Roman" w:hAnsi="Times New Roman" w:eastAsia="宋体" w:cs="Times New Roman"/>
                <w:b/>
                <w:bCs/>
                <w:color w:val="auto"/>
                <w:highlight w:val="none"/>
                <w:lang w:val="en-US" w:eastAsia="zh-CN"/>
              </w:rPr>
              <w:t>3.2</w:t>
            </w:r>
            <w:r>
              <w:rPr>
                <w:rFonts w:hint="default" w:ascii="Times New Roman" w:hAnsi="Times New Roman" w:eastAsia="宋体" w:cs="Times New Roman"/>
                <w:b/>
                <w:bCs/>
                <w:color w:val="auto"/>
                <w:highlight w:val="none"/>
              </w:rPr>
              <w:t>-1</w:t>
            </w:r>
            <w:r>
              <w:rPr>
                <w:rFonts w:hint="eastAsia" w:ascii="Times New Roman" w:hAnsi="Times New Roman" w:eastAsia="宋体" w:cs="Times New Roman"/>
                <w:b/>
                <w:bCs/>
                <w:color w:val="auto"/>
                <w:highlight w:val="none"/>
                <w:lang w:val="en-US" w:eastAsia="zh-CN"/>
              </w:rPr>
              <w:t xml:space="preserve">  福建省生态环境厅《水质周报》截图</w:t>
            </w:r>
          </w:p>
          <w:p w14:paraId="1C5A2CC6">
            <w:pPr>
              <w:pStyle w:val="43"/>
              <w:ind w:firstLine="480"/>
              <w:jc w:val="left"/>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引用数据的有效性分析</w:t>
            </w:r>
          </w:p>
          <w:p w14:paraId="1C235400">
            <w:pPr>
              <w:pStyle w:val="43"/>
              <w:ind w:firstLine="480"/>
              <w:jc w:val="left"/>
              <w:rPr>
                <w:rFonts w:hint="default" w:ascii="Times New Roman" w:hAnsi="Times New Roman" w:eastAsia="宋体" w:cs="Times New Roman"/>
                <w:color w:val="auto"/>
                <w:sz w:val="24"/>
                <w:szCs w:val="24"/>
                <w:highlight w:val="none"/>
                <w:lang w:val="en-US" w:eastAsia="zh-CN"/>
              </w:rPr>
            </w:pPr>
            <w:r>
              <w:rPr>
                <w:color w:val="auto"/>
                <w:sz w:val="24"/>
                <w:highlight w:val="none"/>
              </w:rPr>
              <w:t>根据《建设项目环境影响报告表编制技术指南</w:t>
            </w:r>
            <w:r>
              <w:rPr>
                <w:rFonts w:hint="eastAsia"/>
                <w:color w:val="auto"/>
                <w:sz w:val="24"/>
                <w:highlight w:val="none"/>
                <w:lang w:eastAsia="zh-CN"/>
              </w:rPr>
              <w:t>（</w:t>
            </w:r>
            <w:r>
              <w:rPr>
                <w:color w:val="auto"/>
                <w:sz w:val="24"/>
                <w:highlight w:val="none"/>
              </w:rPr>
              <w:t>污染影响类</w:t>
            </w:r>
            <w:r>
              <w:rPr>
                <w:rFonts w:hint="eastAsia"/>
                <w:color w:val="auto"/>
                <w:sz w:val="24"/>
                <w:highlight w:val="none"/>
                <w:lang w:eastAsia="zh-CN"/>
              </w:rPr>
              <w:t>）（</w:t>
            </w:r>
            <w:r>
              <w:rPr>
                <w:color w:val="auto"/>
                <w:sz w:val="24"/>
                <w:highlight w:val="none"/>
              </w:rPr>
              <w:t>试行</w:t>
            </w:r>
            <w:r>
              <w:rPr>
                <w:rFonts w:hint="eastAsia"/>
                <w:color w:val="auto"/>
                <w:sz w:val="24"/>
                <w:highlight w:val="none"/>
                <w:lang w:eastAsia="zh-CN"/>
              </w:rPr>
              <w:t>）</w:t>
            </w:r>
            <w:r>
              <w:rPr>
                <w:color w:val="auto"/>
                <w:sz w:val="24"/>
                <w:highlight w:val="none"/>
              </w:rPr>
              <w:t>》</w:t>
            </w:r>
            <w:r>
              <w:rPr>
                <w:rFonts w:hint="eastAsia"/>
                <w:color w:val="auto"/>
                <w:sz w:val="24"/>
                <w:highlight w:val="none"/>
                <w:lang w:eastAsia="zh-CN"/>
              </w:rPr>
              <w:t>（</w:t>
            </w:r>
            <w:r>
              <w:rPr>
                <w:color w:val="auto"/>
                <w:sz w:val="24"/>
                <w:highlight w:val="none"/>
              </w:rPr>
              <w:t>环办环评〔2020〕33号</w:t>
            </w:r>
            <w:r>
              <w:rPr>
                <w:rFonts w:hint="eastAsia"/>
                <w:color w:val="auto"/>
                <w:sz w:val="24"/>
                <w:highlight w:val="none"/>
                <w:lang w:eastAsia="zh-CN"/>
              </w:rPr>
              <w:t>）</w:t>
            </w:r>
            <w:r>
              <w:rPr>
                <w:color w:val="auto"/>
                <w:sz w:val="24"/>
                <w:highlight w:val="none"/>
              </w:rPr>
              <w:t>的要求：“</w:t>
            </w:r>
            <w:r>
              <w:rPr>
                <w:rFonts w:hint="eastAsia"/>
                <w:color w:val="auto"/>
                <w:sz w:val="24"/>
                <w:highlight w:val="none"/>
              </w:rPr>
              <w:t>地表水环境区域环境质量现状引用与建设项目距离近的有效数据，包括近3年的规划环境影响评价的监测数据，所在流域控制单元内国家、地方控制断面监测数据，生态环境主管部门发布的水环境质量数据或地表水达标情况的结论”</w:t>
            </w:r>
            <w:r>
              <w:rPr>
                <w:color w:val="auto"/>
                <w:sz w:val="24"/>
                <w:highlight w:val="none"/>
              </w:rPr>
              <w:t>。本评价引用福建省生态环境厅网站</w:t>
            </w:r>
            <w:r>
              <w:rPr>
                <w:rFonts w:hint="eastAsia"/>
                <w:color w:val="auto"/>
                <w:sz w:val="24"/>
                <w:highlight w:val="none"/>
              </w:rPr>
              <w:t>发布的水质周报，</w:t>
            </w:r>
            <w:r>
              <w:rPr>
                <w:color w:val="auto"/>
                <w:sz w:val="24"/>
                <w:highlight w:val="none"/>
              </w:rPr>
              <w:t>符合《建设项目环境影响报告表编制技术指南</w:t>
            </w:r>
            <w:r>
              <w:rPr>
                <w:rFonts w:hint="eastAsia"/>
                <w:color w:val="auto"/>
                <w:sz w:val="24"/>
                <w:highlight w:val="none"/>
                <w:lang w:eastAsia="zh-CN"/>
              </w:rPr>
              <w:t>（</w:t>
            </w:r>
            <w:r>
              <w:rPr>
                <w:color w:val="auto"/>
                <w:sz w:val="24"/>
                <w:highlight w:val="none"/>
              </w:rPr>
              <w:t>污染影响类</w:t>
            </w:r>
            <w:r>
              <w:rPr>
                <w:rFonts w:hint="eastAsia"/>
                <w:color w:val="auto"/>
                <w:sz w:val="24"/>
                <w:highlight w:val="none"/>
                <w:lang w:eastAsia="zh-CN"/>
              </w:rPr>
              <w:t>）（</w:t>
            </w:r>
            <w:r>
              <w:rPr>
                <w:color w:val="auto"/>
                <w:sz w:val="24"/>
                <w:highlight w:val="none"/>
              </w:rPr>
              <w:t>试行</w:t>
            </w:r>
            <w:r>
              <w:rPr>
                <w:rFonts w:hint="eastAsia"/>
                <w:color w:val="auto"/>
                <w:sz w:val="24"/>
                <w:highlight w:val="none"/>
                <w:lang w:eastAsia="zh-CN"/>
              </w:rPr>
              <w:t>）</w:t>
            </w:r>
            <w:r>
              <w:rPr>
                <w:color w:val="auto"/>
                <w:sz w:val="24"/>
                <w:highlight w:val="none"/>
              </w:rPr>
              <w:t>》</w:t>
            </w:r>
            <w:r>
              <w:rPr>
                <w:rFonts w:hint="eastAsia"/>
                <w:color w:val="auto"/>
                <w:sz w:val="24"/>
                <w:highlight w:val="none"/>
                <w:lang w:eastAsia="zh-CN"/>
              </w:rPr>
              <w:t>（</w:t>
            </w:r>
            <w:r>
              <w:rPr>
                <w:color w:val="auto"/>
                <w:sz w:val="24"/>
                <w:highlight w:val="none"/>
              </w:rPr>
              <w:t>环办环评〔2020〕33号</w:t>
            </w:r>
            <w:r>
              <w:rPr>
                <w:rFonts w:hint="eastAsia"/>
                <w:color w:val="auto"/>
                <w:sz w:val="24"/>
                <w:highlight w:val="none"/>
                <w:lang w:eastAsia="zh-CN"/>
              </w:rPr>
              <w:t>）</w:t>
            </w:r>
            <w:r>
              <w:rPr>
                <w:color w:val="auto"/>
                <w:sz w:val="24"/>
                <w:highlight w:val="none"/>
              </w:rPr>
              <w:t>的要求</w:t>
            </w:r>
            <w:r>
              <w:rPr>
                <w:rFonts w:hint="default" w:ascii="Times New Roman" w:hAnsi="Times New Roman" w:eastAsia="宋体" w:cs="Times New Roman"/>
                <w:color w:val="auto"/>
                <w:sz w:val="24"/>
                <w:szCs w:val="24"/>
                <w:highlight w:val="none"/>
              </w:rPr>
              <w:t>。</w:t>
            </w:r>
          </w:p>
          <w:p w14:paraId="66C863E1">
            <w:pPr>
              <w:keepNext/>
              <w:keepLines/>
              <w:widowControl w:val="0"/>
              <w:bidi w:val="0"/>
              <w:spacing w:beforeLines="0" w:beforeAutospacing="0" w:afterLines="0" w:afterAutospacing="0" w:line="360" w:lineRule="auto"/>
              <w:jc w:val="left"/>
              <w:outlineLvl w:val="1"/>
              <w:rPr>
                <w:rFonts w:hint="eastAsia" w:ascii="Times New Roman" w:hAnsi="Times New Roman" w:eastAsia="宋体" w:cs="Times New Roman"/>
                <w:b/>
                <w:color w:val="auto"/>
                <w:kern w:val="2"/>
                <w:sz w:val="28"/>
                <w:szCs w:val="24"/>
                <w:lang w:val="en-US" w:eastAsia="zh-CN" w:bidi="ar-SA"/>
              </w:rPr>
            </w:pPr>
            <w:bookmarkStart w:id="41" w:name="_Toc18845"/>
            <w:r>
              <w:rPr>
                <w:rFonts w:hint="eastAsia" w:ascii="Times New Roman" w:hAnsi="Times New Roman" w:eastAsia="宋体" w:cs="Times New Roman"/>
                <w:b/>
                <w:color w:val="auto"/>
                <w:kern w:val="2"/>
                <w:sz w:val="28"/>
                <w:szCs w:val="24"/>
                <w:lang w:val="en-US" w:eastAsia="zh-CN" w:bidi="ar-SA"/>
              </w:rPr>
              <w:t>3.3声环境质量现状</w:t>
            </w:r>
            <w:bookmarkEnd w:id="41"/>
          </w:p>
          <w:p w14:paraId="19659856">
            <w:pPr>
              <w:keepNext/>
              <w:keepLines/>
              <w:widowControl w:val="0"/>
              <w:bidi w:val="0"/>
              <w:spacing w:beforeLines="0" w:beforeAutospacing="0" w:afterLines="0" w:afterAutospacing="0" w:line="360" w:lineRule="auto"/>
              <w:jc w:val="left"/>
              <w:outlineLvl w:val="2"/>
              <w:rPr>
                <w:rFonts w:hint="default" w:ascii="Times New Roman" w:hAnsi="Times New Roman" w:eastAsia="宋体" w:cs="Times New Roman"/>
                <w:b/>
                <w:color w:val="auto"/>
                <w:kern w:val="2"/>
                <w:sz w:val="24"/>
                <w:szCs w:val="24"/>
                <w:lang w:val="en-US" w:eastAsia="zh-CN" w:bidi="ar-SA"/>
              </w:rPr>
            </w:pPr>
            <w:bookmarkStart w:id="42" w:name="_Toc1308"/>
            <w:r>
              <w:rPr>
                <w:rFonts w:hint="eastAsia" w:ascii="Times New Roman" w:hAnsi="Times New Roman" w:eastAsia="宋体" w:cs="Times New Roman"/>
                <w:b/>
                <w:color w:val="auto"/>
                <w:kern w:val="2"/>
                <w:sz w:val="24"/>
                <w:szCs w:val="24"/>
                <w:lang w:val="en-US" w:eastAsia="zh-CN" w:bidi="ar-SA"/>
              </w:rPr>
              <w:t>3.3.1声环境功能区划</w:t>
            </w:r>
            <w:bookmarkEnd w:id="42"/>
          </w:p>
          <w:p w14:paraId="43160CF6">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项目</w:t>
            </w:r>
            <w:r>
              <w:rPr>
                <w:rFonts w:hint="eastAsia" w:ascii="Times New Roman" w:hAnsi="Times New Roman" w:eastAsia="宋体" w:cs="宋体"/>
                <w:color w:val="auto"/>
                <w:kern w:val="2"/>
                <w:sz w:val="24"/>
                <w:szCs w:val="24"/>
                <w:lang w:val="en-US" w:eastAsia="zh-CN" w:bidi="ar-SA"/>
              </w:rPr>
              <w:t>位于福建省闽侯县南屿镇</w:t>
            </w:r>
            <w:r>
              <w:rPr>
                <w:rFonts w:hint="eastAsia" w:cs="宋体"/>
                <w:color w:val="auto"/>
                <w:kern w:val="2"/>
                <w:sz w:val="24"/>
                <w:szCs w:val="24"/>
                <w:lang w:val="en-US" w:eastAsia="zh-CN" w:bidi="ar-SA"/>
              </w:rPr>
              <w:t>广厦</w:t>
            </w:r>
            <w:r>
              <w:rPr>
                <w:rFonts w:hint="eastAsia" w:ascii="Times New Roman" w:hAnsi="Times New Roman" w:eastAsia="宋体" w:cs="宋体"/>
                <w:color w:val="auto"/>
                <w:kern w:val="2"/>
                <w:sz w:val="24"/>
                <w:szCs w:val="24"/>
                <w:lang w:val="en-US" w:eastAsia="zh-CN" w:bidi="ar-SA"/>
              </w:rPr>
              <w:t>村新南大道176号第三代半导体数字产业园</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二期</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4号楼5层、6层、7层</w:t>
            </w:r>
            <w:r>
              <w:rPr>
                <w:rFonts w:hint="default"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项目周边以工业生产、仓储物流为主要功能的区域，项目所在区域声环境为3类功能区，声环境功能执行《声环境质量标准》</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GB3096-2008</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表1中3类标准。</w:t>
            </w:r>
          </w:p>
          <w:p w14:paraId="5C5157D1">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表3.3-1  《声环境质量标准》（GB3096-2008）</w:t>
            </w:r>
          </w:p>
          <w:tbl>
            <w:tblPr>
              <w:tblStyle w:val="18"/>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25"/>
              <w:gridCol w:w="3987"/>
              <w:gridCol w:w="1361"/>
              <w:gridCol w:w="1445"/>
            </w:tblGrid>
            <w:tr w14:paraId="5A236F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965" w:type="pct"/>
                  <w:vMerge w:val="restart"/>
                  <w:tcBorders>
                    <w:tl2br w:val="nil"/>
                    <w:tr2bl w:val="nil"/>
                  </w:tcBorders>
                  <w:noWrap w:val="0"/>
                  <w:vAlign w:val="center"/>
                </w:tcPr>
                <w:p w14:paraId="723F255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标准类别</w:t>
                  </w:r>
                </w:p>
              </w:tc>
              <w:tc>
                <w:tcPr>
                  <w:tcW w:w="2367" w:type="pct"/>
                  <w:vMerge w:val="restart"/>
                  <w:tcBorders>
                    <w:tl2br w:val="nil"/>
                    <w:tr2bl w:val="nil"/>
                  </w:tcBorders>
                  <w:noWrap w:val="0"/>
                  <w:vAlign w:val="center"/>
                </w:tcPr>
                <w:p w14:paraId="159B5BE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适用区域</w:t>
                  </w:r>
                </w:p>
              </w:tc>
              <w:tc>
                <w:tcPr>
                  <w:tcW w:w="1666" w:type="pct"/>
                  <w:gridSpan w:val="2"/>
                  <w:tcBorders>
                    <w:tl2br w:val="nil"/>
                    <w:tr2bl w:val="nil"/>
                  </w:tcBorders>
                  <w:noWrap w:val="0"/>
                  <w:vAlign w:val="center"/>
                </w:tcPr>
                <w:p w14:paraId="7CAC877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等效声级Leq</w:t>
                  </w:r>
                  <w:r>
                    <w:rPr>
                      <w:rFonts w:hint="eastAsia" w:ascii="Times New Roman" w:hAnsi="Times New Roman" w:eastAsia="宋体" w:cs="Times New Roman"/>
                      <w:b/>
                      <w:bCs/>
                      <w:color w:val="auto"/>
                      <w:kern w:val="0"/>
                      <w:sz w:val="21"/>
                      <w:szCs w:val="20"/>
                      <w:lang w:val="en-US" w:eastAsia="zh-CN" w:bidi="ar-SA"/>
                    </w:rPr>
                    <w:t>（</w:t>
                  </w:r>
                  <w:r>
                    <w:rPr>
                      <w:rFonts w:ascii="Times New Roman" w:hAnsi="Times New Roman" w:eastAsia="宋体" w:cs="Times New Roman"/>
                      <w:b/>
                      <w:bCs/>
                      <w:color w:val="auto"/>
                      <w:kern w:val="0"/>
                      <w:sz w:val="21"/>
                      <w:szCs w:val="20"/>
                      <w:lang w:val="en-US" w:eastAsia="zh-CN" w:bidi="ar-SA"/>
                    </w:rPr>
                    <w:t>dB</w:t>
                  </w:r>
                  <w:r>
                    <w:rPr>
                      <w:rFonts w:hint="eastAsia" w:ascii="Times New Roman" w:hAnsi="Times New Roman" w:eastAsia="宋体" w:cs="Times New Roman"/>
                      <w:b/>
                      <w:bCs/>
                      <w:color w:val="auto"/>
                      <w:kern w:val="0"/>
                      <w:sz w:val="21"/>
                      <w:szCs w:val="20"/>
                      <w:lang w:val="en-US" w:eastAsia="zh-CN" w:bidi="ar-SA"/>
                    </w:rPr>
                    <w:t>（</w:t>
                  </w:r>
                  <w:r>
                    <w:rPr>
                      <w:rFonts w:ascii="Times New Roman" w:hAnsi="Times New Roman" w:eastAsia="宋体" w:cs="Times New Roman"/>
                      <w:b/>
                      <w:bCs/>
                      <w:color w:val="auto"/>
                      <w:kern w:val="0"/>
                      <w:sz w:val="21"/>
                      <w:szCs w:val="20"/>
                      <w:lang w:val="en-US" w:eastAsia="zh-CN" w:bidi="ar-SA"/>
                    </w:rPr>
                    <w:t>A</w:t>
                  </w:r>
                  <w:r>
                    <w:rPr>
                      <w:rFonts w:hint="eastAsia" w:ascii="Times New Roman" w:hAnsi="Times New Roman" w:eastAsia="宋体" w:cs="Times New Roman"/>
                      <w:b/>
                      <w:bCs/>
                      <w:color w:val="auto"/>
                      <w:kern w:val="0"/>
                      <w:sz w:val="21"/>
                      <w:szCs w:val="20"/>
                      <w:lang w:val="en-US" w:eastAsia="zh-CN" w:bidi="ar-SA"/>
                    </w:rPr>
                    <w:t>））</w:t>
                  </w:r>
                </w:p>
              </w:tc>
            </w:tr>
            <w:tr w14:paraId="3932B4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5" w:type="pct"/>
                  <w:vMerge w:val="continue"/>
                  <w:tcBorders>
                    <w:tl2br w:val="nil"/>
                    <w:tr2bl w:val="nil"/>
                  </w:tcBorders>
                  <w:noWrap w:val="0"/>
                  <w:vAlign w:val="center"/>
                </w:tcPr>
                <w:p w14:paraId="4B2780D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p>
              </w:tc>
              <w:tc>
                <w:tcPr>
                  <w:tcW w:w="2367" w:type="pct"/>
                  <w:vMerge w:val="continue"/>
                  <w:tcBorders>
                    <w:tl2br w:val="nil"/>
                    <w:tr2bl w:val="nil"/>
                  </w:tcBorders>
                  <w:noWrap w:val="0"/>
                  <w:vAlign w:val="center"/>
                </w:tcPr>
                <w:p w14:paraId="2C3DFC3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p>
              </w:tc>
              <w:tc>
                <w:tcPr>
                  <w:tcW w:w="808" w:type="pct"/>
                  <w:tcBorders>
                    <w:tl2br w:val="nil"/>
                    <w:tr2bl w:val="nil"/>
                  </w:tcBorders>
                  <w:noWrap w:val="0"/>
                  <w:vAlign w:val="center"/>
                </w:tcPr>
                <w:p w14:paraId="25257D9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昼间</w:t>
                  </w:r>
                </w:p>
              </w:tc>
              <w:tc>
                <w:tcPr>
                  <w:tcW w:w="857" w:type="pct"/>
                  <w:tcBorders>
                    <w:tl2br w:val="nil"/>
                    <w:tr2bl w:val="nil"/>
                  </w:tcBorders>
                  <w:noWrap w:val="0"/>
                  <w:vAlign w:val="center"/>
                </w:tcPr>
                <w:p w14:paraId="45A374F4">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夜间</w:t>
                  </w:r>
                </w:p>
              </w:tc>
            </w:tr>
            <w:tr w14:paraId="05EFA0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5" w:type="pct"/>
                  <w:tcBorders>
                    <w:tl2br w:val="nil"/>
                    <w:tr2bl w:val="nil"/>
                  </w:tcBorders>
                  <w:noWrap w:val="0"/>
                  <w:vAlign w:val="center"/>
                </w:tcPr>
                <w:p w14:paraId="70E589A7">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3</w:t>
                  </w:r>
                  <w:r>
                    <w:rPr>
                      <w:rFonts w:hint="eastAsia" w:ascii="Times New Roman" w:hAnsi="Times New Roman" w:eastAsia="宋体" w:cs="Times New Roman"/>
                      <w:color w:val="auto"/>
                      <w:kern w:val="0"/>
                      <w:sz w:val="21"/>
                      <w:szCs w:val="20"/>
                      <w:lang w:val="en-US" w:eastAsia="zh-CN" w:bidi="ar-SA"/>
                    </w:rPr>
                    <w:t>类</w:t>
                  </w:r>
                </w:p>
              </w:tc>
              <w:tc>
                <w:tcPr>
                  <w:tcW w:w="2367" w:type="pct"/>
                  <w:tcBorders>
                    <w:tl2br w:val="nil"/>
                    <w:tr2bl w:val="nil"/>
                  </w:tcBorders>
                  <w:noWrap w:val="0"/>
                  <w:vAlign w:val="center"/>
                </w:tcPr>
                <w:p w14:paraId="1AC02BB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指以工业生产、仓储物流为主要功能，需要防止工业噪声对周围环境产生严重影响的区域。</w:t>
                  </w:r>
                </w:p>
              </w:tc>
              <w:tc>
                <w:tcPr>
                  <w:tcW w:w="808" w:type="pct"/>
                  <w:tcBorders>
                    <w:tl2br w:val="nil"/>
                    <w:tr2bl w:val="nil"/>
                  </w:tcBorders>
                  <w:noWrap w:val="0"/>
                  <w:vAlign w:val="center"/>
                </w:tcPr>
                <w:p w14:paraId="4005402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≤65</w:t>
                  </w:r>
                </w:p>
              </w:tc>
              <w:tc>
                <w:tcPr>
                  <w:tcW w:w="857" w:type="pct"/>
                  <w:tcBorders>
                    <w:tl2br w:val="nil"/>
                    <w:tr2bl w:val="nil"/>
                  </w:tcBorders>
                  <w:noWrap w:val="0"/>
                  <w:vAlign w:val="center"/>
                </w:tcPr>
                <w:p w14:paraId="49B44DB2">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w:t>
                  </w:r>
                  <w:r>
                    <w:rPr>
                      <w:rFonts w:hint="eastAsia" w:ascii="Times New Roman" w:hAnsi="Times New Roman" w:eastAsia="宋体" w:cs="Times New Roman"/>
                      <w:color w:val="auto"/>
                      <w:kern w:val="0"/>
                      <w:sz w:val="21"/>
                      <w:szCs w:val="20"/>
                      <w:lang w:val="en-US" w:eastAsia="zh-CN" w:bidi="ar-SA"/>
                    </w:rPr>
                    <w:t>55</w:t>
                  </w:r>
                </w:p>
              </w:tc>
            </w:tr>
          </w:tbl>
          <w:p w14:paraId="11209411">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43" w:name="_Toc14039"/>
            <w:r>
              <w:rPr>
                <w:rFonts w:hint="eastAsia" w:ascii="Times New Roman" w:hAnsi="Times New Roman" w:eastAsia="宋体" w:cs="Times New Roman"/>
                <w:b/>
                <w:color w:val="auto"/>
                <w:kern w:val="2"/>
                <w:sz w:val="24"/>
                <w:szCs w:val="24"/>
                <w:lang w:val="en-US" w:eastAsia="zh-CN" w:bidi="ar-SA"/>
              </w:rPr>
              <w:t>3.3.2声环境质量现状</w:t>
            </w:r>
            <w:bookmarkEnd w:id="43"/>
          </w:p>
          <w:p w14:paraId="68E003C1">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根据《建设项目环境影响报告表编制技术指南（污染影响类）》</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环办环评〔2020〕33号</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要求，</w:t>
            </w:r>
            <w:r>
              <w:rPr>
                <w:rFonts w:hint="eastAsia" w:ascii="Times New Roman" w:hAnsi="Times New Roman" w:eastAsia="宋体" w:cs="宋体"/>
                <w:color w:val="auto"/>
                <w:kern w:val="2"/>
                <w:sz w:val="24"/>
                <w:szCs w:val="24"/>
                <w:lang w:val="en-US" w:eastAsia="zh-CN" w:bidi="ar-SA"/>
              </w:rPr>
              <w:t>“厂界外周边50米范围内存在声环境保护目标的建设项目，应监测保护目标声环境质量现状并评价达标情况。”</w:t>
            </w:r>
            <w:r>
              <w:rPr>
                <w:rFonts w:ascii="Times New Roman" w:hAnsi="Times New Roman" w:eastAsia="宋体" w:cs="宋体"/>
                <w:color w:val="auto"/>
                <w:kern w:val="2"/>
                <w:sz w:val="24"/>
                <w:szCs w:val="24"/>
                <w:lang w:val="en-US" w:eastAsia="zh-CN" w:bidi="ar-SA"/>
              </w:rPr>
              <w:t>根据现场踏勘可知，项目周边50米范围内无声环境保护目标，可不进行声环境质量现状的监测。</w:t>
            </w:r>
          </w:p>
          <w:p w14:paraId="761220FF">
            <w:pPr>
              <w:keepNext/>
              <w:keepLines/>
              <w:widowControl w:val="0"/>
              <w:bidi w:val="0"/>
              <w:spacing w:beforeLines="0" w:beforeAutospacing="0" w:afterLines="0" w:afterAutospacing="0" w:line="360" w:lineRule="auto"/>
              <w:jc w:val="left"/>
              <w:textAlignment w:val="center"/>
              <w:outlineLvl w:val="1"/>
              <w:rPr>
                <w:rFonts w:ascii="Times New Roman" w:hAnsi="Times New Roman" w:eastAsia="宋体" w:cs="Times New Roman"/>
                <w:b/>
                <w:color w:val="auto"/>
                <w:kern w:val="2"/>
                <w:sz w:val="28"/>
                <w:szCs w:val="24"/>
                <w:lang w:val="en-US" w:eastAsia="zh-CN" w:bidi="ar-SA"/>
              </w:rPr>
            </w:pPr>
            <w:bookmarkStart w:id="44" w:name="_Toc11057"/>
            <w:r>
              <w:rPr>
                <w:rFonts w:ascii="Times New Roman" w:hAnsi="Times New Roman" w:eastAsia="宋体" w:cs="Times New Roman"/>
                <w:b/>
                <w:color w:val="auto"/>
                <w:kern w:val="2"/>
                <w:sz w:val="28"/>
                <w:szCs w:val="24"/>
                <w:lang w:val="en-US" w:eastAsia="zh-CN" w:bidi="ar-SA"/>
              </w:rPr>
              <w:t>3.4 生态环境现状调查</w:t>
            </w:r>
            <w:bookmarkEnd w:id="44"/>
          </w:p>
          <w:p w14:paraId="3479A95D">
            <w:pPr>
              <w:widowControl w:val="0"/>
              <w:bidi w:val="0"/>
              <w:spacing w:line="360" w:lineRule="auto"/>
              <w:ind w:firstLine="480" w:firstLineChars="200"/>
              <w:jc w:val="both"/>
              <w:rPr>
                <w:rFonts w:ascii="Times New Roman" w:hAnsi="Times New Roman" w:eastAsia="宋体" w:cs="宋体"/>
                <w:color w:val="auto"/>
                <w:kern w:val="2"/>
                <w:sz w:val="24"/>
                <w:szCs w:val="24"/>
                <w:lang w:val="zh-CN" w:eastAsia="zh-CN" w:bidi="ar-SA"/>
              </w:rPr>
            </w:pPr>
            <w:r>
              <w:rPr>
                <w:rFonts w:ascii="Times New Roman" w:hAnsi="Times New Roman" w:eastAsia="宋体" w:cs="宋体"/>
                <w:color w:val="auto"/>
                <w:kern w:val="2"/>
                <w:sz w:val="24"/>
                <w:szCs w:val="24"/>
                <w:lang w:val="en-US" w:eastAsia="zh-CN" w:bidi="ar-SA"/>
              </w:rPr>
              <w:t>根据现场勘查，目前</w:t>
            </w:r>
            <w:r>
              <w:rPr>
                <w:rFonts w:hint="eastAsia" w:ascii="Times New Roman" w:hAnsi="Times New Roman" w:eastAsia="宋体" w:cs="宋体"/>
                <w:color w:val="auto"/>
                <w:kern w:val="2"/>
                <w:sz w:val="24"/>
                <w:szCs w:val="24"/>
                <w:lang w:val="en-US" w:eastAsia="zh-CN" w:bidi="ar-SA"/>
              </w:rPr>
              <w:t>本项目利用现有地块内的建筑物，</w:t>
            </w:r>
            <w:r>
              <w:rPr>
                <w:rFonts w:ascii="Times New Roman" w:hAnsi="Times New Roman" w:eastAsia="宋体" w:cs="宋体"/>
                <w:color w:val="auto"/>
                <w:kern w:val="2"/>
                <w:sz w:val="24"/>
                <w:szCs w:val="24"/>
                <w:lang w:val="zh-CN" w:eastAsia="zh-CN" w:bidi="ar-SA"/>
              </w:rPr>
              <w:t>项目用地周边为城市道路、其他企业等，项目评价区域主要植被为草坪、行道树等景观树种，主要动物为常见的蛙类、鸟类和昆虫类等，评价区域内无珍稀濒危物种、自然保护区、风景名胜区等生态敏感目标。调查区域也未发现国家重点保护的野生动植物等，因此，本环评不对生态环境现状进行评价</w:t>
            </w:r>
            <w:r>
              <w:rPr>
                <w:rFonts w:ascii="Times New Roman" w:hAnsi="Times New Roman" w:eastAsia="宋体" w:cs="宋体"/>
                <w:color w:val="auto"/>
                <w:kern w:val="2"/>
                <w:sz w:val="24"/>
                <w:szCs w:val="24"/>
                <w:lang w:val="en-US" w:eastAsia="zh-CN" w:bidi="ar-SA"/>
              </w:rPr>
              <w:t>。</w:t>
            </w:r>
          </w:p>
          <w:p w14:paraId="47C8BDFF">
            <w:pPr>
              <w:keepNext/>
              <w:keepLines/>
              <w:widowControl w:val="0"/>
              <w:bidi w:val="0"/>
              <w:spacing w:beforeLines="0" w:beforeAutospacing="0" w:afterLines="0" w:afterAutospacing="0" w:line="360" w:lineRule="auto"/>
              <w:jc w:val="left"/>
              <w:textAlignment w:val="center"/>
              <w:outlineLvl w:val="1"/>
              <w:rPr>
                <w:rFonts w:ascii="Times New Roman" w:hAnsi="Times New Roman" w:eastAsia="宋体" w:cs="Times New Roman"/>
                <w:b/>
                <w:color w:val="auto"/>
                <w:kern w:val="2"/>
                <w:sz w:val="28"/>
                <w:szCs w:val="24"/>
                <w:lang w:val="en-US" w:eastAsia="zh-CN" w:bidi="ar-SA"/>
              </w:rPr>
            </w:pPr>
            <w:bookmarkStart w:id="45" w:name="_Toc3033"/>
            <w:bookmarkStart w:id="46" w:name="_Toc20217"/>
            <w:r>
              <w:rPr>
                <w:rFonts w:ascii="Times New Roman" w:hAnsi="Times New Roman" w:eastAsia="宋体" w:cs="Times New Roman"/>
                <w:b/>
                <w:color w:val="auto"/>
                <w:kern w:val="2"/>
                <w:sz w:val="28"/>
                <w:szCs w:val="24"/>
                <w:lang w:val="en-US" w:eastAsia="zh-CN" w:bidi="ar-SA"/>
              </w:rPr>
              <w:t>3.5地下水、土壤环境质量现状</w:t>
            </w:r>
            <w:bookmarkEnd w:id="45"/>
            <w:bookmarkEnd w:id="46"/>
          </w:p>
          <w:p w14:paraId="55113E72">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ascii="Times New Roman" w:hAnsi="Times New Roman" w:eastAsia="宋体" w:cs="宋体"/>
                <w:color w:val="auto"/>
                <w:kern w:val="2"/>
                <w:sz w:val="24"/>
                <w:szCs w:val="24"/>
                <w:lang w:val="en-US" w:eastAsia="zh-CN" w:bidi="ar-SA"/>
              </w:rPr>
              <w:t>根据《建设项目环境影响报告表编制技术指南</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污染影响类</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试行</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环办环评〔2020〕33号</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规定，</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原则上不开展环境质量现状调查。建设项目存在土壤、地下水环境污染途径的，应结合污染源、保护目标分布情况开展现状调查以留作背景值</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w:t>
            </w:r>
          </w:p>
          <w:p w14:paraId="47A5B208">
            <w:pPr>
              <w:pStyle w:val="25"/>
              <w:bidi w:val="0"/>
              <w:rPr>
                <w:rFonts w:hint="default"/>
                <w:color w:val="auto"/>
                <w:lang w:val="en-US" w:eastAsia="zh-CN"/>
              </w:rPr>
            </w:pPr>
            <w:r>
              <w:rPr>
                <w:rFonts w:ascii="Times New Roman" w:hAnsi="Times New Roman" w:eastAsia="宋体" w:cs="宋体"/>
                <w:color w:val="auto"/>
                <w:kern w:val="2"/>
                <w:sz w:val="24"/>
                <w:szCs w:val="24"/>
                <w:lang w:val="en-US" w:eastAsia="zh-CN" w:bidi="ar-SA"/>
              </w:rPr>
              <w:t>项目位于</w:t>
            </w:r>
            <w:r>
              <w:rPr>
                <w:rFonts w:hint="eastAsia" w:ascii="Times New Roman" w:hAnsi="Times New Roman" w:eastAsia="宋体" w:cs="宋体"/>
                <w:color w:val="auto"/>
                <w:kern w:val="2"/>
                <w:sz w:val="24"/>
                <w:szCs w:val="24"/>
                <w:lang w:val="en-US" w:eastAsia="zh-CN" w:bidi="ar-SA"/>
              </w:rPr>
              <w:t>福建省闽侯县南屿镇窗厦村新南大道176号第三代半导体数字产业园</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二期</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4号楼5层、6层、7层</w:t>
            </w:r>
            <w:r>
              <w:rPr>
                <w:rFonts w:ascii="Times New Roman" w:hAnsi="Times New Roman" w:eastAsia="宋体" w:cs="宋体"/>
                <w:color w:val="auto"/>
                <w:kern w:val="2"/>
                <w:sz w:val="24"/>
                <w:szCs w:val="24"/>
                <w:lang w:val="en-US" w:eastAsia="zh-CN" w:bidi="ar-SA"/>
              </w:rPr>
              <w:t>，根据现场勘查，周边以工业企业为主；项目周边地下水、土壤环境相对不敏感，采取有效的防渗措施后，项目对地下水、土壤环境影响很小，基本不存在土壤、地下水环境污染途径，因此，本评价不对项目地下水、土壤环境质量进行补充监测。</w:t>
            </w:r>
          </w:p>
        </w:tc>
      </w:tr>
      <w:tr w14:paraId="6F287B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00" w:type="dxa"/>
            <w:noWrap w:val="0"/>
            <w:vAlign w:val="center"/>
          </w:tcPr>
          <w:p w14:paraId="3F7876F4">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环境</w:t>
            </w:r>
          </w:p>
          <w:p w14:paraId="3505901C">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保护</w:t>
            </w:r>
          </w:p>
          <w:p w14:paraId="49EEB81E">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目标</w:t>
            </w:r>
          </w:p>
        </w:tc>
        <w:tc>
          <w:tcPr>
            <w:tcW w:w="8190" w:type="dxa"/>
            <w:noWrap w:val="0"/>
            <w:vAlign w:val="center"/>
          </w:tcPr>
          <w:p w14:paraId="2C3C6675">
            <w:pPr>
              <w:keepNext/>
              <w:keepLines/>
              <w:widowControl w:val="0"/>
              <w:bidi w:val="0"/>
              <w:spacing w:beforeLines="0" w:beforeAutospacing="0" w:afterLines="0" w:afterAutospacing="0" w:line="360" w:lineRule="auto"/>
              <w:jc w:val="left"/>
              <w:outlineLvl w:val="1"/>
              <w:rPr>
                <w:rFonts w:hint="default" w:ascii="Times New Roman" w:hAnsi="Times New Roman" w:eastAsia="宋体" w:cs="Times New Roman"/>
                <w:b/>
                <w:color w:val="auto"/>
                <w:kern w:val="2"/>
                <w:sz w:val="28"/>
                <w:szCs w:val="24"/>
                <w:lang w:val="en-US" w:eastAsia="zh-CN" w:bidi="ar-SA"/>
              </w:rPr>
            </w:pPr>
            <w:bookmarkStart w:id="47" w:name="_Toc18638"/>
            <w:r>
              <w:rPr>
                <w:rFonts w:hint="eastAsia" w:ascii="Times New Roman" w:hAnsi="Times New Roman" w:eastAsia="宋体" w:cs="Times New Roman"/>
                <w:b/>
                <w:color w:val="auto"/>
                <w:kern w:val="2"/>
                <w:sz w:val="28"/>
                <w:szCs w:val="24"/>
                <w:lang w:val="en-US" w:eastAsia="zh-CN" w:bidi="ar-SA"/>
              </w:rPr>
              <w:t>3.6环境保护目标</w:t>
            </w:r>
            <w:bookmarkEnd w:id="47"/>
          </w:p>
          <w:p w14:paraId="00575675">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48" w:name="_Toc13494"/>
            <w:r>
              <w:rPr>
                <w:rFonts w:hint="eastAsia" w:ascii="Times New Roman" w:hAnsi="Times New Roman" w:eastAsia="宋体" w:cs="Times New Roman"/>
                <w:b/>
                <w:color w:val="auto"/>
                <w:kern w:val="2"/>
                <w:sz w:val="24"/>
                <w:szCs w:val="24"/>
                <w:lang w:val="en-US" w:eastAsia="zh-CN" w:bidi="ar-SA"/>
              </w:rPr>
              <w:t>3.6.1大气环境、水环境、声环境</w:t>
            </w:r>
            <w:bookmarkEnd w:id="48"/>
          </w:p>
          <w:p w14:paraId="71E7D526">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ascii="Times New Roman" w:hAnsi="Times New Roman" w:eastAsia="宋体" w:cs="宋体"/>
                <w:color w:val="auto"/>
                <w:kern w:val="2"/>
                <w:sz w:val="24"/>
                <w:szCs w:val="24"/>
                <w:lang w:val="en-US" w:eastAsia="zh-CN" w:bidi="ar-SA"/>
              </w:rPr>
              <w:t>根据《建设项目环境影响报告表编制技术指南（污染影响类）（试行）》（环办环评〔2020〕33号）要求以及对项目周边环境的调查，本项目厂界外500米范围内的大气环境保护目标、50米范围内的声环境保护目标及500米范围内的地下</w:t>
            </w:r>
            <w:r>
              <w:rPr>
                <w:rFonts w:hint="eastAsia" w:ascii="Times New Roman" w:hAnsi="Times New Roman" w:eastAsia="宋体" w:cs="宋体"/>
                <w:color w:val="auto"/>
                <w:kern w:val="2"/>
                <w:sz w:val="24"/>
                <w:szCs w:val="24"/>
                <w:lang w:val="en-US" w:eastAsia="zh-CN" w:bidi="ar-SA"/>
              </w:rPr>
              <w:t>水</w:t>
            </w:r>
            <w:r>
              <w:rPr>
                <w:rFonts w:ascii="Times New Roman" w:hAnsi="Times New Roman" w:eastAsia="宋体" w:cs="宋体"/>
                <w:color w:val="auto"/>
                <w:kern w:val="2"/>
                <w:sz w:val="24"/>
                <w:szCs w:val="24"/>
                <w:lang w:val="en-US" w:eastAsia="zh-CN" w:bidi="ar-SA"/>
              </w:rPr>
              <w:t>环境保护目标见表3</w:t>
            </w:r>
            <w:r>
              <w:rPr>
                <w:rFonts w:hint="eastAsia" w:ascii="Times New Roman" w:hAnsi="Times New Roman" w:eastAsia="宋体" w:cs="宋体"/>
                <w:color w:val="auto"/>
                <w:kern w:val="2"/>
                <w:sz w:val="24"/>
                <w:szCs w:val="24"/>
                <w:lang w:val="en-US" w:eastAsia="zh-CN" w:bidi="ar-SA"/>
              </w:rPr>
              <w:t>.6-1</w:t>
            </w:r>
            <w:r>
              <w:rPr>
                <w:rFonts w:ascii="Times New Roman" w:hAnsi="Times New Roman" w:eastAsia="宋体" w:cs="宋体"/>
                <w:color w:val="auto"/>
                <w:kern w:val="2"/>
                <w:sz w:val="24"/>
                <w:szCs w:val="24"/>
                <w:lang w:val="en-US" w:eastAsia="zh-CN" w:bidi="ar-SA"/>
              </w:rPr>
              <w:t>。主要环境保护目标和本项目的位置关系见附图</w:t>
            </w:r>
            <w:r>
              <w:rPr>
                <w:rFonts w:hint="eastAsia" w:ascii="Times New Roman" w:hAnsi="Times New Roman" w:eastAsia="宋体" w:cs="宋体"/>
                <w:color w:val="auto"/>
                <w:kern w:val="2"/>
                <w:sz w:val="24"/>
                <w:szCs w:val="24"/>
                <w:lang w:val="en-US" w:eastAsia="zh-CN" w:bidi="ar-SA"/>
              </w:rPr>
              <w:t>2</w:t>
            </w:r>
            <w:r>
              <w:rPr>
                <w:rFonts w:ascii="Times New Roman" w:hAnsi="Times New Roman" w:eastAsia="宋体" w:cs="宋体"/>
                <w:color w:val="auto"/>
                <w:kern w:val="2"/>
                <w:sz w:val="24"/>
                <w:szCs w:val="24"/>
                <w:lang w:val="en-US" w:eastAsia="zh-CN" w:bidi="ar-SA"/>
              </w:rPr>
              <w:t>。</w:t>
            </w:r>
          </w:p>
          <w:p w14:paraId="3322F079">
            <w:pPr>
              <w:widowControl w:val="0"/>
              <w:bidi w:val="0"/>
              <w:adjustRightInd w:val="0"/>
              <w:snapToGrid w:val="0"/>
              <w:spacing w:before="10" w:beforeLines="10" w:after="10" w:afterLines="10"/>
              <w:jc w:val="center"/>
              <w:rPr>
                <w:rFonts w:hint="eastAsia"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表3.6-1  环境保护目标一览表</w:t>
            </w:r>
          </w:p>
          <w:tbl>
            <w:tblPr>
              <w:tblStyle w:val="42"/>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698"/>
              <w:gridCol w:w="1250"/>
              <w:gridCol w:w="709"/>
              <w:gridCol w:w="1494"/>
              <w:gridCol w:w="1125"/>
              <w:gridCol w:w="3144"/>
            </w:tblGrid>
            <w:tr w14:paraId="5AA98E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415" w:type="pct"/>
                  <w:noWrap w:val="0"/>
                  <w:vAlign w:val="center"/>
                </w:tcPr>
                <w:p w14:paraId="64DDBB8C">
                  <w:pPr>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环境类别</w:t>
                  </w:r>
                </w:p>
              </w:tc>
              <w:tc>
                <w:tcPr>
                  <w:tcW w:w="742" w:type="pct"/>
                  <w:noWrap w:val="0"/>
                  <w:vAlign w:val="center"/>
                </w:tcPr>
                <w:p w14:paraId="0F75893D">
                  <w:pPr>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环境保护目标</w:t>
                  </w:r>
                </w:p>
              </w:tc>
              <w:tc>
                <w:tcPr>
                  <w:tcW w:w="421" w:type="pct"/>
                  <w:noWrap w:val="0"/>
                  <w:vAlign w:val="center"/>
                </w:tcPr>
                <w:p w14:paraId="402817CC">
                  <w:pPr>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方位</w:t>
                  </w:r>
                </w:p>
              </w:tc>
              <w:tc>
                <w:tcPr>
                  <w:tcW w:w="887" w:type="pct"/>
                  <w:noWrap w:val="0"/>
                  <w:vAlign w:val="center"/>
                </w:tcPr>
                <w:p w14:paraId="30698AA7">
                  <w:pPr>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距项目边界最近距离（m）</w:t>
                  </w:r>
                </w:p>
              </w:tc>
              <w:tc>
                <w:tcPr>
                  <w:tcW w:w="668" w:type="pct"/>
                  <w:noWrap w:val="0"/>
                  <w:vAlign w:val="center"/>
                </w:tcPr>
                <w:p w14:paraId="7FA544FE">
                  <w:pPr>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规模</w:t>
                  </w:r>
                </w:p>
              </w:tc>
              <w:tc>
                <w:tcPr>
                  <w:tcW w:w="1865" w:type="pct"/>
                  <w:noWrap w:val="0"/>
                  <w:vAlign w:val="center"/>
                </w:tcPr>
                <w:p w14:paraId="247349DD">
                  <w:pPr>
                    <w:ind w:firstLine="42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保护级别及要求</w:t>
                  </w:r>
                </w:p>
              </w:tc>
            </w:tr>
            <w:tr w14:paraId="2C849B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415" w:type="pct"/>
                  <w:noWrap w:val="0"/>
                  <w:vAlign w:val="center"/>
                </w:tcPr>
                <w:p w14:paraId="2BA5DDAD">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地表</w:t>
                  </w:r>
                  <w:r>
                    <w:rPr>
                      <w:rFonts w:hint="default" w:ascii="Times New Roman" w:hAnsi="Times New Roman" w:eastAsia="宋体" w:cs="Times New Roman"/>
                      <w:color w:val="auto"/>
                      <w:sz w:val="21"/>
                      <w:szCs w:val="21"/>
                      <w:highlight w:val="none"/>
                    </w:rPr>
                    <w:t>水环境</w:t>
                  </w:r>
                </w:p>
              </w:tc>
              <w:tc>
                <w:tcPr>
                  <w:tcW w:w="742" w:type="pct"/>
                  <w:noWrap w:val="0"/>
                  <w:vAlign w:val="center"/>
                </w:tcPr>
                <w:p w14:paraId="343C60BF">
                  <w:pPr>
                    <w:spacing w:line="240" w:lineRule="auto"/>
                    <w:ind w:firstLine="0" w:firstLineChars="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大樟溪</w:t>
                  </w:r>
                </w:p>
              </w:tc>
              <w:tc>
                <w:tcPr>
                  <w:tcW w:w="421" w:type="pct"/>
                  <w:noWrap w:val="0"/>
                  <w:vAlign w:val="center"/>
                </w:tcPr>
                <w:p w14:paraId="2CFAFA64">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东</w:t>
                  </w:r>
                  <w:r>
                    <w:rPr>
                      <w:rFonts w:hint="default" w:ascii="Times New Roman" w:hAnsi="Times New Roman" w:eastAsia="宋体" w:cs="Times New Roman"/>
                      <w:color w:val="auto"/>
                      <w:sz w:val="21"/>
                      <w:szCs w:val="21"/>
                      <w:highlight w:val="none"/>
                    </w:rPr>
                    <w:t>侧</w:t>
                  </w:r>
                </w:p>
              </w:tc>
              <w:tc>
                <w:tcPr>
                  <w:tcW w:w="887" w:type="pct"/>
                  <w:noWrap w:val="0"/>
                  <w:vAlign w:val="center"/>
                </w:tcPr>
                <w:p w14:paraId="2DFD16C4">
                  <w:pPr>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890</w:t>
                  </w:r>
                </w:p>
              </w:tc>
              <w:tc>
                <w:tcPr>
                  <w:tcW w:w="668" w:type="pct"/>
                  <w:noWrap w:val="0"/>
                  <w:vAlign w:val="center"/>
                </w:tcPr>
                <w:p w14:paraId="5A757733">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1865" w:type="pct"/>
                  <w:noWrap w:val="0"/>
                  <w:vAlign w:val="center"/>
                </w:tcPr>
                <w:p w14:paraId="339CE480">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《地表水环境质量标准》（GB3838-2002）</w:t>
                  </w:r>
                  <w:r>
                    <w:rPr>
                      <w:rFonts w:hint="default" w:ascii="Times New Roman" w:hAnsi="Times New Roman" w:eastAsia="宋体" w:cs="Times New Roman"/>
                      <w:color w:val="auto"/>
                      <w:sz w:val="21"/>
                      <w:szCs w:val="21"/>
                      <w:highlight w:val="none"/>
                      <w:lang w:val="en-US" w:eastAsia="zh-CN"/>
                    </w:rPr>
                    <w:t>Ⅲ</w:t>
                  </w:r>
                  <w:r>
                    <w:rPr>
                      <w:rFonts w:hint="default" w:ascii="Times New Roman" w:hAnsi="Times New Roman" w:eastAsia="宋体" w:cs="Times New Roman"/>
                      <w:color w:val="auto"/>
                      <w:sz w:val="21"/>
                      <w:szCs w:val="21"/>
                      <w:highlight w:val="none"/>
                    </w:rPr>
                    <w:t>类标准</w:t>
                  </w:r>
                </w:p>
              </w:tc>
            </w:tr>
            <w:tr w14:paraId="094A6B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42" w:hRule="atLeast"/>
              </w:trPr>
              <w:tc>
                <w:tcPr>
                  <w:tcW w:w="415" w:type="pct"/>
                  <w:vMerge w:val="restart"/>
                  <w:noWrap w:val="0"/>
                  <w:vAlign w:val="center"/>
                </w:tcPr>
                <w:p w14:paraId="16CCECE0">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环境空气</w:t>
                  </w:r>
                </w:p>
              </w:tc>
              <w:tc>
                <w:tcPr>
                  <w:tcW w:w="742" w:type="pct"/>
                  <w:noWrap w:val="0"/>
                  <w:vAlign w:val="center"/>
                </w:tcPr>
                <w:p w14:paraId="56D5E178">
                  <w:pPr>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窗厦村</w:t>
                  </w:r>
                </w:p>
              </w:tc>
              <w:tc>
                <w:tcPr>
                  <w:tcW w:w="421" w:type="pct"/>
                  <w:noWrap w:val="0"/>
                  <w:vAlign w:val="center"/>
                </w:tcPr>
                <w:p w14:paraId="528E71A3">
                  <w:pPr>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南</w:t>
                  </w:r>
                  <w:r>
                    <w:rPr>
                      <w:rFonts w:hint="default" w:ascii="Times New Roman" w:hAnsi="Times New Roman" w:eastAsia="宋体" w:cs="Times New Roman"/>
                      <w:color w:val="auto"/>
                      <w:sz w:val="21"/>
                      <w:szCs w:val="21"/>
                      <w:highlight w:val="none"/>
                    </w:rPr>
                    <w:t>侧</w:t>
                  </w:r>
                </w:p>
              </w:tc>
              <w:tc>
                <w:tcPr>
                  <w:tcW w:w="887" w:type="pct"/>
                  <w:noWrap w:val="0"/>
                  <w:vAlign w:val="center"/>
                </w:tcPr>
                <w:p w14:paraId="46951586">
                  <w:pPr>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340</w:t>
                  </w:r>
                </w:p>
              </w:tc>
              <w:tc>
                <w:tcPr>
                  <w:tcW w:w="668" w:type="pct"/>
                  <w:noWrap w:val="0"/>
                  <w:vAlign w:val="center"/>
                </w:tcPr>
                <w:p w14:paraId="1CAEF275">
                  <w:pPr>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30</w:t>
                  </w:r>
                  <w:r>
                    <w:rPr>
                      <w:rFonts w:hint="default" w:ascii="Times New Roman" w:hAnsi="Times New Roman" w:eastAsia="宋体" w:cs="Times New Roman"/>
                      <w:color w:val="auto"/>
                      <w:sz w:val="21"/>
                      <w:szCs w:val="21"/>
                      <w:highlight w:val="none"/>
                    </w:rPr>
                    <w:t>00人</w:t>
                  </w:r>
                </w:p>
              </w:tc>
              <w:tc>
                <w:tcPr>
                  <w:tcW w:w="1865" w:type="pct"/>
                  <w:vMerge w:val="restart"/>
                  <w:noWrap w:val="0"/>
                  <w:vAlign w:val="center"/>
                </w:tcPr>
                <w:p w14:paraId="23813BA2">
                  <w:pPr>
                    <w:spacing w:line="240" w:lineRule="auto"/>
                    <w:ind w:firstLine="0" w:firstLineChars="0"/>
                    <w:jc w:val="center"/>
                    <w:rPr>
                      <w:rFonts w:hint="default" w:ascii="Times New Roman" w:hAnsi="Times New Roman" w:eastAsia="宋体" w:cs="Times New Roman"/>
                      <w:color w:val="auto"/>
                      <w:sz w:val="21"/>
                      <w:szCs w:val="21"/>
                      <w:highlight w:val="none"/>
                    </w:rPr>
                  </w:pPr>
                  <w:r>
                    <w:rPr>
                      <w:rFonts w:ascii="Times New Roman" w:hAnsi="Times New Roman" w:eastAsia="宋体"/>
                      <w:color w:val="auto"/>
                      <w:sz w:val="21"/>
                      <w:szCs w:val="21"/>
                    </w:rPr>
                    <w:t>《环境空气质量标准》（GB3095-2026）</w:t>
                  </w:r>
                  <w:r>
                    <w:rPr>
                      <w:rFonts w:hint="eastAsia" w:ascii="Times New Roman" w:hAnsi="Times New Roman" w:eastAsia="宋体"/>
                      <w:color w:val="auto"/>
                      <w:sz w:val="21"/>
                      <w:szCs w:val="21"/>
                      <w:lang w:val="en-US" w:eastAsia="zh-CN"/>
                    </w:rPr>
                    <w:t>中表1二级过渡阶段浓度限值</w:t>
                  </w:r>
                </w:p>
              </w:tc>
            </w:tr>
            <w:tr w14:paraId="22636D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42" w:hRule="atLeast"/>
              </w:trPr>
              <w:tc>
                <w:tcPr>
                  <w:tcW w:w="415" w:type="pct"/>
                  <w:vMerge w:val="continue"/>
                  <w:noWrap w:val="0"/>
                  <w:vAlign w:val="center"/>
                </w:tcPr>
                <w:p w14:paraId="20E53067">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742" w:type="pct"/>
                  <w:noWrap w:val="0"/>
                  <w:vAlign w:val="center"/>
                </w:tcPr>
                <w:p w14:paraId="491D1802">
                  <w:pPr>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福建技师学院（南屿校区）</w:t>
                  </w:r>
                </w:p>
              </w:tc>
              <w:tc>
                <w:tcPr>
                  <w:tcW w:w="421" w:type="pct"/>
                  <w:noWrap w:val="0"/>
                  <w:vAlign w:val="center"/>
                </w:tcPr>
                <w:p w14:paraId="3C40CEF5">
                  <w:pPr>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北侧</w:t>
                  </w:r>
                </w:p>
              </w:tc>
              <w:tc>
                <w:tcPr>
                  <w:tcW w:w="887" w:type="pct"/>
                  <w:noWrap w:val="0"/>
                  <w:vAlign w:val="center"/>
                </w:tcPr>
                <w:p w14:paraId="4243EE2A">
                  <w:pPr>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440</w:t>
                  </w:r>
                </w:p>
              </w:tc>
              <w:tc>
                <w:tcPr>
                  <w:tcW w:w="668" w:type="pct"/>
                  <w:noWrap w:val="0"/>
                  <w:vAlign w:val="center"/>
                </w:tcPr>
                <w:p w14:paraId="43EB3B7F">
                  <w:pPr>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1100人</w:t>
                  </w:r>
                </w:p>
              </w:tc>
              <w:tc>
                <w:tcPr>
                  <w:tcW w:w="1865" w:type="pct"/>
                  <w:vMerge w:val="continue"/>
                  <w:noWrap w:val="0"/>
                  <w:vAlign w:val="center"/>
                </w:tcPr>
                <w:p w14:paraId="2BF22BB1">
                  <w:pPr>
                    <w:spacing w:line="240" w:lineRule="auto"/>
                    <w:ind w:firstLine="0" w:firstLineChars="0"/>
                    <w:jc w:val="center"/>
                    <w:rPr>
                      <w:rFonts w:hint="default" w:ascii="Times New Roman" w:hAnsi="Times New Roman" w:eastAsia="宋体" w:cs="Times New Roman"/>
                      <w:color w:val="auto"/>
                      <w:sz w:val="21"/>
                      <w:szCs w:val="21"/>
                      <w:highlight w:val="none"/>
                    </w:rPr>
                  </w:pPr>
                </w:p>
              </w:tc>
            </w:tr>
            <w:tr w14:paraId="03FC6F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42" w:hRule="atLeast"/>
              </w:trPr>
              <w:tc>
                <w:tcPr>
                  <w:tcW w:w="415" w:type="pct"/>
                  <w:vMerge w:val="continue"/>
                  <w:noWrap w:val="0"/>
                  <w:vAlign w:val="center"/>
                </w:tcPr>
                <w:p w14:paraId="12D7DE30">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742" w:type="pct"/>
                  <w:noWrap w:val="0"/>
                  <w:vAlign w:val="center"/>
                </w:tcPr>
                <w:p w14:paraId="3781B149">
                  <w:pPr>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南湾公寓</w:t>
                  </w:r>
                </w:p>
              </w:tc>
              <w:tc>
                <w:tcPr>
                  <w:tcW w:w="421" w:type="pct"/>
                  <w:noWrap w:val="0"/>
                  <w:vAlign w:val="center"/>
                </w:tcPr>
                <w:p w14:paraId="201BA60B">
                  <w:pPr>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西北侧</w:t>
                  </w:r>
                </w:p>
              </w:tc>
              <w:tc>
                <w:tcPr>
                  <w:tcW w:w="887" w:type="pct"/>
                  <w:noWrap w:val="0"/>
                  <w:vAlign w:val="center"/>
                </w:tcPr>
                <w:p w14:paraId="621C716F">
                  <w:pPr>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459</w:t>
                  </w:r>
                </w:p>
              </w:tc>
              <w:tc>
                <w:tcPr>
                  <w:tcW w:w="668" w:type="pct"/>
                  <w:noWrap w:val="0"/>
                  <w:vAlign w:val="center"/>
                </w:tcPr>
                <w:p w14:paraId="46C1E6F3">
                  <w:pPr>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1300人</w:t>
                  </w:r>
                </w:p>
              </w:tc>
              <w:tc>
                <w:tcPr>
                  <w:tcW w:w="1865" w:type="pct"/>
                  <w:vMerge w:val="continue"/>
                  <w:noWrap w:val="0"/>
                  <w:vAlign w:val="center"/>
                </w:tcPr>
                <w:p w14:paraId="532F4ABD">
                  <w:pPr>
                    <w:spacing w:line="240" w:lineRule="auto"/>
                    <w:ind w:firstLine="0" w:firstLineChars="0"/>
                    <w:jc w:val="center"/>
                    <w:rPr>
                      <w:rFonts w:hint="default" w:ascii="Times New Roman" w:hAnsi="Times New Roman" w:eastAsia="宋体" w:cs="Times New Roman"/>
                      <w:color w:val="auto"/>
                      <w:sz w:val="21"/>
                      <w:szCs w:val="21"/>
                      <w:highlight w:val="none"/>
                    </w:rPr>
                  </w:pPr>
                </w:p>
              </w:tc>
            </w:tr>
            <w:tr w14:paraId="5C13E7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42" w:hRule="atLeast"/>
              </w:trPr>
              <w:tc>
                <w:tcPr>
                  <w:tcW w:w="415" w:type="pct"/>
                  <w:vMerge w:val="continue"/>
                  <w:noWrap w:val="0"/>
                  <w:vAlign w:val="center"/>
                </w:tcPr>
                <w:p w14:paraId="498F4A65">
                  <w:pPr>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742" w:type="pct"/>
                  <w:noWrap w:val="0"/>
                  <w:vAlign w:val="center"/>
                </w:tcPr>
                <w:p w14:paraId="53F6516A">
                  <w:pPr>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宿舍楼（目前空置状态）</w:t>
                  </w:r>
                </w:p>
              </w:tc>
              <w:tc>
                <w:tcPr>
                  <w:tcW w:w="421" w:type="pct"/>
                  <w:noWrap w:val="0"/>
                  <w:vAlign w:val="center"/>
                </w:tcPr>
                <w:p w14:paraId="30581418">
                  <w:pPr>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南侧</w:t>
                  </w:r>
                </w:p>
              </w:tc>
              <w:tc>
                <w:tcPr>
                  <w:tcW w:w="887" w:type="pct"/>
                  <w:noWrap w:val="0"/>
                  <w:vAlign w:val="center"/>
                </w:tcPr>
                <w:p w14:paraId="4ABFB090">
                  <w:pPr>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72</w:t>
                  </w:r>
                </w:p>
              </w:tc>
              <w:tc>
                <w:tcPr>
                  <w:tcW w:w="668" w:type="pct"/>
                  <w:noWrap w:val="0"/>
                  <w:vAlign w:val="center"/>
                </w:tcPr>
                <w:p w14:paraId="6FEBE4D6">
                  <w:pPr>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0人</w:t>
                  </w:r>
                </w:p>
              </w:tc>
              <w:tc>
                <w:tcPr>
                  <w:tcW w:w="1865" w:type="pct"/>
                  <w:vMerge w:val="continue"/>
                  <w:noWrap w:val="0"/>
                  <w:vAlign w:val="center"/>
                </w:tcPr>
                <w:p w14:paraId="5B10A3C8">
                  <w:pPr>
                    <w:spacing w:line="240" w:lineRule="auto"/>
                    <w:ind w:firstLine="0" w:firstLineChars="0"/>
                    <w:jc w:val="center"/>
                    <w:rPr>
                      <w:rFonts w:hint="default" w:ascii="Times New Roman" w:hAnsi="Times New Roman" w:eastAsia="宋体" w:cs="Times New Roman"/>
                      <w:color w:val="auto"/>
                      <w:sz w:val="21"/>
                      <w:szCs w:val="21"/>
                      <w:highlight w:val="none"/>
                    </w:rPr>
                  </w:pPr>
                </w:p>
              </w:tc>
            </w:tr>
            <w:tr w14:paraId="5093AE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42" w:hRule="atLeast"/>
              </w:trPr>
              <w:tc>
                <w:tcPr>
                  <w:tcW w:w="415" w:type="pct"/>
                  <w:noWrap w:val="0"/>
                  <w:vAlign w:val="center"/>
                </w:tcPr>
                <w:p w14:paraId="1E3D6F6E">
                  <w:pPr>
                    <w:spacing w:line="240" w:lineRule="auto"/>
                    <w:ind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声环境</w:t>
                  </w:r>
                </w:p>
              </w:tc>
              <w:tc>
                <w:tcPr>
                  <w:tcW w:w="4584" w:type="pct"/>
                  <w:gridSpan w:val="5"/>
                  <w:noWrap w:val="0"/>
                  <w:vAlign w:val="center"/>
                </w:tcPr>
                <w:p w14:paraId="30A6A2A4">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50m范围内无声环境敏感目标</w:t>
                  </w:r>
                </w:p>
              </w:tc>
            </w:tr>
            <w:tr w14:paraId="7BBEBC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42" w:hRule="atLeast"/>
              </w:trPr>
              <w:tc>
                <w:tcPr>
                  <w:tcW w:w="415" w:type="pct"/>
                  <w:noWrap w:val="0"/>
                  <w:vAlign w:val="center"/>
                </w:tcPr>
                <w:p w14:paraId="6737674C">
                  <w:pPr>
                    <w:spacing w:line="240" w:lineRule="auto"/>
                    <w:ind w:firstLine="0" w:firstLineChars="0"/>
                    <w:jc w:val="center"/>
                    <w:rPr>
                      <w:rFonts w:hint="default"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地下水环境</w:t>
                  </w:r>
                </w:p>
              </w:tc>
              <w:tc>
                <w:tcPr>
                  <w:tcW w:w="4584" w:type="pct"/>
                  <w:gridSpan w:val="5"/>
                  <w:noWrap w:val="0"/>
                  <w:vAlign w:val="center"/>
                </w:tcPr>
                <w:p w14:paraId="2C459842">
                  <w:pPr>
                    <w:spacing w:line="240" w:lineRule="auto"/>
                    <w:ind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厂界外500米范围内的地下水集中式饮用水水源和热水、矿泉水、温泉等特殊地下水资源</w:t>
                  </w:r>
                </w:p>
              </w:tc>
            </w:tr>
            <w:tr w14:paraId="173794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42" w:hRule="atLeast"/>
              </w:trPr>
              <w:tc>
                <w:tcPr>
                  <w:tcW w:w="5000" w:type="pct"/>
                  <w:gridSpan w:val="6"/>
                  <w:noWrap w:val="0"/>
                  <w:vAlign w:val="center"/>
                </w:tcPr>
                <w:p w14:paraId="6C100D42">
                  <w:pPr>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0"/>
                      <w:szCs w:val="20"/>
                      <w:highlight w:val="none"/>
                      <w:lang w:val="en-US" w:eastAsia="zh-CN"/>
                    </w:rPr>
                    <w:t>注：园区规划存在建设员工生活区域用地，目</w:t>
                  </w:r>
                  <w:r>
                    <w:rPr>
                      <w:rFonts w:hint="eastAsia" w:cs="Times New Roman"/>
                      <w:color w:val="auto"/>
                      <w:sz w:val="20"/>
                      <w:szCs w:val="20"/>
                      <w:highlight w:val="none"/>
                      <w:lang w:val="en-US" w:eastAsia="zh-CN"/>
                    </w:rPr>
                    <w:t>前尚</w:t>
                  </w:r>
                  <w:r>
                    <w:rPr>
                      <w:rFonts w:hint="eastAsia" w:ascii="Times New Roman" w:hAnsi="Times New Roman" w:eastAsia="宋体" w:cs="Times New Roman"/>
                      <w:color w:val="auto"/>
                      <w:sz w:val="20"/>
                      <w:szCs w:val="20"/>
                      <w:highlight w:val="none"/>
                      <w:lang w:val="en-US" w:eastAsia="zh-CN"/>
                    </w:rPr>
                    <w:t>未建设开发为闲置空地，故不列入评价范围</w:t>
                  </w:r>
                </w:p>
              </w:tc>
            </w:tr>
          </w:tbl>
          <w:p w14:paraId="1D4B0201">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49" w:name="_Toc2552"/>
            <w:r>
              <w:rPr>
                <w:rFonts w:hint="eastAsia" w:ascii="Times New Roman" w:hAnsi="Times New Roman" w:eastAsia="宋体" w:cs="Times New Roman"/>
                <w:b/>
                <w:color w:val="auto"/>
                <w:kern w:val="2"/>
                <w:sz w:val="24"/>
                <w:szCs w:val="24"/>
                <w:lang w:val="en-US" w:eastAsia="zh-CN" w:bidi="ar-SA"/>
              </w:rPr>
              <w:t>3.6.2生态环境保护目标</w:t>
            </w:r>
            <w:bookmarkEnd w:id="49"/>
          </w:p>
          <w:p w14:paraId="6151C22E">
            <w:pPr>
              <w:pStyle w:val="25"/>
              <w:bidi w:val="0"/>
              <w:rPr>
                <w:color w:val="auto"/>
              </w:rPr>
            </w:pPr>
            <w:r>
              <w:rPr>
                <w:color w:val="auto"/>
                <w:lang w:val="en-US" w:eastAsia="zh-CN"/>
              </w:rPr>
              <w:t>根据《建设项目环境影响报告表编制技术指南</w:t>
            </w:r>
            <w:r>
              <w:rPr>
                <w:rFonts w:hint="eastAsia"/>
                <w:color w:val="auto"/>
                <w:lang w:val="en-US" w:eastAsia="zh-CN"/>
              </w:rPr>
              <w:t>（</w:t>
            </w:r>
            <w:r>
              <w:rPr>
                <w:color w:val="auto"/>
                <w:lang w:val="en-US" w:eastAsia="zh-CN"/>
              </w:rPr>
              <w:t>污染影响类</w:t>
            </w:r>
            <w:r>
              <w:rPr>
                <w:rFonts w:hint="eastAsia"/>
                <w:color w:val="auto"/>
                <w:lang w:val="en-US" w:eastAsia="zh-CN"/>
              </w:rPr>
              <w:t>）（</w:t>
            </w:r>
            <w:r>
              <w:rPr>
                <w:color w:val="auto"/>
                <w:lang w:val="en-US" w:eastAsia="zh-CN"/>
              </w:rPr>
              <w:t>试行</w:t>
            </w:r>
            <w:r>
              <w:rPr>
                <w:rFonts w:hint="eastAsia"/>
                <w:color w:val="auto"/>
                <w:lang w:val="en-US" w:eastAsia="zh-CN"/>
              </w:rPr>
              <w:t>）</w:t>
            </w:r>
            <w:r>
              <w:rPr>
                <w:color w:val="auto"/>
                <w:lang w:val="en-US" w:eastAsia="zh-CN"/>
              </w:rPr>
              <w:t>》</w:t>
            </w:r>
            <w:r>
              <w:rPr>
                <w:rFonts w:hint="eastAsia"/>
                <w:color w:val="auto"/>
                <w:lang w:val="en-US" w:eastAsia="zh-CN"/>
              </w:rPr>
              <w:t>（</w:t>
            </w:r>
            <w:r>
              <w:rPr>
                <w:color w:val="auto"/>
                <w:lang w:val="en-US" w:eastAsia="zh-CN"/>
              </w:rPr>
              <w:t>环办环评〔2020〕33号</w:t>
            </w:r>
            <w:r>
              <w:rPr>
                <w:rFonts w:hint="eastAsia"/>
                <w:color w:val="auto"/>
                <w:lang w:val="en-US" w:eastAsia="zh-CN"/>
              </w:rPr>
              <w:t>）“</w:t>
            </w:r>
            <w:r>
              <w:rPr>
                <w:color w:val="auto"/>
                <w:lang w:val="en-US" w:eastAsia="zh-CN"/>
              </w:rPr>
              <w:t>产业园区外建设项目新增用地的，应明确新增用地范围内生态环境保护目标</w:t>
            </w:r>
            <w:r>
              <w:rPr>
                <w:rFonts w:hint="eastAsia"/>
                <w:color w:val="auto"/>
                <w:lang w:val="en-US" w:eastAsia="zh-CN"/>
              </w:rPr>
              <w:t>”</w:t>
            </w:r>
            <w:r>
              <w:rPr>
                <w:color w:val="auto"/>
                <w:lang w:val="en-US" w:eastAsia="zh-CN"/>
              </w:rPr>
              <w:t>。本项目</w:t>
            </w:r>
            <w:r>
              <w:rPr>
                <w:rFonts w:hint="eastAsia"/>
                <w:color w:val="auto"/>
                <w:lang w:val="en-US" w:eastAsia="zh-CN"/>
              </w:rPr>
              <w:t>所在区域不属于重点生态功能区，不涉及生态保护红线，不涉及饮用水源保护区、风景名胜区、重要湿地、生态公益林、重要自然与人文景观、文物古迹、基本农田及其他需要特别保护的生态环境保护目标。</w:t>
            </w:r>
          </w:p>
        </w:tc>
      </w:tr>
      <w:tr w14:paraId="68431A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800" w:type="dxa"/>
            <w:noWrap w:val="0"/>
            <w:tcMar>
              <w:left w:w="28" w:type="dxa"/>
              <w:right w:w="28" w:type="dxa"/>
            </w:tcMar>
            <w:vAlign w:val="center"/>
          </w:tcPr>
          <w:p w14:paraId="262DFC12">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污染</w:t>
            </w:r>
          </w:p>
          <w:p w14:paraId="038F0ED8">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物排</w:t>
            </w:r>
          </w:p>
          <w:p w14:paraId="46D21D86">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lang w:eastAsia="zh-CN"/>
              </w:rPr>
              <w:t>防控</w:t>
            </w:r>
          </w:p>
          <w:p w14:paraId="587147B3">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制标</w:t>
            </w:r>
          </w:p>
          <w:p w14:paraId="32F4A2E8">
            <w:pPr>
              <w:adjustRightInd w:val="0"/>
              <w:snapToGrid w:val="0"/>
              <w:jc w:val="center"/>
              <w:rPr>
                <w:rFonts w:ascii="宋体" w:hAnsi="宋体" w:cs="宋体"/>
                <w:color w:val="auto"/>
                <w:kern w:val="0"/>
                <w:szCs w:val="21"/>
              </w:rPr>
            </w:pPr>
            <w:r>
              <w:rPr>
                <w:rFonts w:hint="eastAsia" w:ascii="宋体" w:hAnsi="宋体" w:cs="宋体"/>
                <w:color w:val="auto"/>
                <w:kern w:val="0"/>
                <w:szCs w:val="21"/>
              </w:rPr>
              <w:t>准</w:t>
            </w:r>
          </w:p>
        </w:tc>
        <w:tc>
          <w:tcPr>
            <w:tcW w:w="8190" w:type="dxa"/>
            <w:noWrap w:val="0"/>
            <w:vAlign w:val="center"/>
          </w:tcPr>
          <w:p w14:paraId="636DB1F8">
            <w:pPr>
              <w:keepNext/>
              <w:keepLines/>
              <w:widowControl w:val="0"/>
              <w:bidi w:val="0"/>
              <w:spacing w:beforeLines="0" w:beforeAutospacing="0" w:afterLines="0" w:afterAutospacing="0" w:line="360" w:lineRule="auto"/>
              <w:jc w:val="left"/>
              <w:outlineLvl w:val="1"/>
              <w:rPr>
                <w:rFonts w:hint="eastAsia" w:ascii="Times New Roman" w:hAnsi="Times New Roman" w:eastAsia="宋体" w:cs="Times New Roman"/>
                <w:b/>
                <w:color w:val="auto"/>
                <w:kern w:val="2"/>
                <w:sz w:val="28"/>
                <w:szCs w:val="24"/>
                <w:lang w:val="en-US" w:eastAsia="zh-CN" w:bidi="ar-SA"/>
              </w:rPr>
            </w:pPr>
            <w:bookmarkStart w:id="50" w:name="_Toc4022"/>
            <w:r>
              <w:rPr>
                <w:rFonts w:hint="eastAsia" w:ascii="Times New Roman" w:hAnsi="Times New Roman" w:eastAsia="宋体" w:cs="Times New Roman"/>
                <w:b/>
                <w:color w:val="auto"/>
                <w:kern w:val="2"/>
                <w:sz w:val="28"/>
                <w:szCs w:val="24"/>
                <w:lang w:val="en-US" w:eastAsia="zh-CN" w:bidi="ar-SA"/>
              </w:rPr>
              <w:t>3.7污染物排放标准</w:t>
            </w:r>
            <w:bookmarkEnd w:id="50"/>
          </w:p>
          <w:p w14:paraId="308D2FCD">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51" w:name="_Toc15519"/>
            <w:r>
              <w:rPr>
                <w:rFonts w:hint="eastAsia" w:ascii="Times New Roman" w:hAnsi="Times New Roman" w:eastAsia="宋体" w:cs="Times New Roman"/>
                <w:b/>
                <w:color w:val="auto"/>
                <w:kern w:val="2"/>
                <w:sz w:val="24"/>
                <w:szCs w:val="24"/>
                <w:lang w:val="en-US" w:eastAsia="zh-CN" w:bidi="ar-SA"/>
              </w:rPr>
              <w:t>3.7.1水污染物排放标准</w:t>
            </w:r>
            <w:bookmarkEnd w:id="51"/>
          </w:p>
          <w:p w14:paraId="2843C996">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（1）项目废水污染物排放标准</w:t>
            </w:r>
          </w:p>
          <w:p w14:paraId="2ECA4B21">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本项目外排废水包括生活污水和生产废水。生活污水执行《污水综合排放标准》（GB8978-1996）中表4三级标准，其中氨氮执行《污水排入城镇下水道水质标准》（GB/T 31962-2015）表1中B级标准</w:t>
            </w:r>
            <w:r>
              <w:rPr>
                <w:rFonts w:hint="eastAsia" w:cs="宋体"/>
                <w:color w:val="auto"/>
                <w:kern w:val="2"/>
                <w:sz w:val="24"/>
                <w:szCs w:val="24"/>
                <w:lang w:val="en-US" w:eastAsia="zh-CN" w:bidi="ar-SA"/>
              </w:rPr>
              <w:t>；生产废水执行</w:t>
            </w:r>
            <w:r>
              <w:rPr>
                <w:rFonts w:ascii="宋体" w:hAnsi="宋体" w:eastAsia="宋体" w:cs="宋体"/>
                <w:color w:val="auto"/>
                <w:sz w:val="24"/>
                <w:szCs w:val="24"/>
              </w:rPr>
              <w:t>《电子工业水污染物排放标准》</w:t>
            </w:r>
            <w:r>
              <w:rPr>
                <w:rFonts w:hint="eastAsia" w:ascii="Times New Roman" w:hAnsi="Times New Roman" w:eastAsia="宋体" w:cs="宋体"/>
                <w:color w:val="auto"/>
                <w:kern w:val="2"/>
                <w:sz w:val="24"/>
                <w:szCs w:val="24"/>
                <w:lang w:val="en-US" w:eastAsia="zh-CN" w:bidi="ar-SA"/>
              </w:rPr>
              <w:t>（GB 39731-2020）表1规定的水污染物排放限值，具体详见表3.7-1</w:t>
            </w:r>
            <w:r>
              <w:rPr>
                <w:rFonts w:hint="eastAsia" w:cs="宋体"/>
                <w:color w:val="auto"/>
                <w:kern w:val="2"/>
                <w:sz w:val="24"/>
                <w:szCs w:val="24"/>
                <w:lang w:val="en-US" w:eastAsia="zh-CN" w:bidi="ar-SA"/>
              </w:rPr>
              <w:t>，表3.7-2</w:t>
            </w:r>
            <w:r>
              <w:rPr>
                <w:rFonts w:hint="eastAsia" w:ascii="Times New Roman" w:hAnsi="Times New Roman" w:eastAsia="宋体" w:cs="宋体"/>
                <w:color w:val="auto"/>
                <w:kern w:val="2"/>
                <w:sz w:val="24"/>
                <w:szCs w:val="24"/>
                <w:lang w:val="en-US" w:eastAsia="zh-CN" w:bidi="ar-SA"/>
              </w:rPr>
              <w:t>。</w:t>
            </w:r>
          </w:p>
          <w:p w14:paraId="29738490">
            <w:pPr>
              <w:widowControl w:val="0"/>
              <w:bidi w:val="0"/>
              <w:adjustRightInd w:val="0"/>
              <w:snapToGrid w:val="0"/>
              <w:spacing w:before="10" w:beforeLines="10" w:after="10" w:afterLines="10"/>
              <w:jc w:val="center"/>
              <w:rPr>
                <w:rFonts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 xml:space="preserve">表3.7-1  </w:t>
            </w:r>
            <w:r>
              <w:rPr>
                <w:rFonts w:ascii="Times New Roman" w:hAnsi="Times New Roman" w:eastAsia="宋体" w:cs="Times New Roman"/>
                <w:b/>
                <w:color w:val="auto"/>
                <w:kern w:val="0"/>
                <w:sz w:val="24"/>
                <w:szCs w:val="20"/>
                <w:lang w:val="en-US" w:eastAsia="zh-CN" w:bidi="ar-SA"/>
              </w:rPr>
              <w:t>项目</w:t>
            </w:r>
            <w:r>
              <w:rPr>
                <w:rFonts w:hint="eastAsia" w:ascii="Times New Roman" w:hAnsi="Times New Roman" w:eastAsia="宋体" w:cs="Times New Roman"/>
                <w:b/>
                <w:color w:val="auto"/>
                <w:kern w:val="0"/>
                <w:sz w:val="24"/>
                <w:szCs w:val="20"/>
                <w:lang w:val="en-US" w:eastAsia="zh-CN" w:bidi="ar-SA"/>
              </w:rPr>
              <w:t>生活污水</w:t>
            </w:r>
            <w:r>
              <w:rPr>
                <w:rFonts w:ascii="Times New Roman" w:hAnsi="Times New Roman" w:eastAsia="宋体" w:cs="Times New Roman"/>
                <w:b/>
                <w:color w:val="auto"/>
                <w:kern w:val="0"/>
                <w:sz w:val="24"/>
                <w:szCs w:val="20"/>
                <w:lang w:val="en-US" w:eastAsia="zh-CN" w:bidi="ar-SA"/>
              </w:rPr>
              <w:t>排放标准</w:t>
            </w:r>
          </w:p>
          <w:tbl>
            <w:tblPr>
              <w:tblStyle w:val="1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95"/>
              <w:gridCol w:w="2036"/>
              <w:gridCol w:w="4586"/>
            </w:tblGrid>
            <w:tr w14:paraId="0F0E2F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6" w:type="pct"/>
                  <w:tcBorders>
                    <w:tl2br w:val="nil"/>
                    <w:tr2bl w:val="nil"/>
                  </w:tcBorders>
                  <w:noWrap w:val="0"/>
                  <w:vAlign w:val="center"/>
                </w:tcPr>
                <w:p w14:paraId="6C4A5F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污染物名称</w:t>
                  </w:r>
                </w:p>
              </w:tc>
              <w:tc>
                <w:tcPr>
                  <w:tcW w:w="1209" w:type="pct"/>
                  <w:tcBorders>
                    <w:tl2br w:val="nil"/>
                    <w:tr2bl w:val="nil"/>
                  </w:tcBorders>
                  <w:noWrap w:val="0"/>
                  <w:vAlign w:val="center"/>
                </w:tcPr>
                <w:p w14:paraId="377FAB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标准值</w:t>
                  </w:r>
                </w:p>
              </w:tc>
              <w:tc>
                <w:tcPr>
                  <w:tcW w:w="2723" w:type="pct"/>
                  <w:tcBorders>
                    <w:tl2br w:val="nil"/>
                    <w:tr2bl w:val="nil"/>
                  </w:tcBorders>
                  <w:noWrap w:val="0"/>
                  <w:vAlign w:val="center"/>
                </w:tcPr>
                <w:p w14:paraId="5639D2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标准来源</w:t>
                  </w:r>
                </w:p>
              </w:tc>
            </w:tr>
            <w:tr w14:paraId="2C4B17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6" w:type="pct"/>
                  <w:tcBorders>
                    <w:tl2br w:val="nil"/>
                    <w:tr2bl w:val="nil"/>
                  </w:tcBorders>
                  <w:noWrap w:val="0"/>
                  <w:vAlign w:val="center"/>
                </w:tcPr>
                <w:p w14:paraId="089491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pH</w:t>
                  </w:r>
                </w:p>
              </w:tc>
              <w:tc>
                <w:tcPr>
                  <w:tcW w:w="1209" w:type="pct"/>
                  <w:tcBorders>
                    <w:tl2br w:val="nil"/>
                    <w:tr2bl w:val="nil"/>
                  </w:tcBorders>
                  <w:noWrap w:val="0"/>
                  <w:vAlign w:val="center"/>
                </w:tcPr>
                <w:p w14:paraId="35DE53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6～9</w:t>
                  </w:r>
                  <w:r>
                    <w:rPr>
                      <w:rFonts w:hint="eastAsia" w:ascii="Times New Roman" w:hAnsi="Times New Roman" w:eastAsia="宋体" w:cs="Times New Roman"/>
                      <w:color w:val="auto"/>
                      <w:kern w:val="0"/>
                      <w:sz w:val="21"/>
                      <w:szCs w:val="20"/>
                      <w:lang w:val="en-US" w:eastAsia="zh-CN" w:bidi="ar-SA"/>
                    </w:rPr>
                    <w:t>（</w:t>
                  </w:r>
                  <w:r>
                    <w:rPr>
                      <w:rFonts w:ascii="Times New Roman" w:hAnsi="Times New Roman" w:eastAsia="宋体" w:cs="Times New Roman"/>
                      <w:color w:val="auto"/>
                      <w:kern w:val="0"/>
                      <w:sz w:val="21"/>
                      <w:szCs w:val="20"/>
                      <w:lang w:val="en-US" w:eastAsia="zh-CN" w:bidi="ar-SA"/>
                    </w:rPr>
                    <w:t>无量纲</w:t>
                  </w:r>
                  <w:r>
                    <w:rPr>
                      <w:rFonts w:hint="eastAsia" w:ascii="Times New Roman" w:hAnsi="Times New Roman" w:eastAsia="宋体" w:cs="Times New Roman"/>
                      <w:color w:val="auto"/>
                      <w:kern w:val="0"/>
                      <w:sz w:val="21"/>
                      <w:szCs w:val="20"/>
                      <w:lang w:val="en-US" w:eastAsia="zh-CN" w:bidi="ar-SA"/>
                    </w:rPr>
                    <w:t>）</w:t>
                  </w:r>
                </w:p>
              </w:tc>
              <w:tc>
                <w:tcPr>
                  <w:tcW w:w="2723" w:type="pct"/>
                  <w:vMerge w:val="restart"/>
                  <w:tcBorders>
                    <w:tl2br w:val="nil"/>
                    <w:tr2bl w:val="nil"/>
                  </w:tcBorders>
                  <w:noWrap w:val="0"/>
                  <w:vAlign w:val="center"/>
                </w:tcPr>
                <w:p w14:paraId="23C414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《污水综合排放标准》</w:t>
                  </w:r>
                  <w:r>
                    <w:rPr>
                      <w:rFonts w:hint="eastAsia" w:ascii="Times New Roman" w:hAnsi="Times New Roman" w:eastAsia="宋体" w:cs="Times New Roman"/>
                      <w:color w:val="auto"/>
                      <w:kern w:val="0"/>
                      <w:sz w:val="21"/>
                      <w:szCs w:val="20"/>
                      <w:lang w:val="en-US" w:eastAsia="zh-CN" w:bidi="ar-SA"/>
                    </w:rPr>
                    <w:t>（</w:t>
                  </w:r>
                  <w:r>
                    <w:rPr>
                      <w:rFonts w:ascii="Times New Roman" w:hAnsi="Times New Roman" w:eastAsia="宋体" w:cs="Times New Roman"/>
                      <w:color w:val="auto"/>
                      <w:kern w:val="0"/>
                      <w:sz w:val="21"/>
                      <w:szCs w:val="20"/>
                      <w:lang w:val="en-US" w:eastAsia="zh-CN" w:bidi="ar-SA"/>
                    </w:rPr>
                    <w:t>GB8978-1996</w:t>
                  </w:r>
                  <w:r>
                    <w:rPr>
                      <w:rFonts w:hint="eastAsia" w:ascii="Times New Roman" w:hAnsi="Times New Roman" w:eastAsia="宋体" w:cs="Times New Roman"/>
                      <w:color w:val="auto"/>
                      <w:kern w:val="0"/>
                      <w:sz w:val="21"/>
                      <w:szCs w:val="20"/>
                      <w:lang w:val="en-US" w:eastAsia="zh-CN" w:bidi="ar-SA"/>
                    </w:rPr>
                    <w:t>）</w:t>
                  </w:r>
                  <w:r>
                    <w:rPr>
                      <w:rFonts w:ascii="Times New Roman" w:hAnsi="Times New Roman" w:eastAsia="宋体" w:cs="Times New Roman"/>
                      <w:color w:val="auto"/>
                      <w:kern w:val="0"/>
                      <w:sz w:val="21"/>
                      <w:szCs w:val="20"/>
                      <w:lang w:val="en-US" w:eastAsia="zh-CN" w:bidi="ar-SA"/>
                    </w:rPr>
                    <w:t>中表4三级标准</w:t>
                  </w:r>
                </w:p>
              </w:tc>
            </w:tr>
            <w:tr w14:paraId="236E4B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6" w:type="pct"/>
                  <w:tcBorders>
                    <w:tl2br w:val="nil"/>
                    <w:tr2bl w:val="nil"/>
                  </w:tcBorders>
                  <w:noWrap w:val="0"/>
                  <w:vAlign w:val="center"/>
                </w:tcPr>
                <w:p w14:paraId="16EA7A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COD</w:t>
                  </w:r>
                </w:p>
              </w:tc>
              <w:tc>
                <w:tcPr>
                  <w:tcW w:w="1209" w:type="pct"/>
                  <w:tcBorders>
                    <w:tl2br w:val="nil"/>
                    <w:tr2bl w:val="nil"/>
                  </w:tcBorders>
                  <w:noWrap w:val="0"/>
                  <w:vAlign w:val="center"/>
                </w:tcPr>
                <w:p w14:paraId="1B8F65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500mg/L</w:t>
                  </w:r>
                </w:p>
              </w:tc>
              <w:tc>
                <w:tcPr>
                  <w:tcW w:w="2723" w:type="pct"/>
                  <w:vMerge w:val="continue"/>
                  <w:tcBorders>
                    <w:tl2br w:val="nil"/>
                    <w:tr2bl w:val="nil"/>
                  </w:tcBorders>
                  <w:noWrap w:val="0"/>
                  <w:vAlign w:val="center"/>
                </w:tcPr>
                <w:p w14:paraId="5DE52A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r>
            <w:tr w14:paraId="45590B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6" w:type="pct"/>
                  <w:tcBorders>
                    <w:tl2br w:val="nil"/>
                    <w:tr2bl w:val="nil"/>
                  </w:tcBorders>
                  <w:noWrap w:val="0"/>
                  <w:vAlign w:val="center"/>
                </w:tcPr>
                <w:p w14:paraId="0D697F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BOD</w:t>
                  </w:r>
                  <w:r>
                    <w:rPr>
                      <w:rFonts w:ascii="Times New Roman" w:hAnsi="Times New Roman" w:eastAsia="宋体" w:cs="Times New Roman"/>
                      <w:color w:val="auto"/>
                      <w:kern w:val="0"/>
                      <w:sz w:val="21"/>
                      <w:szCs w:val="20"/>
                      <w:vertAlign w:val="subscript"/>
                      <w:lang w:val="en-US" w:eastAsia="zh-CN" w:bidi="ar-SA"/>
                    </w:rPr>
                    <w:t>5</w:t>
                  </w:r>
                </w:p>
              </w:tc>
              <w:tc>
                <w:tcPr>
                  <w:tcW w:w="1209" w:type="pct"/>
                  <w:tcBorders>
                    <w:tl2br w:val="nil"/>
                    <w:tr2bl w:val="nil"/>
                  </w:tcBorders>
                  <w:noWrap w:val="0"/>
                  <w:vAlign w:val="center"/>
                </w:tcPr>
                <w:p w14:paraId="781941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300mg/L</w:t>
                  </w:r>
                </w:p>
              </w:tc>
              <w:tc>
                <w:tcPr>
                  <w:tcW w:w="2723" w:type="pct"/>
                  <w:vMerge w:val="continue"/>
                  <w:tcBorders>
                    <w:tl2br w:val="nil"/>
                    <w:tr2bl w:val="nil"/>
                  </w:tcBorders>
                  <w:noWrap w:val="0"/>
                  <w:vAlign w:val="center"/>
                </w:tcPr>
                <w:p w14:paraId="1334D6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r>
            <w:tr w14:paraId="19215F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066" w:type="pct"/>
                  <w:tcBorders>
                    <w:tl2br w:val="nil"/>
                    <w:tr2bl w:val="nil"/>
                  </w:tcBorders>
                  <w:noWrap w:val="0"/>
                  <w:vAlign w:val="center"/>
                </w:tcPr>
                <w:p w14:paraId="30A45B0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SS</w:t>
                  </w:r>
                </w:p>
              </w:tc>
              <w:tc>
                <w:tcPr>
                  <w:tcW w:w="1209" w:type="pct"/>
                  <w:tcBorders>
                    <w:tl2br w:val="nil"/>
                    <w:tr2bl w:val="nil"/>
                  </w:tcBorders>
                  <w:noWrap w:val="0"/>
                  <w:vAlign w:val="center"/>
                </w:tcPr>
                <w:p w14:paraId="18BFC6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400mg/L</w:t>
                  </w:r>
                </w:p>
              </w:tc>
              <w:tc>
                <w:tcPr>
                  <w:tcW w:w="2723" w:type="pct"/>
                  <w:vMerge w:val="continue"/>
                  <w:tcBorders>
                    <w:tl2br w:val="nil"/>
                    <w:tr2bl w:val="nil"/>
                  </w:tcBorders>
                  <w:noWrap w:val="0"/>
                  <w:vAlign w:val="center"/>
                </w:tcPr>
                <w:p w14:paraId="4AB7EA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r>
            <w:tr w14:paraId="3A03F8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6" w:type="pct"/>
                  <w:tcBorders>
                    <w:tl2br w:val="nil"/>
                    <w:tr2bl w:val="nil"/>
                  </w:tcBorders>
                  <w:noWrap w:val="0"/>
                  <w:vAlign w:val="center"/>
                </w:tcPr>
                <w:p w14:paraId="3D8388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NH</w:t>
                  </w:r>
                  <w:r>
                    <w:rPr>
                      <w:rFonts w:ascii="Times New Roman" w:hAnsi="Times New Roman" w:eastAsia="宋体" w:cs="Times New Roman"/>
                      <w:color w:val="auto"/>
                      <w:kern w:val="0"/>
                      <w:sz w:val="21"/>
                      <w:szCs w:val="20"/>
                      <w:vertAlign w:val="subscript"/>
                      <w:lang w:val="en-US" w:eastAsia="zh-CN" w:bidi="ar-SA"/>
                    </w:rPr>
                    <w:t>3</w:t>
                  </w:r>
                  <w:r>
                    <w:rPr>
                      <w:rFonts w:ascii="Times New Roman" w:hAnsi="Times New Roman" w:eastAsia="宋体" w:cs="Times New Roman"/>
                      <w:color w:val="auto"/>
                      <w:kern w:val="0"/>
                      <w:sz w:val="21"/>
                      <w:szCs w:val="20"/>
                      <w:lang w:val="en-US" w:eastAsia="zh-CN" w:bidi="ar-SA"/>
                    </w:rPr>
                    <w:t>-N</w:t>
                  </w:r>
                </w:p>
              </w:tc>
              <w:tc>
                <w:tcPr>
                  <w:tcW w:w="1209" w:type="pct"/>
                  <w:tcBorders>
                    <w:tl2br w:val="nil"/>
                    <w:tr2bl w:val="nil"/>
                  </w:tcBorders>
                  <w:noWrap w:val="0"/>
                  <w:vAlign w:val="center"/>
                </w:tcPr>
                <w:p w14:paraId="26B89A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45mg/L</w:t>
                  </w:r>
                </w:p>
              </w:tc>
              <w:tc>
                <w:tcPr>
                  <w:tcW w:w="2723" w:type="pct"/>
                  <w:tcBorders>
                    <w:tl2br w:val="nil"/>
                    <w:tr2bl w:val="nil"/>
                  </w:tcBorders>
                  <w:noWrap w:val="0"/>
                  <w:vAlign w:val="center"/>
                </w:tcPr>
                <w:p w14:paraId="125959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参照执行《污水排入城镇下水道水质标准》</w:t>
                  </w:r>
                  <w:r>
                    <w:rPr>
                      <w:rFonts w:hint="eastAsia" w:ascii="Times New Roman" w:hAnsi="Times New Roman" w:eastAsia="宋体" w:cs="Times New Roman"/>
                      <w:color w:val="auto"/>
                      <w:kern w:val="0"/>
                      <w:sz w:val="21"/>
                      <w:szCs w:val="20"/>
                      <w:lang w:val="en-US" w:eastAsia="zh-CN" w:bidi="ar-SA"/>
                    </w:rPr>
                    <w:t>（</w:t>
                  </w:r>
                  <w:r>
                    <w:rPr>
                      <w:rFonts w:ascii="Times New Roman" w:hAnsi="Times New Roman" w:eastAsia="宋体" w:cs="Times New Roman"/>
                      <w:color w:val="auto"/>
                      <w:kern w:val="0"/>
                      <w:sz w:val="21"/>
                      <w:szCs w:val="20"/>
                      <w:lang w:val="en-US" w:eastAsia="zh-CN" w:bidi="ar-SA"/>
                    </w:rPr>
                    <w:t>GB/T 31962-2015</w:t>
                  </w:r>
                  <w:r>
                    <w:rPr>
                      <w:rFonts w:hint="eastAsia" w:ascii="Times New Roman" w:hAnsi="Times New Roman" w:eastAsia="宋体" w:cs="Times New Roman"/>
                      <w:color w:val="auto"/>
                      <w:kern w:val="0"/>
                      <w:sz w:val="21"/>
                      <w:szCs w:val="20"/>
                      <w:lang w:val="en-US" w:eastAsia="zh-CN" w:bidi="ar-SA"/>
                    </w:rPr>
                    <w:t>）</w:t>
                  </w:r>
                  <w:r>
                    <w:rPr>
                      <w:rFonts w:ascii="Times New Roman" w:hAnsi="Times New Roman" w:eastAsia="宋体" w:cs="Times New Roman"/>
                      <w:color w:val="auto"/>
                      <w:kern w:val="0"/>
                      <w:sz w:val="21"/>
                      <w:szCs w:val="20"/>
                      <w:lang w:val="en-US" w:eastAsia="zh-CN" w:bidi="ar-SA"/>
                    </w:rPr>
                    <w:t>表1中B级标准</w:t>
                  </w:r>
                </w:p>
              </w:tc>
            </w:tr>
          </w:tbl>
          <w:p w14:paraId="168357C5">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表3.7-2  项目生产废水排放标准</w:t>
            </w:r>
          </w:p>
          <w:tbl>
            <w:tblPr>
              <w:tblStyle w:val="1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1926"/>
              <w:gridCol w:w="4698"/>
            </w:tblGrid>
            <w:tr w14:paraId="712211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5" w:type="pct"/>
                  <w:tcBorders>
                    <w:tl2br w:val="nil"/>
                    <w:tr2bl w:val="nil"/>
                  </w:tcBorders>
                  <w:noWrap w:val="0"/>
                  <w:vAlign w:val="center"/>
                </w:tcPr>
                <w:p w14:paraId="1828D0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1"/>
                      <w:lang w:val="en-US" w:eastAsia="zh-CN" w:bidi="ar-SA"/>
                    </w:rPr>
                  </w:pPr>
                  <w:r>
                    <w:rPr>
                      <w:rFonts w:ascii="Times New Roman" w:hAnsi="Times New Roman" w:eastAsia="宋体" w:cs="Times New Roman"/>
                      <w:b/>
                      <w:bCs/>
                      <w:color w:val="auto"/>
                      <w:kern w:val="0"/>
                      <w:sz w:val="21"/>
                      <w:szCs w:val="21"/>
                      <w:lang w:val="en-US" w:eastAsia="zh-CN" w:bidi="ar-SA"/>
                    </w:rPr>
                    <w:t>污染物名称</w:t>
                  </w:r>
                </w:p>
              </w:tc>
              <w:tc>
                <w:tcPr>
                  <w:tcW w:w="1144" w:type="pct"/>
                  <w:tcBorders>
                    <w:tl2br w:val="nil"/>
                    <w:tr2bl w:val="nil"/>
                  </w:tcBorders>
                  <w:noWrap w:val="0"/>
                  <w:vAlign w:val="center"/>
                </w:tcPr>
                <w:p w14:paraId="4F1BC0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1"/>
                      <w:lang w:val="en-US" w:eastAsia="zh-CN" w:bidi="ar-SA"/>
                    </w:rPr>
                  </w:pPr>
                  <w:r>
                    <w:rPr>
                      <w:rFonts w:ascii="Times New Roman" w:hAnsi="Times New Roman" w:eastAsia="宋体" w:cs="Times New Roman"/>
                      <w:b/>
                      <w:bCs/>
                      <w:color w:val="auto"/>
                      <w:kern w:val="0"/>
                      <w:sz w:val="21"/>
                      <w:szCs w:val="21"/>
                      <w:lang w:val="en-US" w:eastAsia="zh-CN" w:bidi="ar-SA"/>
                    </w:rPr>
                    <w:t>标准值</w:t>
                  </w:r>
                </w:p>
              </w:tc>
              <w:tc>
                <w:tcPr>
                  <w:tcW w:w="2790" w:type="pct"/>
                  <w:tcBorders>
                    <w:tl2br w:val="nil"/>
                    <w:tr2bl w:val="nil"/>
                  </w:tcBorders>
                  <w:noWrap w:val="0"/>
                  <w:vAlign w:val="center"/>
                </w:tcPr>
                <w:p w14:paraId="55622C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1"/>
                      <w:lang w:val="en-US" w:eastAsia="zh-CN" w:bidi="ar-SA"/>
                    </w:rPr>
                  </w:pPr>
                  <w:r>
                    <w:rPr>
                      <w:rFonts w:ascii="Times New Roman" w:hAnsi="Times New Roman" w:eastAsia="宋体" w:cs="Times New Roman"/>
                      <w:b/>
                      <w:bCs/>
                      <w:color w:val="auto"/>
                      <w:kern w:val="0"/>
                      <w:sz w:val="21"/>
                      <w:szCs w:val="21"/>
                      <w:lang w:val="en-US" w:eastAsia="zh-CN" w:bidi="ar-SA"/>
                    </w:rPr>
                    <w:t>标准来源</w:t>
                  </w:r>
                </w:p>
              </w:tc>
            </w:tr>
            <w:tr w14:paraId="13E961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5" w:type="pct"/>
                  <w:tcBorders>
                    <w:tl2br w:val="nil"/>
                    <w:tr2bl w:val="nil"/>
                  </w:tcBorders>
                  <w:noWrap w:val="0"/>
                  <w:vAlign w:val="center"/>
                </w:tcPr>
                <w:p w14:paraId="04F131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pH</w:t>
                  </w:r>
                </w:p>
              </w:tc>
              <w:tc>
                <w:tcPr>
                  <w:tcW w:w="1144" w:type="pct"/>
                  <w:tcBorders>
                    <w:tl2br w:val="nil"/>
                    <w:tr2bl w:val="nil"/>
                  </w:tcBorders>
                  <w:noWrap w:val="0"/>
                  <w:vAlign w:val="center"/>
                </w:tcPr>
                <w:p w14:paraId="0103FF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6～9</w:t>
                  </w:r>
                  <w:r>
                    <w:rPr>
                      <w:rFonts w:hint="eastAsia" w:ascii="Times New Roman" w:hAnsi="Times New Roman" w:eastAsia="宋体" w:cs="Times New Roman"/>
                      <w:color w:val="auto"/>
                      <w:kern w:val="0"/>
                      <w:sz w:val="21"/>
                      <w:szCs w:val="21"/>
                      <w:lang w:val="en-US" w:eastAsia="zh-CN" w:bidi="ar-SA"/>
                    </w:rPr>
                    <w:t>（</w:t>
                  </w:r>
                  <w:r>
                    <w:rPr>
                      <w:rFonts w:ascii="Times New Roman" w:hAnsi="Times New Roman" w:eastAsia="宋体" w:cs="Times New Roman"/>
                      <w:color w:val="auto"/>
                      <w:kern w:val="0"/>
                      <w:sz w:val="21"/>
                      <w:szCs w:val="21"/>
                      <w:lang w:val="en-US" w:eastAsia="zh-CN" w:bidi="ar-SA"/>
                    </w:rPr>
                    <w:t>无量纲</w:t>
                  </w:r>
                  <w:r>
                    <w:rPr>
                      <w:rFonts w:hint="eastAsia" w:ascii="Times New Roman" w:hAnsi="Times New Roman" w:eastAsia="宋体" w:cs="Times New Roman"/>
                      <w:color w:val="auto"/>
                      <w:kern w:val="0"/>
                      <w:sz w:val="21"/>
                      <w:szCs w:val="21"/>
                      <w:lang w:val="en-US" w:eastAsia="zh-CN" w:bidi="ar-SA"/>
                    </w:rPr>
                    <w:t>）</w:t>
                  </w:r>
                </w:p>
              </w:tc>
              <w:tc>
                <w:tcPr>
                  <w:tcW w:w="2790" w:type="pct"/>
                  <w:vMerge w:val="restart"/>
                  <w:tcBorders>
                    <w:tl2br w:val="nil"/>
                    <w:tr2bl w:val="nil"/>
                  </w:tcBorders>
                  <w:noWrap w:val="0"/>
                  <w:vAlign w:val="center"/>
                </w:tcPr>
                <w:p w14:paraId="4A3438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宋体" w:hAnsi="宋体" w:eastAsia="宋体" w:cs="宋体"/>
                      <w:color w:val="auto"/>
                      <w:sz w:val="21"/>
                      <w:szCs w:val="21"/>
                    </w:rPr>
                    <w:t>《电子工业水污染物排放标准》</w:t>
                  </w:r>
                  <w:r>
                    <w:rPr>
                      <w:rFonts w:hint="eastAsia" w:ascii="Times New Roman" w:hAnsi="Times New Roman" w:eastAsia="宋体" w:cs="宋体"/>
                      <w:color w:val="auto"/>
                      <w:kern w:val="2"/>
                      <w:sz w:val="21"/>
                      <w:szCs w:val="21"/>
                      <w:lang w:val="en-US" w:eastAsia="zh-CN" w:bidi="ar-SA"/>
                    </w:rPr>
                    <w:t>（GB 39731-2020）表1规定的水污染物排放限值</w:t>
                  </w:r>
                </w:p>
              </w:tc>
            </w:tr>
            <w:tr w14:paraId="4E825F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5" w:type="pct"/>
                  <w:tcBorders>
                    <w:tl2br w:val="nil"/>
                    <w:tr2bl w:val="nil"/>
                  </w:tcBorders>
                  <w:noWrap w:val="0"/>
                  <w:vAlign w:val="center"/>
                </w:tcPr>
                <w:p w14:paraId="7B8C26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COD</w:t>
                  </w:r>
                </w:p>
              </w:tc>
              <w:tc>
                <w:tcPr>
                  <w:tcW w:w="1144" w:type="pct"/>
                  <w:tcBorders>
                    <w:tl2br w:val="nil"/>
                    <w:tr2bl w:val="nil"/>
                  </w:tcBorders>
                  <w:noWrap w:val="0"/>
                  <w:vAlign w:val="center"/>
                </w:tcPr>
                <w:p w14:paraId="081894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500mg/L</w:t>
                  </w:r>
                </w:p>
              </w:tc>
              <w:tc>
                <w:tcPr>
                  <w:tcW w:w="2790" w:type="pct"/>
                  <w:vMerge w:val="continue"/>
                  <w:tcBorders>
                    <w:tl2br w:val="nil"/>
                    <w:tr2bl w:val="nil"/>
                  </w:tcBorders>
                  <w:noWrap w:val="0"/>
                  <w:vAlign w:val="center"/>
                </w:tcPr>
                <w:p w14:paraId="4680C2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p>
              </w:tc>
            </w:tr>
            <w:tr w14:paraId="0C0457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065" w:type="pct"/>
                  <w:tcBorders>
                    <w:tl2br w:val="nil"/>
                    <w:tr2bl w:val="nil"/>
                  </w:tcBorders>
                  <w:noWrap w:val="0"/>
                  <w:vAlign w:val="center"/>
                </w:tcPr>
                <w:p w14:paraId="5E0CED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SS</w:t>
                  </w:r>
                </w:p>
              </w:tc>
              <w:tc>
                <w:tcPr>
                  <w:tcW w:w="1144" w:type="pct"/>
                  <w:tcBorders>
                    <w:tl2br w:val="nil"/>
                    <w:tr2bl w:val="nil"/>
                  </w:tcBorders>
                  <w:noWrap w:val="0"/>
                  <w:vAlign w:val="center"/>
                </w:tcPr>
                <w:p w14:paraId="3CA653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400mg/L</w:t>
                  </w:r>
                </w:p>
              </w:tc>
              <w:tc>
                <w:tcPr>
                  <w:tcW w:w="2790" w:type="pct"/>
                  <w:vMerge w:val="continue"/>
                  <w:tcBorders>
                    <w:tl2br w:val="nil"/>
                    <w:tr2bl w:val="nil"/>
                  </w:tcBorders>
                  <w:noWrap w:val="0"/>
                  <w:vAlign w:val="center"/>
                </w:tcPr>
                <w:p w14:paraId="712391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p>
              </w:tc>
            </w:tr>
            <w:tr w14:paraId="64E860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5" w:type="pct"/>
                  <w:tcBorders>
                    <w:tl2br w:val="nil"/>
                    <w:tr2bl w:val="nil"/>
                  </w:tcBorders>
                  <w:noWrap w:val="0"/>
                  <w:vAlign w:val="center"/>
                </w:tcPr>
                <w:p w14:paraId="2A4A1A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NH</w:t>
                  </w:r>
                  <w:r>
                    <w:rPr>
                      <w:rFonts w:ascii="Times New Roman" w:hAnsi="Times New Roman" w:eastAsia="宋体" w:cs="Times New Roman"/>
                      <w:color w:val="auto"/>
                      <w:kern w:val="0"/>
                      <w:sz w:val="21"/>
                      <w:szCs w:val="21"/>
                      <w:vertAlign w:val="subscript"/>
                      <w:lang w:val="en-US" w:eastAsia="zh-CN" w:bidi="ar-SA"/>
                    </w:rPr>
                    <w:t>3</w:t>
                  </w:r>
                  <w:r>
                    <w:rPr>
                      <w:rFonts w:ascii="Times New Roman" w:hAnsi="Times New Roman" w:eastAsia="宋体" w:cs="Times New Roman"/>
                      <w:color w:val="auto"/>
                      <w:kern w:val="0"/>
                      <w:sz w:val="21"/>
                      <w:szCs w:val="21"/>
                      <w:lang w:val="en-US" w:eastAsia="zh-CN" w:bidi="ar-SA"/>
                    </w:rPr>
                    <w:t>-N</w:t>
                  </w:r>
                </w:p>
              </w:tc>
              <w:tc>
                <w:tcPr>
                  <w:tcW w:w="1144" w:type="pct"/>
                  <w:tcBorders>
                    <w:tl2br w:val="nil"/>
                    <w:tr2bl w:val="nil"/>
                  </w:tcBorders>
                  <w:noWrap w:val="0"/>
                  <w:vAlign w:val="center"/>
                </w:tcPr>
                <w:p w14:paraId="332500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45mg/L</w:t>
                  </w:r>
                </w:p>
              </w:tc>
              <w:tc>
                <w:tcPr>
                  <w:tcW w:w="2790" w:type="pct"/>
                  <w:vMerge w:val="continue"/>
                  <w:tcBorders>
                    <w:tl2br w:val="nil"/>
                    <w:tr2bl w:val="nil"/>
                  </w:tcBorders>
                  <w:noWrap w:val="0"/>
                  <w:vAlign w:val="center"/>
                </w:tcPr>
                <w:p w14:paraId="73BE78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p>
              </w:tc>
            </w:tr>
          </w:tbl>
          <w:p w14:paraId="022AFF63">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（2）污水处理厂排放标准</w:t>
            </w:r>
          </w:p>
          <w:p w14:paraId="3FD9D175">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根据调查，大学城污水处理厂尾水排入溪源溪，尾水排放执行《城镇污水处理厂污染物排放标准》（GB18918-2002）及其修改单表1的一级A标准，具体详见表3.7-</w:t>
            </w:r>
            <w:r>
              <w:rPr>
                <w:rFonts w:hint="eastAsia" w:cs="宋体"/>
                <w:color w:val="auto"/>
                <w:kern w:val="2"/>
                <w:sz w:val="24"/>
                <w:szCs w:val="24"/>
                <w:lang w:val="en-US" w:eastAsia="zh-CN" w:bidi="ar-SA"/>
              </w:rPr>
              <w:t>3</w:t>
            </w:r>
            <w:r>
              <w:rPr>
                <w:rFonts w:hint="eastAsia" w:ascii="Times New Roman" w:hAnsi="Times New Roman" w:eastAsia="宋体" w:cs="宋体"/>
                <w:color w:val="auto"/>
                <w:kern w:val="2"/>
                <w:sz w:val="24"/>
                <w:szCs w:val="24"/>
                <w:lang w:val="en-US" w:eastAsia="zh-CN" w:bidi="ar-SA"/>
              </w:rPr>
              <w:t>。</w:t>
            </w:r>
          </w:p>
          <w:p w14:paraId="43B01575">
            <w:pPr>
              <w:widowControl w:val="0"/>
              <w:bidi w:val="0"/>
              <w:adjustRightInd w:val="0"/>
              <w:snapToGrid w:val="0"/>
              <w:spacing w:before="10" w:beforeLines="10" w:after="10" w:afterLines="10"/>
              <w:jc w:val="center"/>
              <w:rPr>
                <w:rFonts w:hint="eastAsia"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表3.7-</w:t>
            </w:r>
            <w:r>
              <w:rPr>
                <w:rFonts w:hint="eastAsia" w:cs="Times New Roman"/>
                <w:b/>
                <w:color w:val="auto"/>
                <w:kern w:val="0"/>
                <w:sz w:val="24"/>
                <w:szCs w:val="20"/>
                <w:lang w:val="en-US" w:eastAsia="zh-CN" w:bidi="ar-SA"/>
              </w:rPr>
              <w:t>3</w:t>
            </w:r>
            <w:r>
              <w:rPr>
                <w:rFonts w:hint="eastAsia" w:ascii="Times New Roman" w:hAnsi="Times New Roman" w:eastAsia="宋体" w:cs="Times New Roman"/>
                <w:b/>
                <w:color w:val="auto"/>
                <w:kern w:val="0"/>
                <w:sz w:val="24"/>
                <w:szCs w:val="20"/>
                <w:lang w:val="en-US" w:eastAsia="zh-CN" w:bidi="ar-SA"/>
              </w:rPr>
              <w:t xml:space="preserve">  污水处理厂尾水排放标准</w:t>
            </w:r>
          </w:p>
          <w:tbl>
            <w:tblPr>
              <w:tblStyle w:val="1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2948"/>
              <w:gridCol w:w="2105"/>
              <w:gridCol w:w="2105"/>
            </w:tblGrid>
            <w:tr w14:paraId="260B5A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8" w:type="pct"/>
                  <w:tcBorders>
                    <w:tl2br w:val="nil"/>
                    <w:tr2bl w:val="nil"/>
                  </w:tcBorders>
                  <w:noWrap w:val="0"/>
                  <w:vAlign w:val="center"/>
                </w:tcPr>
                <w:p w14:paraId="781795D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r>
                    <w:rPr>
                      <w:rFonts w:hint="eastAsia" w:ascii="Times New Roman" w:hAnsi="Times New Roman" w:eastAsia="宋体" w:cs="Times New Roman"/>
                      <w:b w:val="0"/>
                      <w:bCs w:val="0"/>
                      <w:color w:val="auto"/>
                      <w:kern w:val="0"/>
                      <w:sz w:val="21"/>
                      <w:szCs w:val="20"/>
                      <w:lang w:val="en-US" w:eastAsia="zh-CN" w:bidi="ar-SA"/>
                    </w:rPr>
                    <w:t>序号</w:t>
                  </w:r>
                </w:p>
              </w:tc>
              <w:tc>
                <w:tcPr>
                  <w:tcW w:w="1751" w:type="pct"/>
                  <w:tcBorders>
                    <w:tl2br w:val="nil"/>
                    <w:tr2bl w:val="nil"/>
                  </w:tcBorders>
                  <w:noWrap w:val="0"/>
                  <w:vAlign w:val="center"/>
                </w:tcPr>
                <w:p w14:paraId="4F9BB72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r>
                    <w:rPr>
                      <w:rFonts w:hint="eastAsia" w:ascii="Times New Roman" w:hAnsi="Times New Roman" w:eastAsia="宋体" w:cs="Times New Roman"/>
                      <w:b w:val="0"/>
                      <w:bCs w:val="0"/>
                      <w:color w:val="auto"/>
                      <w:kern w:val="0"/>
                      <w:sz w:val="21"/>
                      <w:szCs w:val="20"/>
                      <w:lang w:val="en-US" w:eastAsia="zh-CN" w:bidi="ar-SA"/>
                    </w:rPr>
                    <w:t>污染物名称</w:t>
                  </w:r>
                </w:p>
              </w:tc>
              <w:tc>
                <w:tcPr>
                  <w:tcW w:w="1250" w:type="pct"/>
                  <w:tcBorders>
                    <w:tl2br w:val="nil"/>
                    <w:tr2bl w:val="nil"/>
                  </w:tcBorders>
                  <w:noWrap w:val="0"/>
                  <w:vAlign w:val="center"/>
                </w:tcPr>
                <w:p w14:paraId="241ECB0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r>
                    <w:rPr>
                      <w:rFonts w:hint="eastAsia" w:ascii="Times New Roman" w:hAnsi="Times New Roman" w:eastAsia="宋体" w:cs="Times New Roman"/>
                      <w:b w:val="0"/>
                      <w:bCs w:val="0"/>
                      <w:color w:val="auto"/>
                      <w:kern w:val="0"/>
                      <w:sz w:val="21"/>
                      <w:szCs w:val="20"/>
                      <w:lang w:val="en-US" w:eastAsia="zh-CN" w:bidi="ar-SA"/>
                    </w:rPr>
                    <w:t>一级标准B标准</w:t>
                  </w:r>
                </w:p>
              </w:tc>
              <w:tc>
                <w:tcPr>
                  <w:tcW w:w="1250" w:type="pct"/>
                  <w:tcBorders>
                    <w:tl2br w:val="nil"/>
                    <w:tr2bl w:val="nil"/>
                  </w:tcBorders>
                  <w:noWrap w:val="0"/>
                  <w:vAlign w:val="center"/>
                </w:tcPr>
                <w:p w14:paraId="551E91D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r>
                    <w:rPr>
                      <w:rFonts w:hint="eastAsia" w:ascii="Times New Roman" w:hAnsi="Times New Roman" w:eastAsia="宋体" w:cs="Times New Roman"/>
                      <w:b w:val="0"/>
                      <w:bCs w:val="0"/>
                      <w:color w:val="auto"/>
                      <w:kern w:val="0"/>
                      <w:sz w:val="21"/>
                      <w:szCs w:val="20"/>
                      <w:lang w:val="en-US" w:eastAsia="zh-CN" w:bidi="ar-SA"/>
                    </w:rPr>
                    <w:t>标准来源</w:t>
                  </w:r>
                </w:p>
              </w:tc>
            </w:tr>
            <w:tr w14:paraId="49D290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8" w:type="pct"/>
                  <w:tcBorders>
                    <w:tl2br w:val="nil"/>
                    <w:tr2bl w:val="nil"/>
                  </w:tcBorders>
                  <w:noWrap w:val="0"/>
                  <w:vAlign w:val="center"/>
                </w:tcPr>
                <w:p w14:paraId="58800DF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r>
                    <w:rPr>
                      <w:rFonts w:hint="eastAsia" w:ascii="Times New Roman" w:hAnsi="Times New Roman" w:eastAsia="宋体" w:cs="Times New Roman"/>
                      <w:b w:val="0"/>
                      <w:bCs w:val="0"/>
                      <w:color w:val="auto"/>
                      <w:kern w:val="0"/>
                      <w:sz w:val="21"/>
                      <w:szCs w:val="20"/>
                      <w:lang w:val="en-US" w:eastAsia="zh-CN" w:bidi="ar-SA"/>
                    </w:rPr>
                    <w:t>1</w:t>
                  </w:r>
                </w:p>
              </w:tc>
              <w:tc>
                <w:tcPr>
                  <w:tcW w:w="1751" w:type="pct"/>
                  <w:tcBorders>
                    <w:tl2br w:val="nil"/>
                    <w:tr2bl w:val="nil"/>
                  </w:tcBorders>
                  <w:noWrap w:val="0"/>
                  <w:vAlign w:val="center"/>
                </w:tcPr>
                <w:p w14:paraId="20BF60A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r>
                    <w:rPr>
                      <w:rFonts w:hint="eastAsia" w:ascii="Times New Roman" w:hAnsi="Times New Roman" w:eastAsia="宋体" w:cs="Times New Roman"/>
                      <w:b w:val="0"/>
                      <w:bCs w:val="0"/>
                      <w:color w:val="auto"/>
                      <w:kern w:val="0"/>
                      <w:sz w:val="21"/>
                      <w:szCs w:val="20"/>
                      <w:lang w:val="en-US" w:eastAsia="zh-CN" w:bidi="ar-SA"/>
                    </w:rPr>
                    <w:t>pH值</w:t>
                  </w:r>
                </w:p>
              </w:tc>
              <w:tc>
                <w:tcPr>
                  <w:tcW w:w="1250" w:type="pct"/>
                  <w:tcBorders>
                    <w:tl2br w:val="nil"/>
                    <w:tr2bl w:val="nil"/>
                  </w:tcBorders>
                  <w:noWrap w:val="0"/>
                  <w:vAlign w:val="center"/>
                </w:tcPr>
                <w:p w14:paraId="56CF722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r>
                    <w:rPr>
                      <w:rFonts w:ascii="Times New Roman" w:hAnsi="Times New Roman" w:eastAsia="宋体" w:cs="Times New Roman"/>
                      <w:b w:val="0"/>
                      <w:bCs w:val="0"/>
                      <w:color w:val="auto"/>
                      <w:kern w:val="0"/>
                      <w:sz w:val="21"/>
                      <w:szCs w:val="20"/>
                      <w:lang w:val="en-US" w:eastAsia="zh-CN" w:bidi="ar-SA"/>
                    </w:rPr>
                    <w:t>6～9</w:t>
                  </w:r>
                  <w:r>
                    <w:rPr>
                      <w:rFonts w:hint="eastAsia" w:ascii="Times New Roman" w:hAnsi="Times New Roman" w:eastAsia="宋体" w:cs="Times New Roman"/>
                      <w:b w:val="0"/>
                      <w:bCs w:val="0"/>
                      <w:color w:val="auto"/>
                      <w:kern w:val="0"/>
                      <w:sz w:val="21"/>
                      <w:szCs w:val="20"/>
                      <w:lang w:val="en-US" w:eastAsia="zh-CN" w:bidi="ar-SA"/>
                    </w:rPr>
                    <w:t>（</w:t>
                  </w:r>
                  <w:r>
                    <w:rPr>
                      <w:rFonts w:ascii="Times New Roman" w:hAnsi="Times New Roman" w:eastAsia="宋体" w:cs="Times New Roman"/>
                      <w:b w:val="0"/>
                      <w:bCs w:val="0"/>
                      <w:color w:val="auto"/>
                      <w:kern w:val="0"/>
                      <w:sz w:val="21"/>
                      <w:szCs w:val="20"/>
                      <w:lang w:val="en-US" w:eastAsia="zh-CN" w:bidi="ar-SA"/>
                    </w:rPr>
                    <w:t>无量纲</w:t>
                  </w:r>
                  <w:r>
                    <w:rPr>
                      <w:rFonts w:hint="eastAsia" w:ascii="Times New Roman" w:hAnsi="Times New Roman" w:eastAsia="宋体" w:cs="Times New Roman"/>
                      <w:b w:val="0"/>
                      <w:bCs w:val="0"/>
                      <w:color w:val="auto"/>
                      <w:kern w:val="0"/>
                      <w:sz w:val="21"/>
                      <w:szCs w:val="20"/>
                      <w:lang w:val="en-US" w:eastAsia="zh-CN" w:bidi="ar-SA"/>
                    </w:rPr>
                    <w:t>）</w:t>
                  </w:r>
                  <w:r>
                    <w:rPr>
                      <w:rFonts w:ascii="Times New Roman" w:hAnsi="Times New Roman" w:eastAsia="宋体" w:cs="Times New Roman"/>
                      <w:b w:val="0"/>
                      <w:bCs w:val="0"/>
                      <w:color w:val="auto"/>
                      <w:kern w:val="0"/>
                      <w:sz w:val="21"/>
                      <w:szCs w:val="20"/>
                      <w:lang w:val="en-US" w:eastAsia="zh-CN" w:bidi="ar-SA"/>
                    </w:rPr>
                    <w:t xml:space="preserve"> </w:t>
                  </w:r>
                </w:p>
              </w:tc>
              <w:tc>
                <w:tcPr>
                  <w:tcW w:w="1250" w:type="pct"/>
                  <w:vMerge w:val="restart"/>
                  <w:tcBorders>
                    <w:tl2br w:val="nil"/>
                    <w:tr2bl w:val="nil"/>
                  </w:tcBorders>
                  <w:noWrap w:val="0"/>
                  <w:vAlign w:val="center"/>
                </w:tcPr>
                <w:p w14:paraId="6F7842D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r>
                    <w:rPr>
                      <w:rFonts w:hint="default" w:ascii="Times New Roman" w:hAnsi="Times New Roman" w:eastAsia="宋体" w:cs="Times New Roman"/>
                      <w:b w:val="0"/>
                      <w:bCs w:val="0"/>
                      <w:color w:val="auto"/>
                      <w:kern w:val="0"/>
                      <w:sz w:val="21"/>
                      <w:szCs w:val="20"/>
                      <w:lang w:val="en-US" w:eastAsia="zh-CN" w:bidi="ar-SA"/>
                    </w:rPr>
                    <w:t>《城镇污水处理厂污染物排放标准》（GB18918-2002）及其修改单表1的一级标准</w:t>
                  </w:r>
                  <w:r>
                    <w:rPr>
                      <w:rFonts w:hint="eastAsia" w:ascii="Times New Roman" w:hAnsi="Times New Roman" w:eastAsia="宋体" w:cs="Times New Roman"/>
                      <w:b w:val="0"/>
                      <w:bCs w:val="0"/>
                      <w:color w:val="auto"/>
                      <w:kern w:val="0"/>
                      <w:sz w:val="21"/>
                      <w:szCs w:val="20"/>
                      <w:lang w:val="en-US" w:eastAsia="zh-CN" w:bidi="ar-SA"/>
                    </w:rPr>
                    <w:t>A</w:t>
                  </w:r>
                  <w:r>
                    <w:rPr>
                      <w:rFonts w:hint="default" w:ascii="Times New Roman" w:hAnsi="Times New Roman" w:eastAsia="宋体" w:cs="Times New Roman"/>
                      <w:b w:val="0"/>
                      <w:bCs w:val="0"/>
                      <w:color w:val="auto"/>
                      <w:kern w:val="0"/>
                      <w:sz w:val="21"/>
                      <w:szCs w:val="20"/>
                      <w:lang w:val="en-US" w:eastAsia="zh-CN" w:bidi="ar-SA"/>
                    </w:rPr>
                    <w:t>标准</w:t>
                  </w:r>
                </w:p>
              </w:tc>
            </w:tr>
            <w:tr w14:paraId="49CE5C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8" w:type="pct"/>
                  <w:tcBorders>
                    <w:tl2br w:val="nil"/>
                    <w:tr2bl w:val="nil"/>
                  </w:tcBorders>
                  <w:noWrap w:val="0"/>
                  <w:vAlign w:val="center"/>
                </w:tcPr>
                <w:p w14:paraId="3D42411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r>
                    <w:rPr>
                      <w:rFonts w:hint="eastAsia" w:ascii="Times New Roman" w:hAnsi="Times New Roman" w:eastAsia="宋体" w:cs="Times New Roman"/>
                      <w:b w:val="0"/>
                      <w:bCs w:val="0"/>
                      <w:color w:val="auto"/>
                      <w:kern w:val="0"/>
                      <w:sz w:val="21"/>
                      <w:szCs w:val="20"/>
                      <w:lang w:val="en-US" w:eastAsia="zh-CN" w:bidi="ar-SA"/>
                    </w:rPr>
                    <w:t>2</w:t>
                  </w:r>
                </w:p>
              </w:tc>
              <w:tc>
                <w:tcPr>
                  <w:tcW w:w="1751" w:type="pct"/>
                  <w:tcBorders>
                    <w:tl2br w:val="nil"/>
                    <w:tr2bl w:val="nil"/>
                  </w:tcBorders>
                  <w:noWrap w:val="0"/>
                  <w:vAlign w:val="center"/>
                </w:tcPr>
                <w:p w14:paraId="08039F6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r>
                    <w:rPr>
                      <w:rFonts w:hint="eastAsia" w:ascii="Times New Roman" w:hAnsi="Times New Roman" w:eastAsia="宋体" w:cs="Times New Roman"/>
                      <w:b w:val="0"/>
                      <w:bCs w:val="0"/>
                      <w:color w:val="auto"/>
                      <w:kern w:val="0"/>
                      <w:sz w:val="21"/>
                      <w:szCs w:val="20"/>
                      <w:lang w:val="en-US" w:eastAsia="zh-CN" w:bidi="ar-SA"/>
                    </w:rPr>
                    <w:t>COD</w:t>
                  </w:r>
                </w:p>
              </w:tc>
              <w:tc>
                <w:tcPr>
                  <w:tcW w:w="1250" w:type="pct"/>
                  <w:tcBorders>
                    <w:tl2br w:val="nil"/>
                    <w:tr2bl w:val="nil"/>
                  </w:tcBorders>
                  <w:noWrap w:val="0"/>
                  <w:vAlign w:val="center"/>
                </w:tcPr>
                <w:p w14:paraId="2C2863C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r>
                    <w:rPr>
                      <w:rFonts w:hint="eastAsia" w:ascii="Times New Roman" w:hAnsi="Times New Roman" w:eastAsia="宋体" w:cs="Times New Roman"/>
                      <w:b w:val="0"/>
                      <w:bCs w:val="0"/>
                      <w:color w:val="auto"/>
                      <w:kern w:val="0"/>
                      <w:sz w:val="21"/>
                      <w:szCs w:val="20"/>
                      <w:lang w:val="en-US" w:eastAsia="zh-CN" w:bidi="ar-SA"/>
                    </w:rPr>
                    <w:t>5</w:t>
                  </w:r>
                  <w:r>
                    <w:rPr>
                      <w:rFonts w:ascii="Times New Roman" w:hAnsi="Times New Roman" w:eastAsia="宋体" w:cs="Times New Roman"/>
                      <w:b w:val="0"/>
                      <w:bCs w:val="0"/>
                      <w:color w:val="auto"/>
                      <w:kern w:val="0"/>
                      <w:sz w:val="21"/>
                      <w:szCs w:val="20"/>
                      <w:lang w:val="en-US" w:eastAsia="zh-CN" w:bidi="ar-SA"/>
                    </w:rPr>
                    <w:t>0mg/L</w:t>
                  </w:r>
                </w:p>
              </w:tc>
              <w:tc>
                <w:tcPr>
                  <w:tcW w:w="1250" w:type="pct"/>
                  <w:vMerge w:val="continue"/>
                  <w:tcBorders>
                    <w:tl2br w:val="nil"/>
                    <w:tr2bl w:val="nil"/>
                  </w:tcBorders>
                  <w:noWrap w:val="0"/>
                  <w:vAlign w:val="center"/>
                </w:tcPr>
                <w:p w14:paraId="04E745F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p>
              </w:tc>
            </w:tr>
            <w:tr w14:paraId="3E8394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8" w:type="pct"/>
                  <w:tcBorders>
                    <w:tl2br w:val="nil"/>
                    <w:tr2bl w:val="nil"/>
                  </w:tcBorders>
                  <w:noWrap w:val="0"/>
                  <w:vAlign w:val="center"/>
                </w:tcPr>
                <w:p w14:paraId="7275137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r>
                    <w:rPr>
                      <w:rFonts w:hint="eastAsia" w:ascii="Times New Roman" w:hAnsi="Times New Roman" w:eastAsia="宋体" w:cs="Times New Roman"/>
                      <w:b w:val="0"/>
                      <w:bCs w:val="0"/>
                      <w:color w:val="auto"/>
                      <w:kern w:val="0"/>
                      <w:sz w:val="21"/>
                      <w:szCs w:val="20"/>
                      <w:lang w:val="en-US" w:eastAsia="zh-CN" w:bidi="ar-SA"/>
                    </w:rPr>
                    <w:t>3</w:t>
                  </w:r>
                </w:p>
              </w:tc>
              <w:tc>
                <w:tcPr>
                  <w:tcW w:w="1751" w:type="pct"/>
                  <w:tcBorders>
                    <w:tl2br w:val="nil"/>
                    <w:tr2bl w:val="nil"/>
                  </w:tcBorders>
                  <w:noWrap w:val="0"/>
                  <w:vAlign w:val="center"/>
                </w:tcPr>
                <w:p w14:paraId="50B21AB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r>
                    <w:rPr>
                      <w:rFonts w:hint="eastAsia" w:ascii="Times New Roman" w:hAnsi="Times New Roman" w:eastAsia="宋体" w:cs="Times New Roman"/>
                      <w:b w:val="0"/>
                      <w:bCs w:val="0"/>
                      <w:color w:val="auto"/>
                      <w:kern w:val="0"/>
                      <w:sz w:val="21"/>
                      <w:szCs w:val="20"/>
                      <w:lang w:val="en-US" w:eastAsia="zh-CN" w:bidi="ar-SA"/>
                    </w:rPr>
                    <w:t>BOD</w:t>
                  </w:r>
                  <w:r>
                    <w:rPr>
                      <w:rFonts w:hint="eastAsia" w:ascii="Times New Roman" w:hAnsi="Times New Roman" w:eastAsia="宋体" w:cs="Times New Roman"/>
                      <w:b w:val="0"/>
                      <w:bCs w:val="0"/>
                      <w:color w:val="auto"/>
                      <w:kern w:val="0"/>
                      <w:sz w:val="21"/>
                      <w:szCs w:val="20"/>
                      <w:vertAlign w:val="subscript"/>
                      <w:lang w:val="en-US" w:eastAsia="zh-CN" w:bidi="ar-SA"/>
                    </w:rPr>
                    <w:t>5</w:t>
                  </w:r>
                </w:p>
              </w:tc>
              <w:tc>
                <w:tcPr>
                  <w:tcW w:w="1250" w:type="pct"/>
                  <w:tcBorders>
                    <w:tl2br w:val="nil"/>
                    <w:tr2bl w:val="nil"/>
                  </w:tcBorders>
                  <w:noWrap w:val="0"/>
                  <w:vAlign w:val="center"/>
                </w:tcPr>
                <w:p w14:paraId="3AB1202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r>
                    <w:rPr>
                      <w:rFonts w:hint="eastAsia" w:ascii="Times New Roman" w:hAnsi="Times New Roman" w:eastAsia="宋体" w:cs="Times New Roman"/>
                      <w:b w:val="0"/>
                      <w:bCs w:val="0"/>
                      <w:color w:val="auto"/>
                      <w:kern w:val="0"/>
                      <w:sz w:val="21"/>
                      <w:szCs w:val="20"/>
                      <w:lang w:val="en-US" w:eastAsia="zh-CN" w:bidi="ar-SA"/>
                    </w:rPr>
                    <w:t>1</w:t>
                  </w:r>
                  <w:r>
                    <w:rPr>
                      <w:rFonts w:ascii="Times New Roman" w:hAnsi="Times New Roman" w:eastAsia="宋体" w:cs="Times New Roman"/>
                      <w:b w:val="0"/>
                      <w:bCs w:val="0"/>
                      <w:color w:val="auto"/>
                      <w:kern w:val="0"/>
                      <w:sz w:val="21"/>
                      <w:szCs w:val="20"/>
                      <w:lang w:val="en-US" w:eastAsia="zh-CN" w:bidi="ar-SA"/>
                    </w:rPr>
                    <w:t>0mg/L</w:t>
                  </w:r>
                </w:p>
              </w:tc>
              <w:tc>
                <w:tcPr>
                  <w:tcW w:w="1250" w:type="pct"/>
                  <w:vMerge w:val="continue"/>
                  <w:tcBorders>
                    <w:tl2br w:val="nil"/>
                    <w:tr2bl w:val="nil"/>
                  </w:tcBorders>
                  <w:noWrap w:val="0"/>
                  <w:vAlign w:val="center"/>
                </w:tcPr>
                <w:p w14:paraId="7CD9ED7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p>
              </w:tc>
            </w:tr>
            <w:tr w14:paraId="1DC353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8" w:type="pct"/>
                  <w:tcBorders>
                    <w:tl2br w:val="nil"/>
                    <w:tr2bl w:val="nil"/>
                  </w:tcBorders>
                  <w:noWrap w:val="0"/>
                  <w:vAlign w:val="center"/>
                </w:tcPr>
                <w:p w14:paraId="3C8B8DC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r>
                    <w:rPr>
                      <w:rFonts w:hint="eastAsia" w:ascii="Times New Roman" w:hAnsi="Times New Roman" w:eastAsia="宋体" w:cs="Times New Roman"/>
                      <w:b w:val="0"/>
                      <w:bCs w:val="0"/>
                      <w:color w:val="auto"/>
                      <w:kern w:val="0"/>
                      <w:sz w:val="21"/>
                      <w:szCs w:val="20"/>
                      <w:lang w:val="en-US" w:eastAsia="zh-CN" w:bidi="ar-SA"/>
                    </w:rPr>
                    <w:t>4</w:t>
                  </w:r>
                </w:p>
              </w:tc>
              <w:tc>
                <w:tcPr>
                  <w:tcW w:w="1751" w:type="pct"/>
                  <w:tcBorders>
                    <w:tl2br w:val="nil"/>
                    <w:tr2bl w:val="nil"/>
                  </w:tcBorders>
                  <w:noWrap w:val="0"/>
                  <w:vAlign w:val="center"/>
                </w:tcPr>
                <w:p w14:paraId="1E332BE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r>
                    <w:rPr>
                      <w:rFonts w:hint="eastAsia" w:ascii="Times New Roman" w:hAnsi="Times New Roman" w:eastAsia="宋体" w:cs="Times New Roman"/>
                      <w:b w:val="0"/>
                      <w:bCs w:val="0"/>
                      <w:color w:val="auto"/>
                      <w:kern w:val="0"/>
                      <w:sz w:val="21"/>
                      <w:szCs w:val="20"/>
                      <w:lang w:val="en-US" w:eastAsia="zh-CN" w:bidi="ar-SA"/>
                    </w:rPr>
                    <w:t>SS</w:t>
                  </w:r>
                </w:p>
              </w:tc>
              <w:tc>
                <w:tcPr>
                  <w:tcW w:w="1250" w:type="pct"/>
                  <w:tcBorders>
                    <w:tl2br w:val="nil"/>
                    <w:tr2bl w:val="nil"/>
                  </w:tcBorders>
                  <w:noWrap w:val="0"/>
                  <w:vAlign w:val="center"/>
                </w:tcPr>
                <w:p w14:paraId="2C25E42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r>
                    <w:rPr>
                      <w:rFonts w:hint="eastAsia" w:ascii="Times New Roman" w:hAnsi="Times New Roman" w:eastAsia="宋体" w:cs="Times New Roman"/>
                      <w:b w:val="0"/>
                      <w:bCs w:val="0"/>
                      <w:color w:val="auto"/>
                      <w:kern w:val="0"/>
                      <w:sz w:val="21"/>
                      <w:szCs w:val="20"/>
                      <w:lang w:val="en-US" w:eastAsia="zh-CN" w:bidi="ar-SA"/>
                    </w:rPr>
                    <w:t>1</w:t>
                  </w:r>
                  <w:r>
                    <w:rPr>
                      <w:rFonts w:ascii="Times New Roman" w:hAnsi="Times New Roman" w:eastAsia="宋体" w:cs="Times New Roman"/>
                      <w:b w:val="0"/>
                      <w:bCs w:val="0"/>
                      <w:color w:val="auto"/>
                      <w:kern w:val="0"/>
                      <w:sz w:val="21"/>
                      <w:szCs w:val="20"/>
                      <w:lang w:val="en-US" w:eastAsia="zh-CN" w:bidi="ar-SA"/>
                    </w:rPr>
                    <w:t>0mg/L</w:t>
                  </w:r>
                </w:p>
              </w:tc>
              <w:tc>
                <w:tcPr>
                  <w:tcW w:w="1250" w:type="pct"/>
                  <w:vMerge w:val="continue"/>
                  <w:tcBorders>
                    <w:tl2br w:val="nil"/>
                    <w:tr2bl w:val="nil"/>
                  </w:tcBorders>
                  <w:noWrap w:val="0"/>
                  <w:vAlign w:val="center"/>
                </w:tcPr>
                <w:p w14:paraId="0178D07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p>
              </w:tc>
            </w:tr>
            <w:tr w14:paraId="3C08CB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8" w:type="pct"/>
                  <w:tcBorders>
                    <w:tl2br w:val="nil"/>
                    <w:tr2bl w:val="nil"/>
                  </w:tcBorders>
                  <w:noWrap w:val="0"/>
                  <w:vAlign w:val="center"/>
                </w:tcPr>
                <w:p w14:paraId="6D69969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r>
                    <w:rPr>
                      <w:rFonts w:hint="eastAsia" w:ascii="Times New Roman" w:hAnsi="Times New Roman" w:eastAsia="宋体" w:cs="Times New Roman"/>
                      <w:b w:val="0"/>
                      <w:bCs w:val="0"/>
                      <w:color w:val="auto"/>
                      <w:kern w:val="0"/>
                      <w:sz w:val="21"/>
                      <w:szCs w:val="20"/>
                      <w:lang w:val="en-US" w:eastAsia="zh-CN" w:bidi="ar-SA"/>
                    </w:rPr>
                    <w:t>5</w:t>
                  </w:r>
                </w:p>
              </w:tc>
              <w:tc>
                <w:tcPr>
                  <w:tcW w:w="1751" w:type="pct"/>
                  <w:tcBorders>
                    <w:tl2br w:val="nil"/>
                    <w:tr2bl w:val="nil"/>
                  </w:tcBorders>
                  <w:noWrap w:val="0"/>
                  <w:vAlign w:val="center"/>
                </w:tcPr>
                <w:p w14:paraId="4100E01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r>
                    <w:rPr>
                      <w:rFonts w:hint="eastAsia" w:ascii="Times New Roman" w:hAnsi="Times New Roman" w:eastAsia="宋体" w:cs="Times New Roman"/>
                      <w:b w:val="0"/>
                      <w:bCs w:val="0"/>
                      <w:color w:val="auto"/>
                      <w:kern w:val="0"/>
                      <w:sz w:val="21"/>
                      <w:szCs w:val="20"/>
                      <w:lang w:val="en-US" w:eastAsia="zh-CN" w:bidi="ar-SA"/>
                    </w:rPr>
                    <w:t>NH</w:t>
                  </w:r>
                  <w:r>
                    <w:rPr>
                      <w:rFonts w:hint="eastAsia" w:ascii="Times New Roman" w:hAnsi="Times New Roman" w:eastAsia="宋体" w:cs="Times New Roman"/>
                      <w:b w:val="0"/>
                      <w:bCs w:val="0"/>
                      <w:color w:val="auto"/>
                      <w:kern w:val="0"/>
                      <w:sz w:val="21"/>
                      <w:szCs w:val="20"/>
                      <w:vertAlign w:val="subscript"/>
                      <w:lang w:val="en-US" w:eastAsia="zh-CN" w:bidi="ar-SA"/>
                    </w:rPr>
                    <w:t>3</w:t>
                  </w:r>
                  <w:r>
                    <w:rPr>
                      <w:rFonts w:hint="eastAsia" w:ascii="Times New Roman" w:hAnsi="Times New Roman" w:eastAsia="宋体" w:cs="Times New Roman"/>
                      <w:b w:val="0"/>
                      <w:bCs w:val="0"/>
                      <w:color w:val="auto"/>
                      <w:kern w:val="0"/>
                      <w:sz w:val="21"/>
                      <w:szCs w:val="20"/>
                      <w:lang w:val="en-US" w:eastAsia="zh-CN" w:bidi="ar-SA"/>
                    </w:rPr>
                    <w:t>-N</w:t>
                  </w:r>
                </w:p>
              </w:tc>
              <w:tc>
                <w:tcPr>
                  <w:tcW w:w="1250" w:type="pct"/>
                  <w:tcBorders>
                    <w:tl2br w:val="nil"/>
                    <w:tr2bl w:val="nil"/>
                  </w:tcBorders>
                  <w:noWrap w:val="0"/>
                  <w:vAlign w:val="center"/>
                </w:tcPr>
                <w:p w14:paraId="2915A5B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r>
                    <w:rPr>
                      <w:rFonts w:hint="eastAsia" w:ascii="Times New Roman" w:hAnsi="Times New Roman" w:eastAsia="宋体" w:cs="Times New Roman"/>
                      <w:b w:val="0"/>
                      <w:bCs w:val="0"/>
                      <w:color w:val="auto"/>
                      <w:kern w:val="0"/>
                      <w:sz w:val="21"/>
                      <w:szCs w:val="20"/>
                      <w:lang w:val="en-US" w:eastAsia="zh-CN" w:bidi="ar-SA"/>
                    </w:rPr>
                    <w:t>5</w:t>
                  </w:r>
                  <w:r>
                    <w:rPr>
                      <w:rFonts w:ascii="Times New Roman" w:hAnsi="Times New Roman" w:eastAsia="宋体" w:cs="Times New Roman"/>
                      <w:b w:val="0"/>
                      <w:bCs w:val="0"/>
                      <w:color w:val="auto"/>
                      <w:kern w:val="0"/>
                      <w:sz w:val="21"/>
                      <w:szCs w:val="20"/>
                      <w:lang w:val="en-US" w:eastAsia="zh-CN" w:bidi="ar-SA"/>
                    </w:rPr>
                    <w:t>mg/L</w:t>
                  </w:r>
                </w:p>
              </w:tc>
              <w:tc>
                <w:tcPr>
                  <w:tcW w:w="1250" w:type="pct"/>
                  <w:vMerge w:val="continue"/>
                  <w:tcBorders>
                    <w:tl2br w:val="nil"/>
                    <w:tr2bl w:val="nil"/>
                  </w:tcBorders>
                  <w:noWrap w:val="0"/>
                  <w:vAlign w:val="center"/>
                </w:tcPr>
                <w:p w14:paraId="57BB87D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val="0"/>
                      <w:bCs w:val="0"/>
                      <w:color w:val="auto"/>
                      <w:kern w:val="0"/>
                      <w:sz w:val="21"/>
                      <w:szCs w:val="20"/>
                      <w:lang w:val="en-US" w:eastAsia="zh-CN" w:bidi="ar-SA"/>
                    </w:rPr>
                  </w:pPr>
                </w:p>
              </w:tc>
            </w:tr>
          </w:tbl>
          <w:p w14:paraId="4B9605D4">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52" w:name="_Toc20327"/>
            <w:r>
              <w:rPr>
                <w:rFonts w:hint="eastAsia" w:ascii="Times New Roman" w:hAnsi="Times New Roman" w:eastAsia="宋体" w:cs="Times New Roman"/>
                <w:b/>
                <w:color w:val="auto"/>
                <w:kern w:val="2"/>
                <w:sz w:val="24"/>
                <w:szCs w:val="24"/>
                <w:lang w:val="en-US" w:eastAsia="zh-CN" w:bidi="ar-SA"/>
              </w:rPr>
              <w:t>3.7.2大气污染物排放标准</w:t>
            </w:r>
            <w:bookmarkEnd w:id="52"/>
          </w:p>
          <w:p w14:paraId="55CF4733">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项目产生的废气包括铣磨废气、擦拭检测废气，超洗废气污染物因子</w:t>
            </w:r>
            <w:r>
              <w:rPr>
                <w:rFonts w:hint="eastAsia" w:cs="宋体"/>
                <w:color w:val="auto"/>
                <w:kern w:val="2"/>
                <w:sz w:val="24"/>
                <w:szCs w:val="24"/>
                <w:lang w:val="en-US" w:eastAsia="zh-CN" w:bidi="ar-SA"/>
              </w:rPr>
              <w:t>为VOCs、乙醇、乙醚、丙酮（以非甲烷总烃计）</w:t>
            </w:r>
            <w:r>
              <w:rPr>
                <w:rFonts w:hint="eastAsia" w:ascii="Times New Roman" w:hAnsi="Times New Roman" w:eastAsia="宋体" w:cs="宋体"/>
                <w:color w:val="auto"/>
                <w:kern w:val="2"/>
                <w:sz w:val="24"/>
                <w:szCs w:val="24"/>
                <w:lang w:val="en-US" w:eastAsia="zh-CN" w:bidi="ar-SA"/>
              </w:rPr>
              <w:t>；原料倒边抛光投料废气污染因子为颗粒物；喷淋塔废气污染因子为硝酸雾</w:t>
            </w:r>
            <w:r>
              <w:rPr>
                <w:rFonts w:hint="eastAsia" w:cs="宋体"/>
                <w:color w:val="auto"/>
                <w:kern w:val="2"/>
                <w:sz w:val="24"/>
                <w:szCs w:val="24"/>
                <w:lang w:val="en-US" w:eastAsia="zh-CN" w:bidi="ar-SA"/>
              </w:rPr>
              <w:t>；晶体生长工序污染因子为氨、臭气浓度、硝酸雾。</w:t>
            </w:r>
          </w:p>
          <w:p w14:paraId="5329D5F8">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（1）有组织废气</w:t>
            </w:r>
          </w:p>
          <w:p w14:paraId="4C414680">
            <w:pPr>
              <w:pStyle w:val="47"/>
              <w:ind w:firstLine="480"/>
              <w:rPr>
                <w:rFonts w:hint="default"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本项目</w:t>
            </w:r>
            <w:r>
              <w:rPr>
                <w:rFonts w:hint="eastAsia" w:cs="宋体"/>
                <w:color w:val="auto"/>
                <w:kern w:val="2"/>
                <w:sz w:val="24"/>
                <w:szCs w:val="24"/>
                <w:highlight w:val="none"/>
                <w:lang w:val="en-US" w:eastAsia="zh-CN" w:bidi="ar-SA"/>
              </w:rPr>
              <w:t>VOCs、乙醇、乙醚、丙酮（以非甲烷总烃计）</w:t>
            </w:r>
            <w:r>
              <w:rPr>
                <w:rFonts w:hint="eastAsia" w:ascii="Times New Roman" w:hAnsi="Times New Roman" w:eastAsia="宋体" w:cs="宋体"/>
                <w:color w:val="auto"/>
                <w:kern w:val="2"/>
                <w:sz w:val="24"/>
                <w:szCs w:val="24"/>
                <w:highlight w:val="none"/>
                <w:lang w:val="en-US" w:eastAsia="zh-CN" w:bidi="ar-SA"/>
              </w:rPr>
              <w:t>有组织排放执行《工业企业挥发性有机物排放标准》（DB35/1782-2018）表1中其他行业标准</w:t>
            </w:r>
            <w:r>
              <w:rPr>
                <w:rFonts w:hint="eastAsia" w:cs="宋体"/>
                <w:color w:val="auto"/>
                <w:kern w:val="2"/>
                <w:sz w:val="24"/>
                <w:szCs w:val="24"/>
                <w:highlight w:val="none"/>
                <w:lang w:val="en-US" w:eastAsia="zh-CN" w:bidi="ar-SA"/>
              </w:rPr>
              <w:t>，</w:t>
            </w:r>
            <w:r>
              <w:rPr>
                <w:rFonts w:hint="eastAsia" w:ascii="Times New Roman" w:hAnsi="Times New Roman" w:eastAsia="宋体" w:cs="宋体"/>
                <w:color w:val="auto"/>
                <w:kern w:val="2"/>
                <w:sz w:val="24"/>
                <w:szCs w:val="24"/>
                <w:highlight w:val="none"/>
                <w:lang w:val="en-US" w:eastAsia="zh-CN" w:bidi="ar-SA"/>
              </w:rPr>
              <w:t>项目硝酸雾来源于喷淋塔酸雾，DB35/1782-2018 仅管控 VOCs（非甲烷总烃），无硝酸雾、氮氧化物管控条款，因此有组织硝酸雾执行《大气污染物综合排放标准》（GB 16297-1996）表</w:t>
            </w:r>
            <w:r>
              <w:rPr>
                <w:rFonts w:hint="eastAsia" w:cs="宋体"/>
                <w:color w:val="auto"/>
                <w:kern w:val="2"/>
                <w:sz w:val="24"/>
                <w:szCs w:val="24"/>
                <w:highlight w:val="none"/>
                <w:lang w:val="en-US" w:eastAsia="zh-CN" w:bidi="ar-SA"/>
              </w:rPr>
              <w:t>2</w:t>
            </w:r>
            <w:r>
              <w:rPr>
                <w:rFonts w:hint="eastAsia" w:ascii="Times New Roman" w:hAnsi="Times New Roman" w:eastAsia="宋体" w:cs="宋体"/>
                <w:color w:val="auto"/>
                <w:kern w:val="2"/>
                <w:sz w:val="24"/>
                <w:szCs w:val="24"/>
                <w:highlight w:val="none"/>
                <w:lang w:val="en-US" w:eastAsia="zh-CN" w:bidi="ar-SA"/>
              </w:rPr>
              <w:t>限值。具</w:t>
            </w:r>
            <w:r>
              <w:rPr>
                <w:rFonts w:hint="eastAsia" w:cs="宋体"/>
                <w:color w:val="auto"/>
                <w:kern w:val="2"/>
                <w:sz w:val="24"/>
                <w:szCs w:val="24"/>
                <w:highlight w:val="none"/>
                <w:lang w:val="en-US" w:eastAsia="zh-CN" w:bidi="ar-SA"/>
              </w:rPr>
              <w:t>体详见表3.7-4。</w:t>
            </w:r>
          </w:p>
          <w:p w14:paraId="68B73599">
            <w:pPr>
              <w:pStyle w:val="47"/>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val="0"/>
                <w:color w:val="auto"/>
                <w:szCs w:val="24"/>
                <w:highlight w:val="none"/>
                <w:lang w:eastAsia="zh-CN"/>
              </w:rPr>
            </w:pPr>
            <w:r>
              <w:rPr>
                <w:rFonts w:hint="eastAsia" w:ascii="Times New Roman" w:hAnsi="Times New Roman" w:eastAsia="宋体" w:cs="Times New Roman"/>
                <w:b/>
                <w:bCs w:val="0"/>
                <w:color w:val="auto"/>
                <w:szCs w:val="24"/>
                <w:highlight w:val="none"/>
                <w:lang w:val="en-US" w:eastAsia="zh-CN"/>
              </w:rPr>
              <w:t>表3</w:t>
            </w:r>
            <w:r>
              <w:rPr>
                <w:rFonts w:hint="eastAsia" w:cs="Times New Roman"/>
                <w:b/>
                <w:bCs w:val="0"/>
                <w:color w:val="auto"/>
                <w:szCs w:val="24"/>
                <w:highlight w:val="none"/>
                <w:lang w:val="en-US" w:eastAsia="zh-CN"/>
              </w:rPr>
              <w:t>.7</w:t>
            </w:r>
            <w:r>
              <w:rPr>
                <w:rFonts w:hint="eastAsia" w:ascii="Times New Roman" w:hAnsi="Times New Roman" w:eastAsia="宋体" w:cs="Times New Roman"/>
                <w:b/>
                <w:bCs w:val="0"/>
                <w:color w:val="auto"/>
                <w:szCs w:val="24"/>
                <w:highlight w:val="none"/>
                <w:lang w:val="en-US" w:eastAsia="zh-CN"/>
              </w:rPr>
              <w:t>-</w:t>
            </w:r>
            <w:r>
              <w:rPr>
                <w:rFonts w:hint="eastAsia" w:cs="Times New Roman"/>
                <w:b/>
                <w:bCs w:val="0"/>
                <w:color w:val="auto"/>
                <w:szCs w:val="24"/>
                <w:highlight w:val="none"/>
                <w:lang w:val="en-US" w:eastAsia="zh-CN"/>
              </w:rPr>
              <w:t xml:space="preserve">4  </w:t>
            </w:r>
            <w:r>
              <w:rPr>
                <w:rFonts w:hint="eastAsia" w:ascii="Times New Roman" w:hAnsi="Times New Roman" w:eastAsia="宋体" w:cs="Times New Roman"/>
                <w:b/>
                <w:bCs w:val="0"/>
                <w:color w:val="auto"/>
                <w:szCs w:val="24"/>
                <w:highlight w:val="none"/>
                <w:lang w:val="en-US" w:eastAsia="zh-CN"/>
              </w:rPr>
              <w:t>有组织废气污染物排放标准</w:t>
            </w:r>
          </w:p>
          <w:tbl>
            <w:tblPr>
              <w:tblStyle w:val="18"/>
              <w:tblW w:w="80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1221"/>
              <w:gridCol w:w="1326"/>
              <w:gridCol w:w="2123"/>
              <w:gridCol w:w="1145"/>
              <w:gridCol w:w="1209"/>
            </w:tblGrid>
            <w:tr w14:paraId="44718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4" w:type="dxa"/>
                  <w:tcBorders>
                    <w:top w:val="single" w:color="auto" w:sz="12" w:space="0"/>
                    <w:left w:val="nil"/>
                    <w:bottom w:val="single" w:color="auto" w:sz="4" w:space="0"/>
                    <w:right w:val="single" w:color="auto" w:sz="4" w:space="0"/>
                  </w:tcBorders>
                  <w:noWrap w:val="0"/>
                  <w:vAlign w:val="center"/>
                </w:tcPr>
                <w:p w14:paraId="3F33E065">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eastAsia" w:ascii="Times New Roman" w:hAnsi="Times New Roman" w:eastAsia="宋体" w:cs="Times New Roman"/>
                      <w:b/>
                      <w:bCs/>
                      <w:color w:val="auto"/>
                      <w:kern w:val="0"/>
                      <w:sz w:val="21"/>
                      <w:szCs w:val="21"/>
                      <w:highlight w:val="none"/>
                      <w:lang w:val="en-US" w:eastAsia="zh-CN" w:bidi="ar-SA"/>
                    </w:rPr>
                  </w:pPr>
                  <w:r>
                    <w:rPr>
                      <w:rFonts w:hint="eastAsia" w:ascii="Times New Roman" w:hAnsi="Times New Roman" w:eastAsia="宋体"/>
                      <w:b/>
                      <w:bCs/>
                      <w:color w:val="auto"/>
                      <w:sz w:val="21"/>
                      <w:szCs w:val="21"/>
                      <w:highlight w:val="none"/>
                      <w:lang w:val="en-US" w:eastAsia="zh-CN"/>
                    </w:rPr>
                    <w:t>行业名称</w:t>
                  </w:r>
                </w:p>
              </w:tc>
              <w:tc>
                <w:tcPr>
                  <w:tcW w:w="1221" w:type="dxa"/>
                  <w:tcBorders>
                    <w:top w:val="single" w:color="auto" w:sz="12" w:space="0"/>
                    <w:left w:val="single" w:color="auto" w:sz="4" w:space="0"/>
                    <w:bottom w:val="single" w:color="auto" w:sz="4" w:space="0"/>
                    <w:right w:val="single" w:color="auto" w:sz="4" w:space="0"/>
                  </w:tcBorders>
                  <w:noWrap w:val="0"/>
                  <w:vAlign w:val="center"/>
                </w:tcPr>
                <w:p w14:paraId="5251A0BE">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eastAsia" w:ascii="Times New Roman" w:hAnsi="Times New Roman" w:eastAsia="宋体" w:cs="Times New Roman"/>
                      <w:b/>
                      <w:bCs/>
                      <w:color w:val="auto"/>
                      <w:kern w:val="0"/>
                      <w:sz w:val="21"/>
                      <w:szCs w:val="21"/>
                      <w:highlight w:val="none"/>
                      <w:lang w:val="en-US" w:eastAsia="zh-CN" w:bidi="ar-SA"/>
                    </w:rPr>
                  </w:pPr>
                  <w:r>
                    <w:rPr>
                      <w:rFonts w:hint="eastAsia" w:ascii="Times New Roman" w:hAnsi="Times New Roman" w:eastAsia="宋体"/>
                      <w:b/>
                      <w:bCs/>
                      <w:color w:val="auto"/>
                      <w:sz w:val="21"/>
                      <w:szCs w:val="21"/>
                      <w:highlight w:val="none"/>
                      <w:lang w:val="en-US" w:eastAsia="zh-CN"/>
                    </w:rPr>
                    <w:t>工艺设施</w:t>
                  </w:r>
                </w:p>
              </w:tc>
              <w:tc>
                <w:tcPr>
                  <w:tcW w:w="1326" w:type="dxa"/>
                  <w:tcBorders>
                    <w:top w:val="single" w:color="auto" w:sz="12" w:space="0"/>
                    <w:left w:val="single" w:color="auto" w:sz="4" w:space="0"/>
                    <w:bottom w:val="single" w:color="auto" w:sz="4" w:space="0"/>
                    <w:right w:val="single" w:color="auto" w:sz="4" w:space="0"/>
                  </w:tcBorders>
                  <w:noWrap w:val="0"/>
                  <w:vAlign w:val="center"/>
                </w:tcPr>
                <w:p w14:paraId="09CCEE01">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eastAsia" w:ascii="Times New Roman" w:hAnsi="Times New Roman" w:eastAsia="宋体" w:cs="Times New Roman"/>
                      <w:b/>
                      <w:bCs/>
                      <w:color w:val="auto"/>
                      <w:kern w:val="0"/>
                      <w:sz w:val="21"/>
                      <w:szCs w:val="21"/>
                      <w:highlight w:val="none"/>
                      <w:lang w:val="en-US" w:eastAsia="zh-CN" w:bidi="ar-SA"/>
                    </w:rPr>
                  </w:pPr>
                  <w:r>
                    <w:rPr>
                      <w:rFonts w:hint="eastAsia" w:ascii="Times New Roman" w:hAnsi="Times New Roman" w:eastAsia="宋体"/>
                      <w:b/>
                      <w:bCs/>
                      <w:color w:val="auto"/>
                      <w:sz w:val="21"/>
                      <w:szCs w:val="21"/>
                      <w:highlight w:val="none"/>
                      <w:lang w:val="en-US" w:eastAsia="zh-CN"/>
                    </w:rPr>
                    <w:t>污染物项目</w:t>
                  </w:r>
                </w:p>
              </w:tc>
              <w:tc>
                <w:tcPr>
                  <w:tcW w:w="2123" w:type="dxa"/>
                  <w:tcBorders>
                    <w:top w:val="single" w:color="auto" w:sz="12" w:space="0"/>
                    <w:left w:val="single" w:color="auto" w:sz="4" w:space="0"/>
                    <w:bottom w:val="single" w:color="auto" w:sz="4" w:space="0"/>
                    <w:right w:val="single" w:color="auto" w:sz="4" w:space="0"/>
                  </w:tcBorders>
                  <w:noWrap w:val="0"/>
                  <w:vAlign w:val="center"/>
                </w:tcPr>
                <w:p w14:paraId="3AF1826B">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eastAsia" w:ascii="Times New Roman" w:hAnsi="Times New Roman" w:eastAsia="宋体" w:cs="Times New Roman"/>
                      <w:b/>
                      <w:bCs/>
                      <w:color w:val="auto"/>
                      <w:kern w:val="0"/>
                      <w:sz w:val="21"/>
                      <w:szCs w:val="21"/>
                      <w:highlight w:val="none"/>
                      <w:lang w:val="en-US" w:eastAsia="zh-CN" w:bidi="ar-SA"/>
                    </w:rPr>
                  </w:pPr>
                  <w:r>
                    <w:rPr>
                      <w:rFonts w:hint="eastAsia" w:ascii="Times New Roman" w:hAnsi="Times New Roman" w:eastAsia="宋体"/>
                      <w:b/>
                      <w:bCs/>
                      <w:color w:val="auto"/>
                      <w:sz w:val="21"/>
                      <w:szCs w:val="21"/>
                      <w:highlight w:val="none"/>
                      <w:lang w:val="en-US" w:eastAsia="zh-CN"/>
                    </w:rPr>
                    <w:t>最高允许排放浓度mg/m</w:t>
                  </w:r>
                  <w:r>
                    <w:rPr>
                      <w:rFonts w:hint="eastAsia" w:ascii="Times New Roman" w:hAnsi="Times New Roman" w:eastAsia="宋体"/>
                      <w:b/>
                      <w:bCs/>
                      <w:color w:val="auto"/>
                      <w:sz w:val="21"/>
                      <w:szCs w:val="21"/>
                      <w:highlight w:val="none"/>
                      <w:vertAlign w:val="superscript"/>
                      <w:lang w:val="en-US" w:eastAsia="zh-CN"/>
                    </w:rPr>
                    <w:t>3</w:t>
                  </w:r>
                </w:p>
              </w:tc>
              <w:tc>
                <w:tcPr>
                  <w:tcW w:w="2354" w:type="dxa"/>
                  <w:gridSpan w:val="2"/>
                  <w:tcBorders>
                    <w:top w:val="single" w:color="auto" w:sz="12" w:space="0"/>
                    <w:left w:val="single" w:color="auto" w:sz="4" w:space="0"/>
                    <w:bottom w:val="single" w:color="auto" w:sz="4" w:space="0"/>
                    <w:right w:val="nil"/>
                  </w:tcBorders>
                  <w:noWrap w:val="0"/>
                  <w:vAlign w:val="center"/>
                </w:tcPr>
                <w:p w14:paraId="50760797">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eastAsia" w:ascii="Times New Roman" w:hAnsi="Times New Roman" w:eastAsia="宋体"/>
                      <w:b/>
                      <w:bCs/>
                      <w:color w:val="auto"/>
                      <w:sz w:val="21"/>
                      <w:szCs w:val="21"/>
                      <w:highlight w:val="none"/>
                      <w:lang w:val="en-US" w:eastAsia="zh-CN"/>
                    </w:rPr>
                  </w:pPr>
                  <w:r>
                    <w:rPr>
                      <w:rFonts w:hint="eastAsia" w:ascii="Times New Roman" w:hAnsi="Times New Roman" w:eastAsia="宋体"/>
                      <w:b/>
                      <w:bCs/>
                      <w:color w:val="auto"/>
                      <w:sz w:val="21"/>
                      <w:szCs w:val="21"/>
                      <w:highlight w:val="none"/>
                      <w:lang w:val="en-US" w:eastAsia="zh-CN"/>
                    </w:rPr>
                    <w:t>最高允许排放速率</w:t>
                  </w:r>
                  <w:r>
                    <w:rPr>
                      <w:rFonts w:hint="eastAsia" w:ascii="Times New Roman" w:hAnsi="Times New Roman" w:eastAsia="宋体"/>
                      <w:b/>
                      <w:bCs/>
                      <w:color w:val="auto"/>
                      <w:sz w:val="21"/>
                      <w:szCs w:val="21"/>
                      <w:highlight w:val="none"/>
                      <w:vertAlign w:val="superscript"/>
                      <w:lang w:val="en-US" w:eastAsia="zh-CN"/>
                    </w:rPr>
                    <w:t>a</w:t>
                  </w:r>
                  <w:r>
                    <w:rPr>
                      <w:rFonts w:hint="eastAsia" w:ascii="Times New Roman" w:hAnsi="Times New Roman" w:eastAsia="宋体"/>
                      <w:b/>
                      <w:bCs/>
                      <w:color w:val="auto"/>
                      <w:sz w:val="21"/>
                      <w:szCs w:val="21"/>
                      <w:highlight w:val="none"/>
                      <w:lang w:val="en-US" w:eastAsia="zh-CN"/>
                    </w:rPr>
                    <w:t>kg/h</w:t>
                  </w:r>
                </w:p>
              </w:tc>
            </w:tr>
            <w:tr w14:paraId="66EF5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4" w:type="dxa"/>
                  <w:vMerge w:val="restart"/>
                  <w:tcBorders>
                    <w:top w:val="single" w:color="auto" w:sz="4" w:space="0"/>
                    <w:left w:val="nil"/>
                    <w:bottom w:val="single" w:color="auto" w:sz="4" w:space="0"/>
                    <w:right w:val="single" w:color="auto" w:sz="4" w:space="0"/>
                  </w:tcBorders>
                  <w:shd w:val="clear" w:color="auto" w:fill="auto"/>
                  <w:noWrap w:val="0"/>
                  <w:vAlign w:val="center"/>
                </w:tcPr>
                <w:p w14:paraId="2143FDF5">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其他行业</w:t>
                  </w:r>
                </w:p>
              </w:tc>
              <w:tc>
                <w:tcPr>
                  <w:tcW w:w="1221"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23BC11E3">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w:t>
                  </w:r>
                </w:p>
              </w:tc>
              <w:tc>
                <w:tcPr>
                  <w:tcW w:w="132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4D20B2EA">
                  <w:pPr>
                    <w:pStyle w:val="44"/>
                    <w:keepNext w:val="0"/>
                    <w:keepLines w:val="0"/>
                    <w:pageBreakBefore w:val="0"/>
                    <w:widowControl w:val="0"/>
                    <w:kinsoku/>
                    <w:wordWrap/>
                    <w:overflowPunct/>
                    <w:topLinePunct w:val="0"/>
                    <w:autoSpaceDE/>
                    <w:autoSpaceDN/>
                    <w:bidi w:val="0"/>
                    <w:spacing w:line="246" w:lineRule="exact"/>
                    <w:ind w:left="111"/>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bidi="ar-SA"/>
                    </w:rPr>
                    <w:t>VOCs、乙醇、乙醚、丙酮（以非甲烷总烃计）</w:t>
                  </w:r>
                </w:p>
              </w:tc>
              <w:tc>
                <w:tcPr>
                  <w:tcW w:w="212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3194FBE3">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100</w:t>
                  </w:r>
                </w:p>
              </w:tc>
              <w:tc>
                <w:tcPr>
                  <w:tcW w:w="11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6C4EC7">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20m</w:t>
                  </w:r>
                </w:p>
              </w:tc>
              <w:tc>
                <w:tcPr>
                  <w:tcW w:w="1209" w:type="dxa"/>
                  <w:tcBorders>
                    <w:top w:val="single" w:color="auto" w:sz="4" w:space="0"/>
                    <w:left w:val="single" w:color="auto" w:sz="4" w:space="0"/>
                    <w:bottom w:val="single" w:color="auto" w:sz="4" w:space="0"/>
                    <w:right w:val="nil"/>
                  </w:tcBorders>
                  <w:shd w:val="clear" w:color="auto" w:fill="7E7E7E"/>
                  <w:noWrap w:val="0"/>
                  <w:vAlign w:val="center"/>
                </w:tcPr>
                <w:p w14:paraId="3F109233">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40m</w:t>
                  </w:r>
                </w:p>
              </w:tc>
            </w:tr>
            <w:tr w14:paraId="1DE9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4" w:type="dxa"/>
                  <w:vMerge w:val="continue"/>
                  <w:tcBorders>
                    <w:top w:val="single" w:color="auto" w:sz="4" w:space="0"/>
                    <w:left w:val="nil"/>
                    <w:bottom w:val="single" w:color="auto" w:sz="4" w:space="0"/>
                    <w:right w:val="single" w:color="auto" w:sz="4" w:space="0"/>
                  </w:tcBorders>
                  <w:shd w:val="clear" w:color="auto" w:fill="auto"/>
                  <w:noWrap w:val="0"/>
                  <w:vAlign w:val="center"/>
                </w:tcPr>
                <w:p w14:paraId="062C640D">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eastAsia" w:ascii="Times New Roman" w:hAnsi="Times New Roman" w:eastAsia="宋体"/>
                      <w:color w:val="auto"/>
                      <w:sz w:val="21"/>
                      <w:szCs w:val="21"/>
                      <w:highlight w:val="none"/>
                      <w:lang w:val="en-US" w:eastAsia="zh-CN"/>
                    </w:rPr>
                  </w:pPr>
                </w:p>
              </w:tc>
              <w:tc>
                <w:tcPr>
                  <w:tcW w:w="1221"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76E23CBD">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eastAsia" w:ascii="Times New Roman" w:hAnsi="Times New Roman" w:eastAsia="宋体"/>
                      <w:color w:val="auto"/>
                      <w:sz w:val="21"/>
                      <w:szCs w:val="21"/>
                      <w:highlight w:val="none"/>
                      <w:lang w:val="en-US" w:eastAsia="zh-CN"/>
                    </w:rPr>
                  </w:pPr>
                </w:p>
              </w:tc>
              <w:tc>
                <w:tcPr>
                  <w:tcW w:w="1326"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635B70D5">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eastAsia" w:ascii="Times New Roman" w:hAnsi="Times New Roman" w:eastAsia="宋体"/>
                      <w:color w:val="auto"/>
                      <w:sz w:val="21"/>
                      <w:szCs w:val="21"/>
                      <w:highlight w:val="none"/>
                      <w:lang w:val="en-US" w:eastAsia="zh-CN"/>
                    </w:rPr>
                  </w:pPr>
                </w:p>
              </w:tc>
              <w:tc>
                <w:tcPr>
                  <w:tcW w:w="212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32378655">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eastAsia" w:ascii="Times New Roman" w:hAnsi="Times New Roman" w:eastAsia="宋体"/>
                      <w:color w:val="auto"/>
                      <w:sz w:val="21"/>
                      <w:szCs w:val="21"/>
                      <w:highlight w:val="none"/>
                      <w:lang w:val="en-US" w:eastAsia="zh-CN"/>
                    </w:rPr>
                  </w:pPr>
                </w:p>
              </w:tc>
              <w:tc>
                <w:tcPr>
                  <w:tcW w:w="11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5A26B5">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3.6</w:t>
                  </w:r>
                </w:p>
              </w:tc>
              <w:tc>
                <w:tcPr>
                  <w:tcW w:w="1209" w:type="dxa"/>
                  <w:tcBorders>
                    <w:top w:val="single" w:color="auto" w:sz="4" w:space="0"/>
                    <w:left w:val="single" w:color="auto" w:sz="4" w:space="0"/>
                    <w:bottom w:val="single" w:color="auto" w:sz="4" w:space="0"/>
                    <w:right w:val="nil"/>
                  </w:tcBorders>
                  <w:shd w:val="clear" w:color="auto" w:fill="7E7E7E"/>
                  <w:noWrap w:val="0"/>
                  <w:vAlign w:val="center"/>
                </w:tcPr>
                <w:p w14:paraId="72368407">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17.4</w:t>
                  </w:r>
                </w:p>
              </w:tc>
            </w:tr>
            <w:tr w14:paraId="08CA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024" w:type="dxa"/>
                  <w:vMerge w:val="restart"/>
                  <w:tcBorders>
                    <w:top w:val="single" w:color="auto" w:sz="4" w:space="0"/>
                    <w:left w:val="nil"/>
                    <w:bottom w:val="single" w:color="auto" w:sz="4" w:space="0"/>
                    <w:right w:val="single" w:color="auto" w:sz="4" w:space="0"/>
                  </w:tcBorders>
                  <w:noWrap w:val="0"/>
                  <w:vAlign w:val="center"/>
                </w:tcPr>
                <w:p w14:paraId="2EB99BAC">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硝酸使用和其他</w:t>
                  </w:r>
                </w:p>
              </w:tc>
              <w:tc>
                <w:tcPr>
                  <w:tcW w:w="1221" w:type="dxa"/>
                  <w:vMerge w:val="restart"/>
                  <w:tcBorders>
                    <w:top w:val="single" w:color="auto" w:sz="4" w:space="0"/>
                    <w:left w:val="single" w:color="auto" w:sz="4" w:space="0"/>
                    <w:bottom w:val="single" w:color="auto" w:sz="4" w:space="0"/>
                    <w:right w:val="single" w:color="auto" w:sz="4" w:space="0"/>
                  </w:tcBorders>
                  <w:noWrap w:val="0"/>
                  <w:vAlign w:val="center"/>
                </w:tcPr>
                <w:p w14:paraId="3D010FE3">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1326" w:type="dxa"/>
                  <w:vMerge w:val="restart"/>
                  <w:tcBorders>
                    <w:top w:val="single" w:color="auto" w:sz="4" w:space="0"/>
                    <w:left w:val="single" w:color="auto" w:sz="4" w:space="0"/>
                    <w:bottom w:val="single" w:color="auto" w:sz="4" w:space="0"/>
                    <w:right w:val="single" w:color="auto" w:sz="4" w:space="0"/>
                  </w:tcBorders>
                  <w:noWrap w:val="0"/>
                  <w:vAlign w:val="center"/>
                </w:tcPr>
                <w:p w14:paraId="366FDDED">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硝酸雾（折算氮氧化物）</w:t>
                  </w:r>
                </w:p>
              </w:tc>
              <w:tc>
                <w:tcPr>
                  <w:tcW w:w="2123" w:type="dxa"/>
                  <w:vMerge w:val="restart"/>
                  <w:tcBorders>
                    <w:top w:val="single" w:color="auto" w:sz="4" w:space="0"/>
                    <w:left w:val="single" w:color="auto" w:sz="4" w:space="0"/>
                    <w:bottom w:val="single" w:color="auto" w:sz="4" w:space="0"/>
                    <w:right w:val="single" w:color="auto" w:sz="4" w:space="0"/>
                  </w:tcBorders>
                  <w:noWrap w:val="0"/>
                  <w:vAlign w:val="center"/>
                </w:tcPr>
                <w:p w14:paraId="644E0C6F">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240</w:t>
                  </w:r>
                </w:p>
              </w:tc>
              <w:tc>
                <w:tcPr>
                  <w:tcW w:w="1145" w:type="dxa"/>
                  <w:tcBorders>
                    <w:top w:val="single" w:color="auto" w:sz="4" w:space="0"/>
                    <w:left w:val="single" w:color="auto" w:sz="4" w:space="0"/>
                    <w:bottom w:val="single" w:color="auto" w:sz="4" w:space="0"/>
                    <w:right w:val="single" w:color="auto" w:sz="4" w:space="0"/>
                  </w:tcBorders>
                  <w:noWrap w:val="0"/>
                  <w:vAlign w:val="center"/>
                </w:tcPr>
                <w:p w14:paraId="576F9D72">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20m</w:t>
                  </w:r>
                </w:p>
              </w:tc>
              <w:tc>
                <w:tcPr>
                  <w:tcW w:w="1209" w:type="dxa"/>
                  <w:tcBorders>
                    <w:top w:val="single" w:color="auto" w:sz="4" w:space="0"/>
                    <w:left w:val="single" w:color="auto" w:sz="4" w:space="0"/>
                    <w:bottom w:val="single" w:color="auto" w:sz="4" w:space="0"/>
                    <w:right w:val="nil"/>
                  </w:tcBorders>
                  <w:noWrap w:val="0"/>
                  <w:vAlign w:val="center"/>
                </w:tcPr>
                <w:p w14:paraId="20BDC83F">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40m</w:t>
                  </w:r>
                </w:p>
              </w:tc>
            </w:tr>
            <w:tr w14:paraId="59FB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024" w:type="dxa"/>
                  <w:vMerge w:val="continue"/>
                  <w:tcBorders>
                    <w:top w:val="single" w:color="auto" w:sz="4" w:space="0"/>
                    <w:left w:val="nil"/>
                    <w:bottom w:val="single" w:color="auto" w:sz="4" w:space="0"/>
                    <w:right w:val="single" w:color="auto" w:sz="4" w:space="0"/>
                  </w:tcBorders>
                  <w:noWrap w:val="0"/>
                  <w:vAlign w:val="center"/>
                </w:tcPr>
                <w:p w14:paraId="7E935517">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eastAsia" w:ascii="Times New Roman" w:hAnsi="Times New Roman" w:eastAsia="宋体" w:cs="Times New Roman"/>
                      <w:color w:val="auto"/>
                      <w:sz w:val="21"/>
                      <w:szCs w:val="21"/>
                      <w:highlight w:val="none"/>
                      <w:lang w:val="en-US" w:eastAsia="zh-CN"/>
                    </w:rPr>
                  </w:pPr>
                </w:p>
              </w:tc>
              <w:tc>
                <w:tcPr>
                  <w:tcW w:w="1221" w:type="dxa"/>
                  <w:vMerge w:val="continue"/>
                  <w:tcBorders>
                    <w:top w:val="single" w:color="auto" w:sz="4" w:space="0"/>
                    <w:left w:val="single" w:color="auto" w:sz="4" w:space="0"/>
                    <w:bottom w:val="single" w:color="auto" w:sz="4" w:space="0"/>
                    <w:right w:val="single" w:color="auto" w:sz="4" w:space="0"/>
                  </w:tcBorders>
                  <w:noWrap w:val="0"/>
                  <w:vAlign w:val="center"/>
                </w:tcPr>
                <w:p w14:paraId="0E7ABEDB">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eastAsia" w:ascii="Times New Roman" w:hAnsi="Times New Roman" w:eastAsia="宋体" w:cs="Times New Roman"/>
                      <w:color w:val="auto"/>
                      <w:sz w:val="21"/>
                      <w:szCs w:val="21"/>
                      <w:highlight w:val="none"/>
                      <w:lang w:val="en-US" w:eastAsia="zh-CN"/>
                    </w:rPr>
                  </w:pPr>
                </w:p>
              </w:tc>
              <w:tc>
                <w:tcPr>
                  <w:tcW w:w="1326" w:type="dxa"/>
                  <w:vMerge w:val="continue"/>
                  <w:tcBorders>
                    <w:top w:val="single" w:color="auto" w:sz="4" w:space="0"/>
                    <w:left w:val="single" w:color="auto" w:sz="4" w:space="0"/>
                    <w:bottom w:val="single" w:color="auto" w:sz="4" w:space="0"/>
                    <w:right w:val="single" w:color="auto" w:sz="4" w:space="0"/>
                  </w:tcBorders>
                  <w:noWrap w:val="0"/>
                  <w:vAlign w:val="center"/>
                </w:tcPr>
                <w:p w14:paraId="4F76D262">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eastAsia" w:ascii="Times New Roman" w:hAnsi="Times New Roman" w:eastAsia="宋体" w:cs="Times New Roman"/>
                      <w:color w:val="auto"/>
                      <w:sz w:val="21"/>
                      <w:szCs w:val="21"/>
                      <w:highlight w:val="none"/>
                      <w:lang w:val="en-US" w:eastAsia="zh-CN"/>
                    </w:rPr>
                  </w:pPr>
                </w:p>
              </w:tc>
              <w:tc>
                <w:tcPr>
                  <w:tcW w:w="2123" w:type="dxa"/>
                  <w:vMerge w:val="continue"/>
                  <w:tcBorders>
                    <w:top w:val="single" w:color="auto" w:sz="4" w:space="0"/>
                    <w:left w:val="single" w:color="auto" w:sz="4" w:space="0"/>
                    <w:bottom w:val="single" w:color="auto" w:sz="4" w:space="0"/>
                    <w:right w:val="single" w:color="auto" w:sz="4" w:space="0"/>
                  </w:tcBorders>
                  <w:noWrap w:val="0"/>
                  <w:vAlign w:val="center"/>
                </w:tcPr>
                <w:p w14:paraId="7DF79817">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eastAsia" w:ascii="Times New Roman" w:hAnsi="Times New Roman" w:eastAsia="宋体" w:cs="Times New Roman"/>
                      <w:color w:val="auto"/>
                      <w:sz w:val="21"/>
                      <w:szCs w:val="21"/>
                      <w:highlight w:val="none"/>
                      <w:lang w:val="en-US" w:eastAsia="zh-CN"/>
                    </w:rPr>
                  </w:pPr>
                </w:p>
              </w:tc>
              <w:tc>
                <w:tcPr>
                  <w:tcW w:w="1145" w:type="dxa"/>
                  <w:tcBorders>
                    <w:top w:val="single" w:color="auto" w:sz="4" w:space="0"/>
                    <w:left w:val="single" w:color="auto" w:sz="4" w:space="0"/>
                    <w:bottom w:val="single" w:color="auto" w:sz="4" w:space="0"/>
                    <w:right w:val="single" w:color="auto" w:sz="4" w:space="0"/>
                  </w:tcBorders>
                  <w:noWrap w:val="0"/>
                  <w:vAlign w:val="center"/>
                </w:tcPr>
                <w:p w14:paraId="79DC7906">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1.3</w:t>
                  </w:r>
                </w:p>
              </w:tc>
              <w:tc>
                <w:tcPr>
                  <w:tcW w:w="1209" w:type="dxa"/>
                  <w:tcBorders>
                    <w:top w:val="single" w:color="auto" w:sz="4" w:space="0"/>
                    <w:left w:val="single" w:color="auto" w:sz="4" w:space="0"/>
                    <w:bottom w:val="single" w:color="auto" w:sz="4" w:space="0"/>
                    <w:right w:val="nil"/>
                  </w:tcBorders>
                  <w:noWrap w:val="0"/>
                  <w:vAlign w:val="center"/>
                </w:tcPr>
                <w:p w14:paraId="4348F5AC">
                  <w:pPr>
                    <w:pStyle w:val="28"/>
                    <w:keepNext w:val="0"/>
                    <w:keepLines w:val="0"/>
                    <w:pageBreakBefore w:val="0"/>
                    <w:widowControl w:val="0"/>
                    <w:kinsoku/>
                    <w:wordWrap/>
                    <w:overflowPunct/>
                    <w:topLinePunct w:val="0"/>
                    <w:autoSpaceDE/>
                    <w:autoSpaceDN/>
                    <w:bidi w:val="0"/>
                    <w:spacing w:before="0" w:beforeLines="0" w:after="0" w:afterLine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7.5</w:t>
                  </w:r>
                </w:p>
              </w:tc>
            </w:tr>
            <w:tr w14:paraId="436F0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8" w:type="dxa"/>
                  <w:gridSpan w:val="6"/>
                  <w:tcBorders>
                    <w:top w:val="single" w:color="auto" w:sz="4" w:space="0"/>
                    <w:left w:val="nil"/>
                    <w:bottom w:val="single" w:color="auto" w:sz="12" w:space="0"/>
                    <w:right w:val="nil"/>
                  </w:tcBorders>
                  <w:noWrap w:val="0"/>
                  <w:vAlign w:val="center"/>
                </w:tcPr>
                <w:p w14:paraId="480D790E">
                  <w:pPr>
                    <w:pStyle w:val="28"/>
                    <w:keepNext w:val="0"/>
                    <w:keepLines w:val="0"/>
                    <w:pageBreakBefore w:val="0"/>
                    <w:widowControl w:val="0"/>
                    <w:kinsoku/>
                    <w:wordWrap/>
                    <w:overflowPunct/>
                    <w:topLinePunct w:val="0"/>
                    <w:autoSpaceDE/>
                    <w:autoSpaceDN/>
                    <w:bidi w:val="0"/>
                    <w:spacing w:before="0" w:beforeLines="0" w:after="0" w:afterLines="0"/>
                    <w:jc w:val="both"/>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注：a当非甲烷总烃的去除率≥90%时，等同于满足最高允许排放速率限值要求；</w:t>
                  </w:r>
                </w:p>
                <w:p w14:paraId="2684253C">
                  <w:pPr>
                    <w:keepNext w:val="0"/>
                    <w:keepLines w:val="0"/>
                    <w:pageBreakBefore w:val="0"/>
                    <w:widowControl w:val="0"/>
                    <w:kinsoku/>
                    <w:wordWrap/>
                    <w:overflowPunct/>
                    <w:topLinePunct w:val="0"/>
                    <w:autoSpaceDE/>
                    <w:autoSpaceDN/>
                    <w:bidi w:val="0"/>
                    <w:textAlignment w:val="auto"/>
                    <w:rPr>
                      <w:rFonts w:ascii="Times New Roman" w:hAnsi="Times New Roman" w:eastAsia="宋体" w:cs="宋体"/>
                      <w:b w:val="0"/>
                      <w:bCs w:val="0"/>
                      <w:color w:val="auto"/>
                      <w:sz w:val="21"/>
                      <w:szCs w:val="21"/>
                    </w:rPr>
                  </w:pPr>
                  <w:r>
                    <w:rPr>
                      <w:rFonts w:ascii="Times New Roman" w:hAnsi="Times New Roman" w:eastAsia="宋体" w:cs="宋体"/>
                      <w:b w:val="0"/>
                      <w:bCs w:val="0"/>
                      <w:color w:val="auto"/>
                      <w:sz w:val="21"/>
                      <w:szCs w:val="21"/>
                    </w:rPr>
                    <w:t>本项目</w:t>
                  </w:r>
                  <w:r>
                    <w:rPr>
                      <w:rStyle w:val="20"/>
                      <w:rFonts w:ascii="Times New Roman" w:hAnsi="Times New Roman" w:eastAsia="宋体" w:cs="宋体"/>
                      <w:b w:val="0"/>
                      <w:bCs w:val="0"/>
                      <w:color w:val="auto"/>
                      <w:sz w:val="21"/>
                      <w:szCs w:val="21"/>
                    </w:rPr>
                    <w:t>生产过程不熔炼玻璃原料、无熔融玻璃液产生</w:t>
                  </w:r>
                  <w:r>
                    <w:rPr>
                      <w:rFonts w:ascii="Times New Roman" w:hAnsi="Times New Roman" w:eastAsia="宋体" w:cs="宋体"/>
                      <w:b w:val="0"/>
                      <w:bCs w:val="0"/>
                      <w:color w:val="auto"/>
                      <w:sz w:val="21"/>
                      <w:szCs w:val="21"/>
                    </w:rPr>
                    <w:t>，不涉及熔窑熔融工段，</w:t>
                  </w:r>
                  <w:r>
                    <w:rPr>
                      <w:rStyle w:val="20"/>
                      <w:rFonts w:ascii="Times New Roman" w:hAnsi="Times New Roman" w:eastAsia="宋体" w:cs="宋体"/>
                      <w:b w:val="0"/>
                      <w:bCs w:val="0"/>
                      <w:color w:val="auto"/>
                      <w:sz w:val="21"/>
                      <w:szCs w:val="21"/>
                    </w:rPr>
                    <w:t>不适用玻璃熔窑基准排气量核算要求，无需考核基准排气量指标</w:t>
                  </w:r>
                  <w:r>
                    <w:rPr>
                      <w:rFonts w:ascii="Times New Roman" w:hAnsi="Times New Roman" w:eastAsia="宋体" w:cs="宋体"/>
                      <w:b w:val="0"/>
                      <w:bCs w:val="0"/>
                      <w:color w:val="auto"/>
                      <w:sz w:val="21"/>
                      <w:szCs w:val="21"/>
                    </w:rPr>
                    <w:t>。</w:t>
                  </w:r>
                </w:p>
                <w:p w14:paraId="20259504">
                  <w:pPr>
                    <w:keepNext w:val="0"/>
                    <w:keepLines w:val="0"/>
                    <w:pageBreakBefore w:val="0"/>
                    <w:widowControl w:val="0"/>
                    <w:kinsoku/>
                    <w:wordWrap/>
                    <w:overflowPunct/>
                    <w:topLinePunct w:val="0"/>
                    <w:autoSpaceDE/>
                    <w:autoSpaceDN/>
                    <w:bidi w:val="0"/>
                    <w:textAlignment w:val="auto"/>
                    <w:rPr>
                      <w:rFonts w:hint="default" w:ascii="Times New Roman" w:hAnsi="Times New Roman" w:eastAsia="宋体" w:cs="宋体"/>
                      <w:b w:val="0"/>
                      <w:bCs w:val="0"/>
                      <w:color w:val="auto"/>
                      <w:sz w:val="21"/>
                      <w:szCs w:val="21"/>
                      <w:lang w:val="en-US" w:eastAsia="zh-CN"/>
                    </w:rPr>
                  </w:pPr>
                  <w:r>
                    <w:rPr>
                      <w:rFonts w:hint="eastAsia" w:ascii="Times New Roman" w:hAnsi="Times New Roman" w:eastAsia="宋体" w:cs="宋体"/>
                      <w:b w:val="0"/>
                      <w:bCs w:val="0"/>
                      <w:color w:val="auto"/>
                      <w:sz w:val="21"/>
                      <w:szCs w:val="21"/>
                      <w:lang w:val="en-US" w:eastAsia="zh-CN"/>
                    </w:rPr>
                    <w:t>b</w:t>
                  </w:r>
                  <w:r>
                    <w:rPr>
                      <w:rFonts w:ascii="Times New Roman" w:hAnsi="Times New Roman" w:eastAsia="宋体" w:cs="宋体"/>
                      <w:b w:val="0"/>
                      <w:bCs w:val="0"/>
                      <w:color w:val="auto"/>
                      <w:sz w:val="21"/>
                      <w:szCs w:val="21"/>
                    </w:rPr>
                    <w:t>排气筒应高出周围200m半径范围内最高建筑物5m以上；若排气筒高度不满足该要求，对应污染物最高允许排放速率按标准限值的50%从严执行。</w:t>
                  </w:r>
                </w:p>
              </w:tc>
            </w:tr>
          </w:tbl>
          <w:p w14:paraId="51AE8460">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（2）无组织废气</w:t>
            </w:r>
          </w:p>
          <w:p w14:paraId="7924F8F8">
            <w:pPr>
              <w:widowControl w:val="0"/>
              <w:bidi w:val="0"/>
              <w:spacing w:line="360" w:lineRule="auto"/>
              <w:ind w:firstLine="480" w:firstLineChars="200"/>
              <w:jc w:val="both"/>
              <w:rPr>
                <w:rFonts w:hint="default"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Times New Roman"/>
                <w:b w:val="0"/>
                <w:bCs w:val="0"/>
                <w:color w:val="auto"/>
                <w:kern w:val="0"/>
                <w:sz w:val="24"/>
                <w:szCs w:val="24"/>
                <w:highlight w:val="none"/>
                <w:lang w:val="en-US" w:eastAsia="zh-CN" w:bidi="ar-SA"/>
              </w:rPr>
              <w:t>本项目</w:t>
            </w:r>
            <w:r>
              <w:rPr>
                <w:rFonts w:hint="eastAsia" w:ascii="Times New Roman" w:hAnsi="Times New Roman" w:eastAsia="宋体" w:cs="宋体"/>
                <w:color w:val="auto"/>
                <w:kern w:val="2"/>
                <w:sz w:val="24"/>
                <w:szCs w:val="24"/>
                <w:highlight w:val="none"/>
                <w:lang w:val="en-US" w:eastAsia="zh-CN" w:bidi="ar-SA"/>
              </w:rPr>
              <w:t>VOCs、乙醇、乙醚、丙酮（以非甲烷总烃计）厂界无组织排放执行《工业企业挥发性有机物排放标准》（DB35/1782-2018）表3中企业边界监控点浓度限值；颗粒物、</w:t>
            </w:r>
            <w:r>
              <w:rPr>
                <w:rFonts w:ascii="宋体" w:hAnsi="宋体" w:eastAsia="宋体" w:cs="宋体"/>
                <w:color w:val="auto"/>
                <w:sz w:val="24"/>
                <w:szCs w:val="24"/>
              </w:rPr>
              <w:t>硝酸雾（以氮氧化物计）</w:t>
            </w:r>
            <w:r>
              <w:rPr>
                <w:rFonts w:hint="eastAsia" w:ascii="Times New Roman" w:hAnsi="Times New Roman" w:eastAsia="宋体" w:cs="宋体"/>
                <w:color w:val="auto"/>
                <w:kern w:val="2"/>
                <w:sz w:val="24"/>
                <w:szCs w:val="24"/>
                <w:highlight w:val="none"/>
                <w:lang w:val="en-US" w:eastAsia="zh-CN" w:bidi="ar-SA"/>
              </w:rPr>
              <w:t>厂界无组织排放执行</w:t>
            </w:r>
            <w:r>
              <w:rPr>
                <w:rFonts w:ascii="Times New Roman" w:hAnsi="Times New Roman" w:eastAsia="宋体" w:cs="宋体"/>
                <w:i w:val="0"/>
                <w:iCs w:val="0"/>
                <w:caps w:val="0"/>
                <w:color w:val="auto"/>
                <w:spacing w:val="0"/>
                <w:sz w:val="24"/>
                <w:szCs w:val="24"/>
                <w:shd w:val="clear" w:color="auto" w:fill="FFFFFF"/>
              </w:rPr>
              <w:t>《大气污染物综合排放标准》（GB 16297-1996）表2中无组织排放监控浓度限值</w:t>
            </w:r>
            <w:r>
              <w:rPr>
                <w:rFonts w:hint="eastAsia" w:cs="宋体"/>
                <w:i w:val="0"/>
                <w:iCs w:val="0"/>
                <w:caps w:val="0"/>
                <w:color w:val="auto"/>
                <w:spacing w:val="0"/>
                <w:sz w:val="24"/>
                <w:szCs w:val="24"/>
                <w:shd w:val="clear" w:color="auto" w:fill="FFFFFF"/>
                <w:lang w:eastAsia="zh-CN"/>
              </w:rPr>
              <w:t>；</w:t>
            </w:r>
            <w:r>
              <w:rPr>
                <w:rFonts w:hint="eastAsia" w:ascii="Times New Roman" w:hAnsi="Times New Roman" w:eastAsia="宋体" w:cs="宋体"/>
                <w:i w:val="0"/>
                <w:iCs w:val="0"/>
                <w:caps w:val="0"/>
                <w:color w:val="auto"/>
                <w:spacing w:val="0"/>
                <w:sz w:val="24"/>
                <w:szCs w:val="24"/>
                <w:shd w:val="clear" w:color="auto" w:fill="FFFFFF"/>
                <w:lang w:val="en-US" w:eastAsia="zh-CN"/>
              </w:rPr>
              <w:t>氨、臭气浓度无组织排放执行</w:t>
            </w:r>
            <w:r>
              <w:rPr>
                <w:rFonts w:ascii="Times New Roman" w:hAnsi="Times New Roman" w:eastAsia="宋体" w:cs="宋体"/>
                <w:i w:val="0"/>
                <w:iCs w:val="0"/>
                <w:caps w:val="0"/>
                <w:color w:val="auto"/>
                <w:spacing w:val="0"/>
                <w:sz w:val="24"/>
                <w:szCs w:val="24"/>
                <w:shd w:val="clear" w:color="auto" w:fill="FFFFFF"/>
              </w:rPr>
              <w:t>《恶臭污染物排放标准》（GB14554-93）表1二级新扩</w:t>
            </w:r>
            <w:r>
              <w:rPr>
                <w:rFonts w:ascii="宋体" w:hAnsi="宋体" w:eastAsia="宋体" w:cs="宋体"/>
                <w:color w:val="auto"/>
                <w:sz w:val="24"/>
                <w:szCs w:val="24"/>
              </w:rPr>
              <w:t>改建标准</w:t>
            </w:r>
            <w:r>
              <w:rPr>
                <w:rFonts w:hint="eastAsia" w:ascii="宋体" w:hAnsi="宋体" w:eastAsia="宋体" w:cs="宋体"/>
                <w:color w:val="auto"/>
                <w:sz w:val="24"/>
                <w:szCs w:val="24"/>
                <w:lang w:eastAsia="zh-CN"/>
              </w:rPr>
              <w:t>，</w:t>
            </w:r>
            <w:r>
              <w:rPr>
                <w:rFonts w:hint="eastAsia" w:ascii="Times New Roman" w:hAnsi="Times New Roman" w:eastAsia="宋体" w:cs="宋体"/>
                <w:i w:val="0"/>
                <w:iCs w:val="0"/>
                <w:caps w:val="0"/>
                <w:color w:val="auto"/>
                <w:spacing w:val="0"/>
                <w:sz w:val="24"/>
                <w:szCs w:val="24"/>
                <w:shd w:val="clear" w:color="auto" w:fill="FFFFFF"/>
                <w:lang w:val="en-US" w:eastAsia="zh-CN"/>
              </w:rPr>
              <w:t>具体详见表3.7-</w:t>
            </w:r>
            <w:r>
              <w:rPr>
                <w:rFonts w:hint="eastAsia" w:cs="宋体"/>
                <w:i w:val="0"/>
                <w:iCs w:val="0"/>
                <w:caps w:val="0"/>
                <w:color w:val="auto"/>
                <w:spacing w:val="0"/>
                <w:sz w:val="24"/>
                <w:szCs w:val="24"/>
                <w:shd w:val="clear" w:color="auto" w:fill="FFFFFF"/>
                <w:lang w:val="en-US" w:eastAsia="zh-CN"/>
              </w:rPr>
              <w:t>5</w:t>
            </w:r>
            <w:r>
              <w:rPr>
                <w:rFonts w:hint="eastAsia" w:ascii="Times New Roman" w:hAnsi="Times New Roman" w:eastAsia="宋体" w:cs="宋体"/>
                <w:i w:val="0"/>
                <w:iCs w:val="0"/>
                <w:caps w:val="0"/>
                <w:color w:val="auto"/>
                <w:spacing w:val="0"/>
                <w:sz w:val="24"/>
                <w:szCs w:val="24"/>
                <w:shd w:val="clear" w:color="auto" w:fill="FFFFFF"/>
                <w:lang w:val="en-US" w:eastAsia="zh-CN"/>
              </w:rPr>
              <w:t>。</w:t>
            </w:r>
          </w:p>
          <w:p w14:paraId="7226D3FF">
            <w:pPr>
              <w:pStyle w:val="48"/>
              <w:keepNext w:val="0"/>
              <w:keepLines w:val="0"/>
              <w:pageBreakBefore w:val="0"/>
              <w:widowControl w:val="0"/>
              <w:kinsoku/>
              <w:wordWrap/>
              <w:overflowPunct/>
              <w:topLinePunct w:val="0"/>
              <w:autoSpaceDE/>
              <w:autoSpaceDN/>
              <w:bidi w:val="0"/>
              <w:adjustRightInd/>
              <w:snapToGrid w:val="0"/>
              <w:spacing w:before="0" w:after="0"/>
              <w:textAlignment w:val="auto"/>
              <w:rPr>
                <w:rFonts w:hint="default"/>
                <w:color w:val="auto"/>
                <w:highlight w:val="none"/>
                <w:lang w:val="en-US" w:eastAsia="zh-CN"/>
              </w:rPr>
            </w:pPr>
            <w:r>
              <w:rPr>
                <w:rFonts w:hint="eastAsia"/>
                <w:color w:val="auto"/>
                <w:highlight w:val="none"/>
                <w:lang w:val="en-US" w:eastAsia="zh-CN"/>
              </w:rPr>
              <w:t>表3.7-5  厂界无组织废气排放标准</w:t>
            </w:r>
          </w:p>
          <w:tbl>
            <w:tblPr>
              <w:tblStyle w:val="18"/>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9"/>
              <w:gridCol w:w="2800"/>
              <w:gridCol w:w="2801"/>
            </w:tblGrid>
            <w:tr w14:paraId="0149C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tcBorders>
                    <w:top w:val="single" w:color="auto" w:sz="12" w:space="0"/>
                    <w:left w:val="nil"/>
                  </w:tcBorders>
                  <w:noWrap w:val="0"/>
                  <w:vAlign w:val="center"/>
                </w:tcPr>
                <w:p w14:paraId="2C9305C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cs="Times New Roman"/>
                      <w:b/>
                      <w:bCs/>
                      <w:color w:val="auto"/>
                      <w:kern w:val="0"/>
                      <w:sz w:val="21"/>
                      <w:szCs w:val="21"/>
                      <w:highlight w:val="none"/>
                      <w:lang w:val="en-US" w:eastAsia="zh-CN" w:bidi="ar-SA"/>
                    </w:rPr>
                  </w:pPr>
                  <w:r>
                    <w:rPr>
                      <w:rFonts w:hint="eastAsia" w:ascii="Times New Roman" w:hAnsi="Times New Roman" w:eastAsia="宋体" w:cs="Times New Roman"/>
                      <w:b/>
                      <w:bCs/>
                      <w:color w:val="auto"/>
                      <w:kern w:val="0"/>
                      <w:sz w:val="21"/>
                      <w:szCs w:val="21"/>
                      <w:highlight w:val="none"/>
                      <w:lang w:val="en-US" w:eastAsia="zh-CN" w:bidi="ar-SA"/>
                    </w:rPr>
                    <w:t>污染物项目</w:t>
                  </w:r>
                </w:p>
              </w:tc>
              <w:tc>
                <w:tcPr>
                  <w:tcW w:w="1666" w:type="pct"/>
                  <w:tcBorders>
                    <w:top w:val="single" w:color="auto" w:sz="12" w:space="0"/>
                  </w:tcBorders>
                  <w:noWrap w:val="0"/>
                  <w:vAlign w:val="center"/>
                </w:tcPr>
                <w:p w14:paraId="62FBC5C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cs="Times New Roman"/>
                      <w:b/>
                      <w:bCs/>
                      <w:color w:val="auto"/>
                      <w:kern w:val="0"/>
                      <w:sz w:val="21"/>
                      <w:szCs w:val="21"/>
                      <w:highlight w:val="none"/>
                      <w:lang w:val="en-US" w:eastAsia="zh-CN" w:bidi="ar-SA"/>
                    </w:rPr>
                  </w:pPr>
                  <w:r>
                    <w:rPr>
                      <w:rFonts w:hint="eastAsia" w:ascii="Times New Roman" w:hAnsi="Times New Roman" w:eastAsia="宋体" w:cs="Times New Roman"/>
                      <w:b/>
                      <w:bCs/>
                      <w:color w:val="auto"/>
                      <w:kern w:val="0"/>
                      <w:sz w:val="21"/>
                      <w:szCs w:val="21"/>
                      <w:highlight w:val="none"/>
                      <w:lang w:val="en-US" w:eastAsia="zh-CN" w:bidi="ar-SA"/>
                    </w:rPr>
                    <w:t>排放浓度限值</w:t>
                  </w:r>
                </w:p>
              </w:tc>
              <w:tc>
                <w:tcPr>
                  <w:tcW w:w="1667" w:type="pct"/>
                  <w:tcBorders>
                    <w:top w:val="single" w:color="auto" w:sz="12" w:space="0"/>
                    <w:right w:val="nil"/>
                  </w:tcBorders>
                  <w:noWrap w:val="0"/>
                  <w:vAlign w:val="center"/>
                </w:tcPr>
                <w:p w14:paraId="29DBCF3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cs="Times New Roman"/>
                      <w:b/>
                      <w:bCs/>
                      <w:color w:val="auto"/>
                      <w:kern w:val="0"/>
                      <w:sz w:val="21"/>
                      <w:szCs w:val="21"/>
                      <w:highlight w:val="none"/>
                      <w:lang w:val="en-US" w:eastAsia="zh-CN" w:bidi="ar-SA"/>
                    </w:rPr>
                  </w:pPr>
                  <w:r>
                    <w:rPr>
                      <w:rFonts w:hint="eastAsia" w:ascii="Times New Roman" w:hAnsi="Times New Roman" w:eastAsia="宋体" w:cs="Times New Roman"/>
                      <w:b/>
                      <w:bCs/>
                      <w:color w:val="auto"/>
                      <w:kern w:val="0"/>
                      <w:sz w:val="21"/>
                      <w:szCs w:val="21"/>
                      <w:highlight w:val="none"/>
                      <w:lang w:val="en-US" w:eastAsia="zh-CN" w:bidi="ar-SA"/>
                    </w:rPr>
                    <w:t>适用范围</w:t>
                  </w:r>
                </w:p>
              </w:tc>
            </w:tr>
            <w:tr w14:paraId="0291E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tcBorders>
                    <w:left w:val="nil"/>
                  </w:tcBorders>
                  <w:noWrap w:val="0"/>
                  <w:vAlign w:val="center"/>
                </w:tcPr>
                <w:p w14:paraId="24315FB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非甲烷总烃</w:t>
                  </w:r>
                </w:p>
              </w:tc>
              <w:tc>
                <w:tcPr>
                  <w:tcW w:w="1666" w:type="pct"/>
                  <w:noWrap w:val="0"/>
                  <w:vAlign w:val="center"/>
                </w:tcPr>
                <w:p w14:paraId="78CAAC8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2.0mg/m</w:t>
                  </w:r>
                  <w:r>
                    <w:rPr>
                      <w:rFonts w:hint="eastAsia" w:ascii="Times New Roman" w:hAnsi="Times New Roman" w:eastAsia="宋体" w:cs="Times New Roman"/>
                      <w:color w:val="auto"/>
                      <w:kern w:val="0"/>
                      <w:sz w:val="21"/>
                      <w:szCs w:val="21"/>
                      <w:highlight w:val="none"/>
                      <w:vertAlign w:val="superscript"/>
                      <w:lang w:val="en-US" w:eastAsia="zh-CN" w:bidi="ar-SA"/>
                    </w:rPr>
                    <w:t>3</w:t>
                  </w:r>
                </w:p>
              </w:tc>
              <w:tc>
                <w:tcPr>
                  <w:tcW w:w="1667" w:type="pct"/>
                  <w:tcBorders>
                    <w:right w:val="nil"/>
                  </w:tcBorders>
                  <w:noWrap w:val="0"/>
                  <w:vAlign w:val="center"/>
                </w:tcPr>
                <w:p w14:paraId="07103D8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所有行业</w:t>
                  </w:r>
                </w:p>
              </w:tc>
            </w:tr>
            <w:tr w14:paraId="77726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tcBorders>
                    <w:left w:val="nil"/>
                  </w:tcBorders>
                  <w:noWrap w:val="0"/>
                  <w:vAlign w:val="center"/>
                </w:tcPr>
                <w:p w14:paraId="124F352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颗粒物</w:t>
                  </w:r>
                </w:p>
              </w:tc>
              <w:tc>
                <w:tcPr>
                  <w:tcW w:w="1666" w:type="pct"/>
                  <w:noWrap w:val="0"/>
                  <w:vAlign w:val="center"/>
                </w:tcPr>
                <w:p w14:paraId="397889F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1.0mg/m</w:t>
                  </w:r>
                  <w:r>
                    <w:rPr>
                      <w:rFonts w:hint="eastAsia" w:ascii="Times New Roman" w:hAnsi="Times New Roman" w:eastAsia="宋体" w:cs="Times New Roman"/>
                      <w:color w:val="auto"/>
                      <w:kern w:val="0"/>
                      <w:sz w:val="21"/>
                      <w:szCs w:val="21"/>
                      <w:highlight w:val="none"/>
                      <w:vertAlign w:val="superscript"/>
                      <w:lang w:val="en-US" w:eastAsia="zh-CN" w:bidi="ar-SA"/>
                    </w:rPr>
                    <w:t>3</w:t>
                  </w:r>
                </w:p>
              </w:tc>
              <w:tc>
                <w:tcPr>
                  <w:tcW w:w="1667" w:type="pct"/>
                  <w:tcBorders>
                    <w:right w:val="nil"/>
                  </w:tcBorders>
                  <w:noWrap w:val="0"/>
                  <w:vAlign w:val="center"/>
                </w:tcPr>
                <w:p w14:paraId="0DE5071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其他</w:t>
                  </w:r>
                </w:p>
              </w:tc>
            </w:tr>
            <w:tr w14:paraId="3643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tcBorders>
                    <w:left w:val="nil"/>
                  </w:tcBorders>
                  <w:noWrap w:val="0"/>
                  <w:vAlign w:val="center"/>
                </w:tcPr>
                <w:p w14:paraId="407375E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硝酸雾（以氮氧化物计）</w:t>
                  </w:r>
                </w:p>
              </w:tc>
              <w:tc>
                <w:tcPr>
                  <w:tcW w:w="1666" w:type="pct"/>
                  <w:noWrap w:val="0"/>
                  <w:vAlign w:val="center"/>
                </w:tcPr>
                <w:p w14:paraId="69C6C42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0.12mg/m</w:t>
                  </w:r>
                  <w:r>
                    <w:rPr>
                      <w:rFonts w:hint="eastAsia" w:ascii="Times New Roman" w:hAnsi="Times New Roman" w:eastAsia="宋体" w:cs="Times New Roman"/>
                      <w:color w:val="auto"/>
                      <w:kern w:val="0"/>
                      <w:sz w:val="21"/>
                      <w:szCs w:val="21"/>
                      <w:highlight w:val="none"/>
                      <w:vertAlign w:val="superscript"/>
                      <w:lang w:val="en-US" w:eastAsia="zh-CN" w:bidi="ar-SA"/>
                    </w:rPr>
                    <w:t>3</w:t>
                  </w:r>
                </w:p>
              </w:tc>
              <w:tc>
                <w:tcPr>
                  <w:tcW w:w="1667" w:type="pct"/>
                  <w:tcBorders>
                    <w:right w:val="nil"/>
                  </w:tcBorders>
                  <w:noWrap w:val="0"/>
                  <w:vAlign w:val="center"/>
                </w:tcPr>
                <w:p w14:paraId="4F1AED8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硝酸使用和</w:t>
                  </w:r>
                  <w:r>
                    <w:rPr>
                      <w:rFonts w:hint="eastAsia" w:cs="Times New Roman"/>
                      <w:color w:val="auto"/>
                      <w:kern w:val="0"/>
                      <w:sz w:val="21"/>
                      <w:szCs w:val="21"/>
                      <w:highlight w:val="none"/>
                      <w:lang w:val="en-US" w:eastAsia="zh-CN" w:bidi="ar-SA"/>
                    </w:rPr>
                    <w:t>其他</w:t>
                  </w:r>
                </w:p>
              </w:tc>
            </w:tr>
            <w:tr w14:paraId="3311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tcBorders>
                    <w:left w:val="nil"/>
                  </w:tcBorders>
                  <w:noWrap w:val="0"/>
                  <w:vAlign w:val="center"/>
                </w:tcPr>
                <w:p w14:paraId="6166DB3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氨</w:t>
                  </w:r>
                </w:p>
              </w:tc>
              <w:tc>
                <w:tcPr>
                  <w:tcW w:w="1666" w:type="pct"/>
                  <w:noWrap w:val="0"/>
                  <w:vAlign w:val="center"/>
                </w:tcPr>
                <w:p w14:paraId="781E4AD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1.5mg/m</w:t>
                  </w:r>
                  <w:r>
                    <w:rPr>
                      <w:rFonts w:hint="eastAsia" w:ascii="Times New Roman" w:hAnsi="Times New Roman" w:eastAsia="宋体" w:cs="Times New Roman"/>
                      <w:color w:val="auto"/>
                      <w:kern w:val="0"/>
                      <w:sz w:val="21"/>
                      <w:szCs w:val="21"/>
                      <w:highlight w:val="none"/>
                      <w:vertAlign w:val="superscript"/>
                      <w:lang w:val="en-US" w:eastAsia="zh-CN" w:bidi="ar-SA"/>
                    </w:rPr>
                    <w:t>3</w:t>
                  </w:r>
                </w:p>
              </w:tc>
              <w:tc>
                <w:tcPr>
                  <w:tcW w:w="1667" w:type="pct"/>
                  <w:vMerge w:val="restart"/>
                  <w:tcBorders>
                    <w:right w:val="nil"/>
                  </w:tcBorders>
                  <w:noWrap w:val="0"/>
                  <w:vAlign w:val="center"/>
                </w:tcPr>
                <w:p w14:paraId="67375D2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新扩建企业</w:t>
                  </w:r>
                </w:p>
              </w:tc>
            </w:tr>
            <w:tr w14:paraId="2D240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tcBorders>
                    <w:left w:val="nil"/>
                    <w:bottom w:val="single" w:color="auto" w:sz="12" w:space="0"/>
                  </w:tcBorders>
                  <w:noWrap w:val="0"/>
                  <w:vAlign w:val="center"/>
                </w:tcPr>
                <w:p w14:paraId="25A6BAF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臭气浓度</w:t>
                  </w:r>
                </w:p>
              </w:tc>
              <w:tc>
                <w:tcPr>
                  <w:tcW w:w="1666" w:type="pct"/>
                  <w:tcBorders>
                    <w:bottom w:val="single" w:color="auto" w:sz="12" w:space="0"/>
                  </w:tcBorders>
                  <w:noWrap w:val="0"/>
                  <w:vAlign w:val="center"/>
                </w:tcPr>
                <w:p w14:paraId="0B2D6CE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20（无量纲）</w:t>
                  </w:r>
                </w:p>
              </w:tc>
              <w:tc>
                <w:tcPr>
                  <w:tcW w:w="1667" w:type="pct"/>
                  <w:vMerge w:val="continue"/>
                  <w:tcBorders>
                    <w:bottom w:val="single" w:color="auto" w:sz="12" w:space="0"/>
                    <w:right w:val="nil"/>
                  </w:tcBorders>
                  <w:noWrap w:val="0"/>
                  <w:vAlign w:val="center"/>
                </w:tcPr>
                <w:p w14:paraId="785CCE2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cs="Times New Roman"/>
                      <w:color w:val="auto"/>
                      <w:kern w:val="0"/>
                      <w:sz w:val="21"/>
                      <w:szCs w:val="21"/>
                      <w:highlight w:val="none"/>
                      <w:lang w:val="en-US" w:eastAsia="zh-CN" w:bidi="ar-SA"/>
                    </w:rPr>
                  </w:pPr>
                </w:p>
              </w:tc>
            </w:tr>
          </w:tbl>
          <w:p w14:paraId="2CA6FF93">
            <w:pPr>
              <w:widowControl w:val="0"/>
              <w:bidi w:val="0"/>
              <w:spacing w:line="360" w:lineRule="auto"/>
              <w:ind w:firstLine="480" w:firstLineChars="200"/>
              <w:jc w:val="both"/>
              <w:rPr>
                <w:rFonts w:hint="default" w:ascii="Times New Roman" w:hAnsi="Times New Roman" w:eastAsia="宋体" w:cs="宋体"/>
                <w:color w:val="auto"/>
                <w:kern w:val="2"/>
                <w:sz w:val="24"/>
                <w:szCs w:val="24"/>
                <w:highlight w:val="none"/>
                <w:lang w:val="en-US" w:eastAsia="zh-CN" w:bidi="ar-SA"/>
              </w:rPr>
            </w:pPr>
            <w:r>
              <w:rPr>
                <w:rFonts w:hint="eastAsia" w:cs="Times New Roman"/>
                <w:b w:val="0"/>
                <w:bCs w:val="0"/>
                <w:color w:val="auto"/>
                <w:kern w:val="0"/>
                <w:sz w:val="24"/>
                <w:szCs w:val="24"/>
                <w:highlight w:val="none"/>
                <w:lang w:val="en-US" w:eastAsia="zh-CN" w:bidi="ar-SA"/>
              </w:rPr>
              <w:t>本项目</w:t>
            </w:r>
            <w:r>
              <w:rPr>
                <w:rFonts w:hint="eastAsia" w:cs="宋体"/>
                <w:color w:val="auto"/>
                <w:kern w:val="2"/>
                <w:sz w:val="24"/>
                <w:szCs w:val="24"/>
                <w:highlight w:val="none"/>
                <w:lang w:val="en-US" w:eastAsia="zh-CN" w:bidi="ar-SA"/>
              </w:rPr>
              <w:t>VOCs、乙醇、乙醚、丙酮（以非甲烷总烃计）</w:t>
            </w:r>
            <w:r>
              <w:rPr>
                <w:rFonts w:hint="eastAsia" w:ascii="Times New Roman" w:hAnsi="Times New Roman" w:eastAsia="宋体" w:cs="宋体"/>
                <w:color w:val="auto"/>
                <w:kern w:val="2"/>
                <w:sz w:val="24"/>
                <w:szCs w:val="24"/>
                <w:highlight w:val="none"/>
                <w:lang w:val="en-US" w:eastAsia="zh-CN" w:bidi="ar-SA"/>
              </w:rPr>
              <w:t>厂区内无组织排放执行《挥发性有机物无组织排放控制标准》（GB37822-2019）中附录A表A.1无组织排放限值以及《工业企业挥发性有机物排放标准》（DB35/1782-2018）表2中厂区内监控点浓度限值</w:t>
            </w:r>
            <w:r>
              <w:rPr>
                <w:rFonts w:hint="eastAsia" w:cs="宋体"/>
                <w:color w:val="auto"/>
                <w:kern w:val="2"/>
                <w:sz w:val="24"/>
                <w:szCs w:val="24"/>
                <w:highlight w:val="none"/>
                <w:lang w:val="en-US" w:eastAsia="zh-CN" w:bidi="ar-SA"/>
              </w:rPr>
              <w:t>，具体详见表3.7-6。</w:t>
            </w:r>
          </w:p>
          <w:p w14:paraId="3B84B498">
            <w:pPr>
              <w:pStyle w:val="48"/>
              <w:keepNext w:val="0"/>
              <w:keepLines w:val="0"/>
              <w:pageBreakBefore w:val="0"/>
              <w:widowControl w:val="0"/>
              <w:kinsoku/>
              <w:wordWrap/>
              <w:overflowPunct/>
              <w:topLinePunct w:val="0"/>
              <w:autoSpaceDE/>
              <w:autoSpaceDN/>
              <w:bidi w:val="0"/>
              <w:adjustRightInd/>
              <w:snapToGrid w:val="0"/>
              <w:spacing w:before="0" w:after="0"/>
              <w:textAlignment w:val="auto"/>
              <w:rPr>
                <w:rFonts w:hint="default"/>
                <w:color w:val="auto"/>
                <w:highlight w:val="none"/>
                <w:lang w:val="en-US" w:eastAsia="zh-CN"/>
              </w:rPr>
            </w:pPr>
            <w:r>
              <w:rPr>
                <w:rFonts w:hint="eastAsia"/>
                <w:color w:val="auto"/>
                <w:highlight w:val="none"/>
                <w:lang w:val="en-US" w:eastAsia="zh-CN"/>
              </w:rPr>
              <w:t>表3.7-6  厂区内无组织废气排放标准（单位：mg/m</w:t>
            </w:r>
            <w:r>
              <w:rPr>
                <w:rFonts w:hint="eastAsia"/>
                <w:color w:val="auto"/>
                <w:highlight w:val="none"/>
                <w:vertAlign w:val="superscript"/>
                <w:lang w:val="en-US" w:eastAsia="zh-CN"/>
              </w:rPr>
              <w:t>3</w:t>
            </w:r>
            <w:r>
              <w:rPr>
                <w:rFonts w:hint="eastAsia"/>
                <w:color w:val="auto"/>
                <w:highlight w:val="none"/>
                <w:lang w:val="en-US" w:eastAsia="zh-CN"/>
              </w:rPr>
              <w:t>）</w:t>
            </w:r>
          </w:p>
          <w:tbl>
            <w:tblPr>
              <w:tblStyle w:val="18"/>
              <w:tblW w:w="497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8"/>
              <w:gridCol w:w="1375"/>
              <w:gridCol w:w="2303"/>
              <w:gridCol w:w="3197"/>
            </w:tblGrid>
            <w:tr w14:paraId="0E897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895" w:type="pct"/>
                  <w:tcBorders>
                    <w:top w:val="single" w:color="auto" w:sz="12" w:space="0"/>
                    <w:left w:val="nil"/>
                  </w:tcBorders>
                  <w:noWrap w:val="0"/>
                  <w:vAlign w:val="center"/>
                </w:tcPr>
                <w:p w14:paraId="7A4E39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kern w:val="0"/>
                      <w:sz w:val="21"/>
                      <w:szCs w:val="20"/>
                      <w:highlight w:val="none"/>
                      <w:lang w:val="en-US" w:eastAsia="zh-CN" w:bidi="ar-SA"/>
                    </w:rPr>
                  </w:pPr>
                  <w:r>
                    <w:rPr>
                      <w:rFonts w:hint="eastAsia" w:ascii="Times New Roman" w:hAnsi="Times New Roman" w:eastAsia="宋体" w:cs="Times New Roman"/>
                      <w:b/>
                      <w:bCs/>
                      <w:color w:val="auto"/>
                      <w:kern w:val="0"/>
                      <w:sz w:val="21"/>
                      <w:szCs w:val="20"/>
                      <w:highlight w:val="none"/>
                      <w:lang w:val="en-US" w:eastAsia="zh-CN" w:bidi="ar-SA"/>
                    </w:rPr>
                    <w:t>污染物项目</w:t>
                  </w:r>
                </w:p>
              </w:tc>
              <w:tc>
                <w:tcPr>
                  <w:tcW w:w="821" w:type="pct"/>
                  <w:tcBorders>
                    <w:top w:val="single" w:color="auto" w:sz="12" w:space="0"/>
                  </w:tcBorders>
                  <w:noWrap w:val="0"/>
                  <w:vAlign w:val="center"/>
                </w:tcPr>
                <w:p w14:paraId="790A55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kern w:val="0"/>
                      <w:sz w:val="21"/>
                      <w:szCs w:val="20"/>
                      <w:highlight w:val="none"/>
                      <w:lang w:val="en-US" w:eastAsia="zh-CN" w:bidi="ar-SA"/>
                    </w:rPr>
                  </w:pPr>
                  <w:r>
                    <w:rPr>
                      <w:rFonts w:hint="eastAsia" w:ascii="Times New Roman" w:hAnsi="Times New Roman" w:eastAsia="宋体" w:cs="Times New Roman"/>
                      <w:b/>
                      <w:bCs/>
                      <w:color w:val="auto"/>
                      <w:kern w:val="0"/>
                      <w:sz w:val="21"/>
                      <w:szCs w:val="20"/>
                      <w:highlight w:val="none"/>
                      <w:lang w:val="en-US" w:eastAsia="zh-CN" w:bidi="ar-SA"/>
                    </w:rPr>
                    <w:t>排放限值</w:t>
                  </w:r>
                </w:p>
              </w:tc>
              <w:tc>
                <w:tcPr>
                  <w:tcW w:w="1375" w:type="pct"/>
                  <w:tcBorders>
                    <w:top w:val="single" w:color="auto" w:sz="12" w:space="0"/>
                  </w:tcBorders>
                  <w:noWrap w:val="0"/>
                  <w:vAlign w:val="center"/>
                </w:tcPr>
                <w:p w14:paraId="3057FA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kern w:val="0"/>
                      <w:sz w:val="21"/>
                      <w:szCs w:val="20"/>
                      <w:highlight w:val="none"/>
                      <w:lang w:val="en-US" w:eastAsia="zh-CN" w:bidi="ar-SA"/>
                    </w:rPr>
                  </w:pPr>
                  <w:r>
                    <w:rPr>
                      <w:rFonts w:hint="eastAsia" w:ascii="Times New Roman" w:hAnsi="Times New Roman" w:eastAsia="宋体" w:cs="Times New Roman"/>
                      <w:b/>
                      <w:bCs/>
                      <w:color w:val="auto"/>
                      <w:kern w:val="0"/>
                      <w:sz w:val="21"/>
                      <w:szCs w:val="20"/>
                      <w:highlight w:val="none"/>
                      <w:lang w:val="en-US" w:eastAsia="zh-CN" w:bidi="ar-SA"/>
                    </w:rPr>
                    <w:t>限值含义</w:t>
                  </w:r>
                </w:p>
              </w:tc>
              <w:tc>
                <w:tcPr>
                  <w:tcW w:w="1907" w:type="pct"/>
                  <w:tcBorders>
                    <w:top w:val="single" w:color="auto" w:sz="12" w:space="0"/>
                    <w:right w:val="nil"/>
                  </w:tcBorders>
                  <w:noWrap w:val="0"/>
                  <w:vAlign w:val="center"/>
                </w:tcPr>
                <w:p w14:paraId="71B0C8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kern w:val="0"/>
                      <w:sz w:val="21"/>
                      <w:szCs w:val="20"/>
                      <w:highlight w:val="none"/>
                      <w:lang w:val="en-US" w:eastAsia="zh-CN" w:bidi="ar-SA"/>
                    </w:rPr>
                  </w:pPr>
                  <w:r>
                    <w:rPr>
                      <w:rFonts w:hint="eastAsia" w:ascii="Times New Roman" w:hAnsi="Times New Roman" w:eastAsia="宋体" w:cs="Times New Roman"/>
                      <w:b/>
                      <w:bCs/>
                      <w:color w:val="auto"/>
                      <w:kern w:val="0"/>
                      <w:sz w:val="21"/>
                      <w:szCs w:val="20"/>
                      <w:highlight w:val="none"/>
                      <w:lang w:val="en-US" w:eastAsia="zh-CN" w:bidi="ar-SA"/>
                    </w:rPr>
                    <w:t>无组织排放监控位置</w:t>
                  </w:r>
                </w:p>
              </w:tc>
            </w:tr>
            <w:tr w14:paraId="2D18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895" w:type="pct"/>
                  <w:tcBorders>
                    <w:left w:val="nil"/>
                  </w:tcBorders>
                  <w:noWrap w:val="0"/>
                  <w:vAlign w:val="center"/>
                </w:tcPr>
                <w:p w14:paraId="24B035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NMHC</w:t>
                  </w:r>
                </w:p>
              </w:tc>
              <w:tc>
                <w:tcPr>
                  <w:tcW w:w="821" w:type="pct"/>
                  <w:noWrap w:val="0"/>
                  <w:vAlign w:val="center"/>
                </w:tcPr>
                <w:p w14:paraId="5D42AB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30</w:t>
                  </w:r>
                </w:p>
              </w:tc>
              <w:tc>
                <w:tcPr>
                  <w:tcW w:w="1375" w:type="pct"/>
                  <w:noWrap w:val="0"/>
                  <w:vAlign w:val="center"/>
                </w:tcPr>
                <w:p w14:paraId="1F5BEA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监控点处任意一次浓度值</w:t>
                  </w:r>
                </w:p>
              </w:tc>
              <w:tc>
                <w:tcPr>
                  <w:tcW w:w="1907" w:type="pct"/>
                  <w:tcBorders>
                    <w:right w:val="nil"/>
                  </w:tcBorders>
                  <w:noWrap w:val="0"/>
                  <w:vAlign w:val="center"/>
                </w:tcPr>
                <w:p w14:paraId="25BC06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在厂房外设置监控点</w:t>
                  </w:r>
                </w:p>
              </w:tc>
            </w:tr>
            <w:tr w14:paraId="3D80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95" w:type="pct"/>
                  <w:tcBorders>
                    <w:left w:val="nil"/>
                  </w:tcBorders>
                  <w:noWrap w:val="0"/>
                  <w:vAlign w:val="center"/>
                </w:tcPr>
                <w:p w14:paraId="0FA0AA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非甲烷总烃</w:t>
                  </w:r>
                </w:p>
              </w:tc>
              <w:tc>
                <w:tcPr>
                  <w:tcW w:w="821" w:type="pct"/>
                  <w:noWrap w:val="0"/>
                  <w:vAlign w:val="center"/>
                </w:tcPr>
                <w:p w14:paraId="5DDD92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8.0</w:t>
                  </w:r>
                </w:p>
              </w:tc>
              <w:tc>
                <w:tcPr>
                  <w:tcW w:w="1375" w:type="pct"/>
                  <w:noWrap w:val="0"/>
                  <w:vAlign w:val="center"/>
                </w:tcPr>
                <w:p w14:paraId="3B075C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w:t>
                  </w:r>
                </w:p>
              </w:tc>
              <w:tc>
                <w:tcPr>
                  <w:tcW w:w="1907" w:type="pct"/>
                  <w:tcBorders>
                    <w:right w:val="nil"/>
                  </w:tcBorders>
                  <w:noWrap w:val="0"/>
                  <w:vAlign w:val="center"/>
                </w:tcPr>
                <w:p w14:paraId="0B7FB3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为判别厂界内车间或生产装置外、储罐区域外大气污染物是否超过标准而设立的监测点</w:t>
                  </w:r>
                </w:p>
              </w:tc>
            </w:tr>
            <w:tr w14:paraId="4072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5000" w:type="pct"/>
                  <w:gridSpan w:val="4"/>
                  <w:tcBorders>
                    <w:left w:val="nil"/>
                    <w:bottom w:val="single" w:color="auto" w:sz="12" w:space="0"/>
                    <w:right w:val="nil"/>
                  </w:tcBorders>
                  <w:noWrap w:val="0"/>
                  <w:vAlign w:val="center"/>
                </w:tcPr>
                <w:p w14:paraId="51617E82">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18"/>
                      <w:szCs w:val="18"/>
                      <w:highlight w:val="none"/>
                      <w:lang w:val="en-US" w:eastAsia="zh-CN" w:bidi="ar-SA"/>
                    </w:rPr>
                    <w:t>注：本项目</w:t>
                  </w:r>
                  <w:r>
                    <w:rPr>
                      <w:rFonts w:ascii="Times New Roman" w:hAnsi="Times New Roman" w:eastAsia="宋体" w:cs="Segoe UI Emoji"/>
                      <w:i w:val="0"/>
                      <w:iCs w:val="0"/>
                      <w:caps w:val="0"/>
                      <w:color w:val="auto"/>
                      <w:spacing w:val="0"/>
                      <w:sz w:val="18"/>
                      <w:szCs w:val="18"/>
                    </w:rPr>
                    <w:t>无玻璃熔炼工序，无玻璃熔制、仅机械加工，不属于</w:t>
                  </w:r>
                  <w:r>
                    <w:rPr>
                      <w:rFonts w:hint="eastAsia" w:ascii="Times New Roman" w:hAnsi="Times New Roman" w:eastAsia="宋体" w:cs="Segoe UI Emoji"/>
                      <w:i w:val="0"/>
                      <w:iCs w:val="0"/>
                      <w:caps w:val="0"/>
                      <w:color w:val="auto"/>
                      <w:spacing w:val="0"/>
                      <w:sz w:val="18"/>
                      <w:szCs w:val="18"/>
                      <w:lang w:eastAsia="zh-CN"/>
                    </w:rPr>
                    <w:t>（</w:t>
                  </w:r>
                  <w:r>
                    <w:rPr>
                      <w:rFonts w:ascii="Times New Roman" w:hAnsi="Times New Roman" w:eastAsia="宋体" w:cs="Segoe UI Emoji"/>
                      <w:i w:val="0"/>
                      <w:iCs w:val="0"/>
                      <w:caps w:val="0"/>
                      <w:color w:val="auto"/>
                      <w:spacing w:val="0"/>
                      <w:sz w:val="18"/>
                      <w:szCs w:val="18"/>
                    </w:rPr>
                    <w:t>GB</w:t>
                  </w:r>
                  <w:r>
                    <w:rPr>
                      <w:rFonts w:hint="eastAsia" w:ascii="Times New Roman" w:hAnsi="Times New Roman" w:eastAsia="宋体" w:cs="Segoe UI Emoji"/>
                      <w:i w:val="0"/>
                      <w:iCs w:val="0"/>
                      <w:caps w:val="0"/>
                      <w:color w:val="auto"/>
                      <w:spacing w:val="0"/>
                      <w:sz w:val="18"/>
                      <w:szCs w:val="18"/>
                      <w:lang w:val="en-US" w:eastAsia="zh-CN"/>
                    </w:rPr>
                    <w:t xml:space="preserve"> </w:t>
                  </w:r>
                  <w:r>
                    <w:rPr>
                      <w:rFonts w:ascii="Times New Roman" w:hAnsi="Times New Roman" w:eastAsia="宋体" w:cs="Segoe UI Emoji"/>
                      <w:i w:val="0"/>
                      <w:iCs w:val="0"/>
                      <w:caps w:val="0"/>
                      <w:color w:val="auto"/>
                      <w:spacing w:val="0"/>
                      <w:sz w:val="18"/>
                      <w:szCs w:val="18"/>
                    </w:rPr>
                    <w:t>26453</w:t>
                  </w:r>
                  <w:r>
                    <w:rPr>
                      <w:rFonts w:hint="eastAsia" w:ascii="Times New Roman" w:hAnsi="Times New Roman" w:eastAsia="宋体" w:cs="Segoe UI Emoji"/>
                      <w:i w:val="0"/>
                      <w:iCs w:val="0"/>
                      <w:caps w:val="0"/>
                      <w:color w:val="auto"/>
                      <w:spacing w:val="0"/>
                      <w:sz w:val="18"/>
                      <w:szCs w:val="18"/>
                      <w:lang w:val="en-US" w:eastAsia="zh-CN"/>
                    </w:rPr>
                    <w:t>-2022</w:t>
                  </w:r>
                  <w:r>
                    <w:rPr>
                      <w:rFonts w:hint="eastAsia" w:ascii="Times New Roman" w:hAnsi="Times New Roman" w:eastAsia="宋体" w:cs="Segoe UI Emoji"/>
                      <w:i w:val="0"/>
                      <w:iCs w:val="0"/>
                      <w:caps w:val="0"/>
                      <w:color w:val="auto"/>
                      <w:spacing w:val="0"/>
                      <w:sz w:val="18"/>
                      <w:szCs w:val="18"/>
                      <w:lang w:eastAsia="zh-CN"/>
                    </w:rPr>
                    <w:t>）</w:t>
                  </w:r>
                  <w:r>
                    <w:rPr>
                      <w:rFonts w:ascii="Times New Roman" w:hAnsi="Times New Roman" w:eastAsia="宋体" w:cs="Segoe UI Emoji"/>
                      <w:i w:val="0"/>
                      <w:iCs w:val="0"/>
                      <w:caps w:val="0"/>
                      <w:color w:val="auto"/>
                      <w:spacing w:val="0"/>
                      <w:sz w:val="18"/>
                      <w:szCs w:val="18"/>
                    </w:rPr>
                    <w:t>管控范畴，暂无国标专项厂区内颗粒物限值，环评/验收参照管控：车间岗位颗粒物参考（GB 16297-1996）管理，无强制数值，以密闭收集为主</w:t>
                  </w:r>
                  <w:r>
                    <w:rPr>
                      <w:rFonts w:hint="eastAsia" w:ascii="Times New Roman" w:hAnsi="Times New Roman" w:eastAsia="宋体" w:cs="Segoe UI Emoji"/>
                      <w:i w:val="0"/>
                      <w:iCs w:val="0"/>
                      <w:caps w:val="0"/>
                      <w:color w:val="auto"/>
                      <w:spacing w:val="0"/>
                      <w:sz w:val="18"/>
                      <w:szCs w:val="18"/>
                      <w:lang w:eastAsia="zh-CN"/>
                    </w:rPr>
                    <w:t>。</w:t>
                  </w:r>
                </w:p>
              </w:tc>
            </w:tr>
          </w:tbl>
          <w:p w14:paraId="1ADBD6FF">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53" w:name="_Toc3765"/>
            <w:r>
              <w:rPr>
                <w:rFonts w:hint="eastAsia" w:ascii="Times New Roman" w:hAnsi="Times New Roman" w:eastAsia="宋体" w:cs="Times New Roman"/>
                <w:b/>
                <w:color w:val="auto"/>
                <w:kern w:val="2"/>
                <w:sz w:val="24"/>
                <w:szCs w:val="24"/>
                <w:lang w:val="en-US" w:eastAsia="zh-CN" w:bidi="ar-SA"/>
              </w:rPr>
              <w:t>3.7.3噪声排放标准</w:t>
            </w:r>
            <w:bookmarkEnd w:id="53"/>
          </w:p>
          <w:p w14:paraId="0BAF30DB">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宋体"/>
                <w:color w:val="auto"/>
                <w:kern w:val="2"/>
                <w:sz w:val="24"/>
                <w:szCs w:val="24"/>
                <w:lang w:val="en-US" w:eastAsia="zh-CN" w:bidi="ar-SA"/>
              </w:rPr>
            </w:pPr>
            <w:r>
              <w:rPr>
                <w:rFonts w:ascii="Times New Roman" w:hAnsi="Times New Roman" w:eastAsia="宋体" w:cs="宋体"/>
                <w:color w:val="auto"/>
                <w:kern w:val="2"/>
                <w:sz w:val="24"/>
                <w:szCs w:val="24"/>
                <w:lang w:val="en-US" w:eastAsia="zh-CN" w:bidi="ar-SA"/>
              </w:rPr>
              <w:t>项目运营期厂界噪声执行《工业企业厂界环境噪声排放标准》</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GB12348-2008</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中</w:t>
            </w:r>
            <w:r>
              <w:rPr>
                <w:rFonts w:hint="eastAsia" w:ascii="Times New Roman" w:hAnsi="Times New Roman" w:eastAsia="宋体" w:cs="宋体"/>
                <w:color w:val="auto"/>
                <w:kern w:val="2"/>
                <w:sz w:val="24"/>
                <w:szCs w:val="24"/>
                <w:lang w:val="en-US" w:eastAsia="zh-CN" w:bidi="ar-SA"/>
              </w:rPr>
              <w:t>3</w:t>
            </w:r>
            <w:r>
              <w:rPr>
                <w:rFonts w:ascii="Times New Roman" w:hAnsi="Times New Roman" w:eastAsia="宋体" w:cs="宋体"/>
                <w:color w:val="auto"/>
                <w:kern w:val="2"/>
                <w:sz w:val="24"/>
                <w:szCs w:val="24"/>
                <w:lang w:val="en-US" w:eastAsia="zh-CN" w:bidi="ar-SA"/>
              </w:rPr>
              <w:t>类标准，具体详见表3.7-</w:t>
            </w:r>
            <w:r>
              <w:rPr>
                <w:rFonts w:hint="eastAsia" w:cs="宋体"/>
                <w:color w:val="auto"/>
                <w:kern w:val="2"/>
                <w:sz w:val="24"/>
                <w:szCs w:val="24"/>
                <w:lang w:val="en-US" w:eastAsia="zh-CN" w:bidi="ar-SA"/>
              </w:rPr>
              <w:t>7</w:t>
            </w:r>
            <w:r>
              <w:rPr>
                <w:rFonts w:ascii="Times New Roman" w:hAnsi="Times New Roman" w:eastAsia="宋体" w:cs="宋体"/>
                <w:color w:val="auto"/>
                <w:kern w:val="2"/>
                <w:sz w:val="24"/>
                <w:szCs w:val="24"/>
                <w:lang w:val="en-US" w:eastAsia="zh-CN" w:bidi="ar-SA"/>
              </w:rPr>
              <w:t>。</w:t>
            </w:r>
          </w:p>
          <w:p w14:paraId="6B756DC5">
            <w:pPr>
              <w:widowControl w:val="0"/>
              <w:bidi w:val="0"/>
              <w:adjustRightInd w:val="0"/>
              <w:snapToGrid w:val="0"/>
              <w:spacing w:before="10" w:beforeLines="10" w:after="10" w:afterLines="10"/>
              <w:jc w:val="center"/>
              <w:rPr>
                <w:rFonts w:hint="eastAsia" w:ascii="Times New Roman" w:hAnsi="Times New Roman" w:eastAsia="宋体" w:cs="Times New Roman"/>
                <w:b/>
                <w:color w:val="auto"/>
                <w:kern w:val="0"/>
                <w:sz w:val="24"/>
                <w:szCs w:val="20"/>
                <w:lang w:val="en-US" w:eastAsia="zh-CN" w:bidi="ar-SA"/>
              </w:rPr>
            </w:pPr>
            <w:r>
              <w:rPr>
                <w:rFonts w:ascii="Times New Roman" w:hAnsi="Times New Roman" w:eastAsia="宋体" w:cs="Times New Roman"/>
                <w:b/>
                <w:color w:val="auto"/>
                <w:kern w:val="0"/>
                <w:sz w:val="24"/>
                <w:szCs w:val="20"/>
                <w:lang w:val="en-US" w:eastAsia="zh-CN" w:bidi="ar-SA"/>
              </w:rPr>
              <w:t>表3.7-</w:t>
            </w:r>
            <w:r>
              <w:rPr>
                <w:rFonts w:hint="eastAsia" w:cs="Times New Roman"/>
                <w:b/>
                <w:color w:val="auto"/>
                <w:kern w:val="0"/>
                <w:sz w:val="24"/>
                <w:szCs w:val="20"/>
                <w:lang w:val="en-US" w:eastAsia="zh-CN" w:bidi="ar-SA"/>
              </w:rPr>
              <w:t>7</w:t>
            </w:r>
            <w:r>
              <w:rPr>
                <w:rFonts w:ascii="Times New Roman" w:hAnsi="Times New Roman" w:eastAsia="宋体" w:cs="Times New Roman"/>
                <w:b/>
                <w:color w:val="auto"/>
                <w:kern w:val="0"/>
                <w:sz w:val="24"/>
                <w:szCs w:val="20"/>
                <w:lang w:val="en-US" w:eastAsia="zh-CN" w:bidi="ar-SA"/>
              </w:rPr>
              <w:t xml:space="preserve"> </w:t>
            </w:r>
            <w:r>
              <w:rPr>
                <w:rFonts w:hint="eastAsia" w:cs="Times New Roman"/>
                <w:b/>
                <w:color w:val="auto"/>
                <w:kern w:val="0"/>
                <w:sz w:val="24"/>
                <w:szCs w:val="20"/>
                <w:lang w:val="en-US" w:eastAsia="zh-CN" w:bidi="ar-SA"/>
              </w:rPr>
              <w:t xml:space="preserve"> </w:t>
            </w:r>
            <w:r>
              <w:rPr>
                <w:rFonts w:ascii="Times New Roman" w:hAnsi="Times New Roman" w:eastAsia="宋体" w:cs="Times New Roman"/>
                <w:b/>
                <w:color w:val="auto"/>
                <w:kern w:val="0"/>
                <w:sz w:val="24"/>
                <w:szCs w:val="20"/>
                <w:lang w:val="en-US" w:eastAsia="zh-CN" w:bidi="ar-SA"/>
              </w:rPr>
              <w:t>《工业企业厂界环境噪声排放标准》</w:t>
            </w:r>
            <w:r>
              <w:rPr>
                <w:rFonts w:hint="eastAsia" w:ascii="Times New Roman" w:hAnsi="Times New Roman" w:eastAsia="宋体" w:cs="Times New Roman"/>
                <w:b/>
                <w:color w:val="auto"/>
                <w:kern w:val="0"/>
                <w:sz w:val="24"/>
                <w:szCs w:val="20"/>
                <w:lang w:val="en-US" w:eastAsia="zh-CN" w:bidi="ar-SA"/>
              </w:rPr>
              <w:t>（</w:t>
            </w:r>
            <w:r>
              <w:rPr>
                <w:rFonts w:ascii="Times New Roman" w:hAnsi="Times New Roman" w:eastAsia="宋体" w:cs="Times New Roman"/>
                <w:b/>
                <w:color w:val="auto"/>
                <w:kern w:val="0"/>
                <w:sz w:val="24"/>
                <w:szCs w:val="20"/>
                <w:lang w:val="en-US" w:eastAsia="zh-CN" w:bidi="ar-SA"/>
              </w:rPr>
              <w:t>GB12348-2008</w:t>
            </w:r>
            <w:r>
              <w:rPr>
                <w:rFonts w:hint="eastAsia" w:ascii="Times New Roman" w:hAnsi="Times New Roman" w:eastAsia="宋体" w:cs="Times New Roman"/>
                <w:b/>
                <w:color w:val="auto"/>
                <w:kern w:val="0"/>
                <w:sz w:val="24"/>
                <w:szCs w:val="20"/>
                <w:lang w:val="en-US" w:eastAsia="zh-CN" w:bidi="ar-SA"/>
              </w:rPr>
              <w:t>）</w:t>
            </w:r>
            <w:r>
              <w:rPr>
                <w:rFonts w:ascii="Times New Roman" w:hAnsi="Times New Roman" w:eastAsia="宋体" w:cs="Times New Roman"/>
                <w:b/>
                <w:color w:val="auto"/>
                <w:kern w:val="0"/>
                <w:sz w:val="24"/>
                <w:szCs w:val="20"/>
                <w:lang w:val="en-US" w:eastAsia="zh-CN" w:bidi="ar-SA"/>
              </w:rPr>
              <w:t>表1</w:t>
            </w:r>
            <w:r>
              <w:rPr>
                <w:rFonts w:hint="eastAsia" w:ascii="Times New Roman" w:hAnsi="Times New Roman" w:eastAsia="宋体" w:cs="Times New Roman"/>
                <w:b/>
                <w:color w:val="auto"/>
                <w:kern w:val="0"/>
                <w:sz w:val="24"/>
                <w:szCs w:val="20"/>
                <w:lang w:val="en-US" w:eastAsia="zh-CN" w:bidi="ar-SA"/>
              </w:rPr>
              <w:t>（</w:t>
            </w:r>
            <w:r>
              <w:rPr>
                <w:rFonts w:ascii="Times New Roman" w:hAnsi="Times New Roman" w:eastAsia="宋体" w:cs="Times New Roman"/>
                <w:b/>
                <w:color w:val="auto"/>
                <w:kern w:val="0"/>
                <w:sz w:val="24"/>
                <w:szCs w:val="20"/>
                <w:lang w:val="en-US" w:eastAsia="zh-CN" w:bidi="ar-SA"/>
              </w:rPr>
              <w:t>摘录</w:t>
            </w:r>
            <w:r>
              <w:rPr>
                <w:rFonts w:hint="eastAsia" w:ascii="Times New Roman" w:hAnsi="Times New Roman" w:eastAsia="宋体" w:cs="Times New Roman"/>
                <w:b/>
                <w:color w:val="auto"/>
                <w:kern w:val="0"/>
                <w:sz w:val="24"/>
                <w:szCs w:val="20"/>
                <w:lang w:val="en-US" w:eastAsia="zh-CN" w:bidi="ar-SA"/>
              </w:rPr>
              <w:t>）</w:t>
            </w:r>
          </w:p>
          <w:tbl>
            <w:tblPr>
              <w:tblStyle w:val="17"/>
              <w:tblW w:w="8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4"/>
              <w:gridCol w:w="1480"/>
              <w:gridCol w:w="1303"/>
              <w:gridCol w:w="1301"/>
            </w:tblGrid>
            <w:tr w14:paraId="49FF2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54" w:type="dxa"/>
                  <w:tcBorders>
                    <w:top w:val="single" w:color="auto" w:sz="12" w:space="0"/>
                  </w:tcBorders>
                  <w:noWrap w:val="0"/>
                  <w:vAlign w:val="center"/>
                </w:tcPr>
                <w:p w14:paraId="547CDD11">
                  <w:pPr>
                    <w:widowControl w:val="0"/>
                    <w:bidi w:val="0"/>
                    <w:adjustRightInd w:val="0"/>
                    <w:snapToGrid w:val="0"/>
                    <w:spacing w:before="10" w:beforeLines="10" w:after="10" w:afterLines="10" w:line="240" w:lineRule="auto"/>
                    <w:jc w:val="right"/>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 xml:space="preserve">          </w:t>
                  </w:r>
                  <w:r>
                    <w:rPr>
                      <w:rFonts w:hint="eastAsia" w:ascii="Times New Roman" w:hAnsi="Times New Roman" w:eastAsia="宋体" w:cs="Times New Roman"/>
                      <w:color w:val="auto"/>
                      <w:kern w:val="0"/>
                      <w:sz w:val="21"/>
                      <w:szCs w:val="20"/>
                      <w:lang w:val="en-US" w:eastAsia="zh-CN" w:bidi="ar-SA"/>
                    </w:rPr>
                    <w:t xml:space="preserve">    </w:t>
                  </w:r>
                  <w:r>
                    <w:rPr>
                      <w:rFonts w:ascii="Times New Roman" w:hAnsi="Times New Roman" w:eastAsia="宋体" w:cs="Times New Roman"/>
                      <w:color w:val="auto"/>
                      <w:kern w:val="0"/>
                      <w:sz w:val="21"/>
                      <w:szCs w:val="20"/>
                      <w:lang w:val="en-US" w:eastAsia="zh-CN" w:bidi="ar-SA"/>
                    </w:rPr>
                    <w:t>时段</w:t>
                  </w:r>
                </w:p>
                <w:p w14:paraId="65D14AD4">
                  <w:pPr>
                    <w:widowControl w:val="0"/>
                    <w:bidi w:val="0"/>
                    <w:adjustRightInd w:val="0"/>
                    <w:snapToGrid w:val="0"/>
                    <w:spacing w:before="10" w:beforeLines="10" w:after="10" w:afterLines="10" w:line="240" w:lineRule="auto"/>
                    <w:jc w:val="left"/>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厂界外声环境功能区类别</w:t>
                  </w:r>
                </w:p>
              </w:tc>
              <w:tc>
                <w:tcPr>
                  <w:tcW w:w="1480" w:type="dxa"/>
                  <w:tcBorders>
                    <w:top w:val="single" w:color="auto" w:sz="12" w:space="0"/>
                  </w:tcBorders>
                  <w:noWrap w:val="0"/>
                  <w:vAlign w:val="center"/>
                </w:tcPr>
                <w:p w14:paraId="2FFC1A63">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昼 间</w:t>
                  </w:r>
                </w:p>
              </w:tc>
              <w:tc>
                <w:tcPr>
                  <w:tcW w:w="1303" w:type="dxa"/>
                  <w:tcBorders>
                    <w:top w:val="single" w:color="auto" w:sz="12" w:space="0"/>
                  </w:tcBorders>
                  <w:noWrap w:val="0"/>
                  <w:vAlign w:val="center"/>
                </w:tcPr>
                <w:p w14:paraId="74244B73">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夜 间</w:t>
                  </w:r>
                </w:p>
              </w:tc>
              <w:tc>
                <w:tcPr>
                  <w:tcW w:w="1301" w:type="dxa"/>
                  <w:tcBorders>
                    <w:top w:val="single" w:color="auto" w:sz="12" w:space="0"/>
                    <w:right w:val="nil"/>
                  </w:tcBorders>
                  <w:noWrap w:val="0"/>
                  <w:vAlign w:val="center"/>
                </w:tcPr>
                <w:p w14:paraId="466BD659">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单 位</w:t>
                  </w:r>
                </w:p>
              </w:tc>
            </w:tr>
            <w:tr w14:paraId="6C689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3954" w:type="dxa"/>
                  <w:tcBorders>
                    <w:left w:val="nil"/>
                    <w:bottom w:val="single" w:color="auto" w:sz="12" w:space="0"/>
                  </w:tcBorders>
                  <w:noWrap w:val="0"/>
                  <w:vAlign w:val="center"/>
                </w:tcPr>
                <w:p w14:paraId="2B4D7D83">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3</w:t>
                  </w:r>
                  <w:r>
                    <w:rPr>
                      <w:rFonts w:ascii="Times New Roman" w:hAnsi="Times New Roman" w:eastAsia="宋体" w:cs="Times New Roman"/>
                      <w:color w:val="auto"/>
                      <w:kern w:val="0"/>
                      <w:sz w:val="21"/>
                      <w:szCs w:val="20"/>
                      <w:lang w:val="en-US" w:eastAsia="zh-CN" w:bidi="ar-SA"/>
                    </w:rPr>
                    <w:t>类</w:t>
                  </w:r>
                </w:p>
              </w:tc>
              <w:tc>
                <w:tcPr>
                  <w:tcW w:w="1480" w:type="dxa"/>
                  <w:tcBorders>
                    <w:bottom w:val="single" w:color="auto" w:sz="12" w:space="0"/>
                  </w:tcBorders>
                  <w:noWrap w:val="0"/>
                  <w:vAlign w:val="center"/>
                </w:tcPr>
                <w:p w14:paraId="6E24F118">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≤6</w:t>
                  </w:r>
                  <w:r>
                    <w:rPr>
                      <w:rFonts w:hint="eastAsia" w:ascii="Times New Roman" w:hAnsi="Times New Roman" w:eastAsia="宋体" w:cs="Times New Roman"/>
                      <w:color w:val="auto"/>
                      <w:kern w:val="0"/>
                      <w:sz w:val="21"/>
                      <w:szCs w:val="20"/>
                      <w:lang w:val="en-US" w:eastAsia="zh-CN" w:bidi="ar-SA"/>
                    </w:rPr>
                    <w:t>5</w:t>
                  </w:r>
                </w:p>
              </w:tc>
              <w:tc>
                <w:tcPr>
                  <w:tcW w:w="1303" w:type="dxa"/>
                  <w:tcBorders>
                    <w:bottom w:val="single" w:color="auto" w:sz="12" w:space="0"/>
                  </w:tcBorders>
                  <w:noWrap w:val="0"/>
                  <w:vAlign w:val="center"/>
                </w:tcPr>
                <w:p w14:paraId="36F11877">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≤5</w:t>
                  </w:r>
                  <w:r>
                    <w:rPr>
                      <w:rFonts w:hint="eastAsia" w:ascii="Times New Roman" w:hAnsi="Times New Roman" w:eastAsia="宋体" w:cs="Times New Roman"/>
                      <w:color w:val="auto"/>
                      <w:kern w:val="0"/>
                      <w:sz w:val="21"/>
                      <w:szCs w:val="20"/>
                      <w:lang w:val="en-US" w:eastAsia="zh-CN" w:bidi="ar-SA"/>
                    </w:rPr>
                    <w:t>5</w:t>
                  </w:r>
                </w:p>
              </w:tc>
              <w:tc>
                <w:tcPr>
                  <w:tcW w:w="1301" w:type="dxa"/>
                  <w:tcBorders>
                    <w:bottom w:val="single" w:color="auto" w:sz="12" w:space="0"/>
                    <w:right w:val="nil"/>
                  </w:tcBorders>
                  <w:noWrap w:val="0"/>
                  <w:vAlign w:val="center"/>
                </w:tcPr>
                <w:p w14:paraId="7E2062CD">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dB</w:t>
                  </w:r>
                  <w:r>
                    <w:rPr>
                      <w:rFonts w:hint="eastAsia" w:ascii="Times New Roman" w:hAnsi="Times New Roman" w:eastAsia="宋体" w:cs="Times New Roman"/>
                      <w:color w:val="auto"/>
                      <w:kern w:val="0"/>
                      <w:sz w:val="21"/>
                      <w:szCs w:val="20"/>
                      <w:lang w:val="en-US" w:eastAsia="zh-CN" w:bidi="ar-SA"/>
                    </w:rPr>
                    <w:t>(</w:t>
                  </w:r>
                  <w:r>
                    <w:rPr>
                      <w:rFonts w:ascii="Times New Roman" w:hAnsi="Times New Roman" w:eastAsia="宋体" w:cs="Times New Roman"/>
                      <w:color w:val="auto"/>
                      <w:kern w:val="0"/>
                      <w:sz w:val="21"/>
                      <w:szCs w:val="20"/>
                      <w:lang w:val="en-US" w:eastAsia="zh-CN" w:bidi="ar-SA"/>
                    </w:rPr>
                    <w:t>A</w:t>
                  </w:r>
                  <w:r>
                    <w:rPr>
                      <w:rFonts w:hint="eastAsia" w:ascii="Times New Roman" w:hAnsi="Times New Roman" w:eastAsia="宋体" w:cs="Times New Roman"/>
                      <w:color w:val="auto"/>
                      <w:kern w:val="0"/>
                      <w:sz w:val="21"/>
                      <w:szCs w:val="20"/>
                      <w:lang w:val="en-US" w:eastAsia="zh-CN" w:bidi="ar-SA"/>
                    </w:rPr>
                    <w:t>)</w:t>
                  </w:r>
                </w:p>
              </w:tc>
            </w:tr>
          </w:tbl>
          <w:p w14:paraId="1B335ED0">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54" w:name="_Toc23881"/>
            <w:r>
              <w:rPr>
                <w:rFonts w:hint="eastAsia" w:ascii="Times New Roman" w:hAnsi="Times New Roman" w:eastAsia="宋体" w:cs="Times New Roman"/>
                <w:b/>
                <w:color w:val="auto"/>
                <w:kern w:val="2"/>
                <w:sz w:val="24"/>
                <w:szCs w:val="24"/>
                <w:lang w:val="en-US" w:eastAsia="zh-CN" w:bidi="ar-SA"/>
              </w:rPr>
              <w:t>3.7.4固体废物</w:t>
            </w:r>
            <w:bookmarkEnd w:id="54"/>
          </w:p>
          <w:p w14:paraId="4A627125">
            <w:pPr>
              <w:pStyle w:val="25"/>
              <w:bidi w:val="0"/>
              <w:rPr>
                <w:color w:val="auto"/>
              </w:rPr>
            </w:pPr>
            <w:r>
              <w:rPr>
                <w:color w:val="auto"/>
                <w:lang w:val="en-US" w:eastAsia="zh-CN"/>
              </w:rPr>
              <w:t>运营期项目内产生的一般工业固废应按照《一般工业固体废物贮存和填埋污染控制标准》</w:t>
            </w:r>
            <w:r>
              <w:rPr>
                <w:rFonts w:hint="eastAsia"/>
                <w:color w:val="auto"/>
                <w:lang w:val="en-US" w:eastAsia="zh-CN"/>
              </w:rPr>
              <w:t>（</w:t>
            </w:r>
            <w:r>
              <w:rPr>
                <w:color w:val="auto"/>
                <w:lang w:val="en-US" w:eastAsia="zh-CN"/>
              </w:rPr>
              <w:t>GB 18599-2020</w:t>
            </w:r>
            <w:r>
              <w:rPr>
                <w:rFonts w:hint="eastAsia"/>
                <w:color w:val="auto"/>
                <w:lang w:val="en-US" w:eastAsia="zh-CN"/>
              </w:rPr>
              <w:t>）</w:t>
            </w:r>
            <w:r>
              <w:rPr>
                <w:color w:val="auto"/>
                <w:lang w:val="en-US" w:eastAsia="zh-CN"/>
              </w:rPr>
              <w:t>的要求进行</w:t>
            </w:r>
            <w:r>
              <w:rPr>
                <w:rFonts w:hint="eastAsia"/>
                <w:color w:val="auto"/>
                <w:lang w:val="en-US" w:eastAsia="zh-CN"/>
              </w:rPr>
              <w:t>暂存管理</w:t>
            </w:r>
            <w:r>
              <w:rPr>
                <w:color w:val="auto"/>
                <w:lang w:val="en-US" w:eastAsia="zh-CN"/>
              </w:rPr>
              <w:t>。项目内产生的危险废物应按照《危险废物贮存污染控制标准》</w:t>
            </w:r>
            <w:r>
              <w:rPr>
                <w:rFonts w:hint="eastAsia"/>
                <w:color w:val="auto"/>
                <w:lang w:val="en-US" w:eastAsia="zh-CN"/>
              </w:rPr>
              <w:t>（</w:t>
            </w:r>
            <w:r>
              <w:rPr>
                <w:color w:val="auto"/>
                <w:lang w:val="en-US" w:eastAsia="zh-CN"/>
              </w:rPr>
              <w:t>GB18597-20</w:t>
            </w:r>
            <w:r>
              <w:rPr>
                <w:rFonts w:hint="eastAsia"/>
                <w:color w:val="auto"/>
                <w:lang w:val="en-US" w:eastAsia="zh-CN"/>
              </w:rPr>
              <w:t>23）</w:t>
            </w:r>
            <w:r>
              <w:rPr>
                <w:color w:val="auto"/>
                <w:lang w:val="en-US" w:eastAsia="zh-CN"/>
              </w:rPr>
              <w:t>中的要求进行</w:t>
            </w:r>
            <w:r>
              <w:rPr>
                <w:rFonts w:hint="eastAsia"/>
                <w:color w:val="auto"/>
                <w:lang w:val="en-US" w:eastAsia="zh-CN"/>
              </w:rPr>
              <w:t>暂存管理</w:t>
            </w:r>
            <w:r>
              <w:rPr>
                <w:color w:val="auto"/>
                <w:lang w:val="en-US" w:eastAsia="zh-CN"/>
              </w:rPr>
              <w:t>。</w:t>
            </w:r>
            <w:r>
              <w:rPr>
                <w:rFonts w:hint="eastAsia"/>
                <w:color w:val="auto"/>
                <w:lang w:val="en-US" w:eastAsia="zh-CN"/>
              </w:rPr>
              <w:t>生活垃圾处置执行《中华人民共和国固体废物污染环境防治法》（2020年4月29日修订版）的相关规定。</w:t>
            </w:r>
          </w:p>
        </w:tc>
      </w:tr>
      <w:tr w14:paraId="32F1B5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62" w:hRule="atLeast"/>
          <w:jc w:val="center"/>
        </w:trPr>
        <w:tc>
          <w:tcPr>
            <w:tcW w:w="800" w:type="dxa"/>
            <w:noWrap w:val="0"/>
            <w:vAlign w:val="center"/>
          </w:tcPr>
          <w:p w14:paraId="1393FC5B">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总量</w:t>
            </w:r>
          </w:p>
          <w:p w14:paraId="378BEB42">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控制</w:t>
            </w:r>
          </w:p>
          <w:p w14:paraId="1E73E6BD">
            <w:pPr>
              <w:adjustRightInd w:val="0"/>
              <w:snapToGrid w:val="0"/>
              <w:jc w:val="center"/>
              <w:rPr>
                <w:rFonts w:ascii="宋体" w:hAnsi="宋体" w:cs="宋体"/>
                <w:color w:val="auto"/>
                <w:kern w:val="0"/>
                <w:szCs w:val="21"/>
              </w:rPr>
            </w:pPr>
            <w:r>
              <w:rPr>
                <w:rFonts w:hint="eastAsia" w:ascii="宋体" w:hAnsi="宋体" w:cs="宋体"/>
                <w:color w:val="auto"/>
                <w:kern w:val="0"/>
                <w:szCs w:val="21"/>
              </w:rPr>
              <w:t>指标</w:t>
            </w:r>
          </w:p>
        </w:tc>
        <w:tc>
          <w:tcPr>
            <w:tcW w:w="8190" w:type="dxa"/>
            <w:noWrap w:val="0"/>
            <w:vAlign w:val="center"/>
          </w:tcPr>
          <w:p w14:paraId="146D134A">
            <w:pPr>
              <w:pStyle w:val="3"/>
              <w:bidi w:val="0"/>
              <w:rPr>
                <w:rFonts w:hint="eastAsia"/>
                <w:color w:val="auto"/>
              </w:rPr>
            </w:pPr>
            <w:bookmarkStart w:id="55" w:name="_Toc12739"/>
            <w:r>
              <w:rPr>
                <w:rFonts w:hint="eastAsia"/>
                <w:color w:val="auto"/>
              </w:rPr>
              <w:t>3.8总量控制</w:t>
            </w:r>
            <w:bookmarkEnd w:id="55"/>
          </w:p>
          <w:p w14:paraId="6230D880">
            <w:pPr>
              <w:pStyle w:val="25"/>
              <w:bidi w:val="0"/>
              <w:rPr>
                <w:rFonts w:hint="eastAsia"/>
                <w:color w:val="auto"/>
              </w:rPr>
            </w:pPr>
            <w:r>
              <w:rPr>
                <w:rFonts w:hint="eastAsia"/>
                <w:color w:val="auto"/>
              </w:rPr>
              <w:t>总量控制是我国环境保护管理工作的一项重要举措，而实行污染物排放总量是环境保护法律法规的要求，它不仅是促进经济结构战略性调整和经济增长方式根本性转变的有力措施，同时也是促进工业技术进步和管理水平的提高，做到环保与经济的相互促进。实施以环境容量为基础的排污总量控制制度是改善环境质量的根本手段。</w:t>
            </w:r>
          </w:p>
          <w:p w14:paraId="66CC410A">
            <w:pPr>
              <w:pStyle w:val="4"/>
              <w:bidi w:val="0"/>
              <w:rPr>
                <w:rFonts w:hint="eastAsia"/>
                <w:color w:val="auto"/>
              </w:rPr>
            </w:pPr>
            <w:bookmarkStart w:id="56" w:name="_Toc672"/>
            <w:r>
              <w:rPr>
                <w:rFonts w:hint="eastAsia"/>
                <w:color w:val="auto"/>
              </w:rPr>
              <w:t>3.8.1废水总量</w:t>
            </w:r>
            <w:bookmarkEnd w:id="56"/>
          </w:p>
          <w:p w14:paraId="3F00B712">
            <w:pPr>
              <w:pStyle w:val="25"/>
              <w:bidi w:val="0"/>
              <w:rPr>
                <w:rFonts w:hint="eastAsia"/>
                <w:color w:val="auto"/>
              </w:rPr>
            </w:pPr>
            <w:r>
              <w:rPr>
                <w:rFonts w:hint="eastAsia"/>
                <w:color w:val="auto"/>
              </w:rPr>
              <w:t>（1）COD、NH</w:t>
            </w:r>
            <w:r>
              <w:rPr>
                <w:rFonts w:hint="eastAsia"/>
                <w:color w:val="auto"/>
                <w:vertAlign w:val="subscript"/>
              </w:rPr>
              <w:t>3</w:t>
            </w:r>
            <w:r>
              <w:rPr>
                <w:rFonts w:hint="eastAsia"/>
                <w:color w:val="auto"/>
              </w:rPr>
              <w:t>-N总量控制</w:t>
            </w:r>
          </w:p>
          <w:p w14:paraId="29924FA2">
            <w:pPr>
              <w:pStyle w:val="25"/>
              <w:bidi w:val="0"/>
              <w:rPr>
                <w:rFonts w:hint="eastAsia"/>
                <w:color w:val="auto"/>
              </w:rPr>
            </w:pPr>
            <w:r>
              <w:rPr>
                <w:rFonts w:hint="eastAsia"/>
                <w:color w:val="auto"/>
              </w:rPr>
              <w:t>根据国家制定的总量控制指标，结合本项目的特征污染物，确定本项目</w:t>
            </w:r>
            <w:r>
              <w:rPr>
                <w:rFonts w:hint="eastAsia"/>
                <w:color w:val="auto"/>
                <w:lang w:val="en-US" w:eastAsia="zh-CN"/>
              </w:rPr>
              <w:t>水</w:t>
            </w:r>
            <w:r>
              <w:rPr>
                <w:rFonts w:hint="eastAsia"/>
                <w:color w:val="auto"/>
              </w:rPr>
              <w:t>污染物中总量控制的项目有：COD、NH</w:t>
            </w:r>
            <w:r>
              <w:rPr>
                <w:rFonts w:hint="eastAsia"/>
                <w:color w:val="auto"/>
                <w:vertAlign w:val="subscript"/>
              </w:rPr>
              <w:t>3</w:t>
            </w:r>
            <w:r>
              <w:rPr>
                <w:rFonts w:hint="eastAsia"/>
                <w:color w:val="auto"/>
              </w:rPr>
              <w:t>-N。项目产生的</w:t>
            </w:r>
            <w:r>
              <w:rPr>
                <w:rFonts w:hint="eastAsia"/>
                <w:color w:val="auto"/>
                <w:lang w:val="en-US" w:eastAsia="zh-CN"/>
              </w:rPr>
              <w:t>废水经处理后</w:t>
            </w:r>
            <w:r>
              <w:rPr>
                <w:rFonts w:hint="eastAsia"/>
                <w:color w:val="auto"/>
              </w:rPr>
              <w:t>达</w:t>
            </w:r>
            <w:r>
              <w:rPr>
                <w:rFonts w:hint="eastAsia"/>
                <w:color w:val="auto"/>
                <w:lang w:val="en-US" w:eastAsia="zh-CN"/>
              </w:rPr>
              <w:t>到</w:t>
            </w:r>
            <w:r>
              <w:rPr>
                <w:rFonts w:hint="eastAsia"/>
                <w:color w:val="auto"/>
              </w:rPr>
              <w:t>《污水综合排放标准》（GB8978-1996）表4中三级标准（其中，氨氮参照执行《污水排入城市下水道水质标准》（GB/T31962-2015）表1的B级标准）后</w:t>
            </w:r>
            <w:r>
              <w:rPr>
                <w:rFonts w:hint="eastAsia"/>
                <w:color w:val="auto"/>
                <w:lang w:eastAsia="zh-CN"/>
              </w:rPr>
              <w:t>接入</w:t>
            </w:r>
            <w:r>
              <w:rPr>
                <w:rFonts w:hint="eastAsia"/>
                <w:color w:val="auto"/>
              </w:rPr>
              <w:t>市政污水管网，纳入大学城污水处理厂进行进一步处理，对周边环境影响较小。大学城污水处理厂出水排放执行《城镇污水处理厂污染物排放标准》（GB18918-2002）中一级A排放标准：COD为50mg/L、氨氮为5mg/L，统一处理后项目污染物排放总量详见表3.</w:t>
            </w:r>
            <w:r>
              <w:rPr>
                <w:rFonts w:hint="eastAsia"/>
                <w:color w:val="auto"/>
                <w:lang w:val="en-US" w:eastAsia="zh-CN"/>
              </w:rPr>
              <w:t>8</w:t>
            </w:r>
            <w:r>
              <w:rPr>
                <w:rFonts w:hint="eastAsia"/>
                <w:color w:val="auto"/>
              </w:rPr>
              <w:t>-1。</w:t>
            </w:r>
          </w:p>
          <w:p w14:paraId="1A0930A5">
            <w:pPr>
              <w:pStyle w:val="24"/>
              <w:bidi w:val="0"/>
              <w:rPr>
                <w:rFonts w:hint="eastAsia" w:ascii="Times New Roman" w:hAnsi="Times New Roman"/>
                <w:color w:val="auto"/>
              </w:rPr>
            </w:pPr>
            <w:r>
              <w:rPr>
                <w:rFonts w:hint="eastAsia" w:ascii="Times New Roman" w:hAnsi="Times New Roman"/>
                <w:color w:val="auto"/>
              </w:rPr>
              <w:t>表</w:t>
            </w:r>
            <w:r>
              <w:rPr>
                <w:rFonts w:hint="eastAsia" w:ascii="Times New Roman" w:hAnsi="Times New Roman"/>
                <w:color w:val="auto"/>
                <w:lang w:val="en-US" w:eastAsia="zh-CN"/>
              </w:rPr>
              <w:t>3.8-</w:t>
            </w:r>
            <w:r>
              <w:rPr>
                <w:rFonts w:hint="eastAsia" w:ascii="Times New Roman" w:hAnsi="Times New Roman"/>
                <w:color w:val="auto"/>
              </w:rPr>
              <w:t>1</w:t>
            </w:r>
            <w:r>
              <w:rPr>
                <w:rFonts w:hint="eastAsia"/>
                <w:color w:val="auto"/>
                <w:lang w:val="en-US" w:eastAsia="zh-CN"/>
              </w:rPr>
              <w:t xml:space="preserve">  </w:t>
            </w:r>
            <w:r>
              <w:rPr>
                <w:rFonts w:hint="eastAsia" w:ascii="Times New Roman" w:hAnsi="Times New Roman"/>
                <w:color w:val="auto"/>
                <w:lang w:val="en-US" w:eastAsia="zh-CN"/>
              </w:rPr>
              <w:t>本</w:t>
            </w:r>
            <w:r>
              <w:rPr>
                <w:rFonts w:hint="eastAsia" w:ascii="Times New Roman" w:hAnsi="Times New Roman"/>
                <w:color w:val="auto"/>
              </w:rPr>
              <w:t>项目</w:t>
            </w:r>
            <w:r>
              <w:rPr>
                <w:rFonts w:hint="eastAsia" w:ascii="Times New Roman" w:hAnsi="Times New Roman"/>
                <w:color w:val="auto"/>
                <w:lang w:eastAsia="zh-CN"/>
              </w:rPr>
              <w:t>水</w:t>
            </w:r>
            <w:r>
              <w:rPr>
                <w:rFonts w:hint="eastAsia" w:ascii="Times New Roman" w:hAnsi="Times New Roman"/>
                <w:color w:val="auto"/>
              </w:rPr>
              <w:t>污染物排放总量指标</w:t>
            </w:r>
            <w:r>
              <w:rPr>
                <w:rFonts w:hint="eastAsia"/>
                <w:color w:val="auto"/>
                <w:lang w:val="en-US" w:eastAsia="zh-CN"/>
              </w:rPr>
              <w:t xml:space="preserve">  </w:t>
            </w:r>
            <w:r>
              <w:rPr>
                <w:rFonts w:hint="default" w:ascii="Times New Roman" w:hAnsi="Times New Roman" w:eastAsia="宋体" w:cs="Times New Roman"/>
                <w:b/>
                <w:color w:val="auto"/>
                <w:sz w:val="24"/>
                <w:szCs w:val="24"/>
                <w:highlight w:val="none"/>
                <w:lang w:val="en-US" w:eastAsia="zh-CN"/>
              </w:rPr>
              <w:t>单位</w:t>
            </w:r>
            <w:r>
              <w:rPr>
                <w:rFonts w:hint="eastAsia" w:cs="Times New Roman"/>
                <w:b/>
                <w:color w:val="auto"/>
                <w:sz w:val="24"/>
                <w:szCs w:val="24"/>
                <w:highlight w:val="none"/>
                <w:lang w:val="en-US" w:eastAsia="zh-CN"/>
              </w:rPr>
              <w:t>：</w:t>
            </w:r>
            <w:r>
              <w:rPr>
                <w:rFonts w:hint="default" w:ascii="Times New Roman" w:hAnsi="Times New Roman" w:eastAsia="宋体" w:cs="Times New Roman"/>
                <w:b/>
                <w:color w:val="auto"/>
                <w:sz w:val="24"/>
                <w:szCs w:val="24"/>
                <w:highlight w:val="none"/>
                <w:lang w:val="en-US" w:eastAsia="zh-CN"/>
              </w:rPr>
              <w:t>t/a</w:t>
            </w:r>
          </w:p>
          <w:tbl>
            <w:tblPr>
              <w:tblStyle w:val="17"/>
              <w:tblW w:w="4998" w:type="pct"/>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837"/>
              <w:gridCol w:w="1241"/>
              <w:gridCol w:w="1202"/>
              <w:gridCol w:w="1352"/>
              <w:gridCol w:w="1231"/>
              <w:gridCol w:w="1745"/>
            </w:tblGrid>
            <w:tr w14:paraId="633AC8B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80" w:type="pct"/>
                  <w:tcBorders>
                    <w:top w:val="single" w:color="000000" w:sz="12" w:space="0"/>
                    <w:left w:val="nil"/>
                    <w:tl2br w:val="nil"/>
                  </w:tcBorders>
                  <w:noWrap w:val="0"/>
                  <w:vAlign w:val="center"/>
                </w:tcPr>
                <w:p w14:paraId="6F73AFB7">
                  <w:pPr>
                    <w:pStyle w:val="51"/>
                    <w:suppressLineNumbers w:val="0"/>
                    <w:bidi w:val="0"/>
                    <w:spacing w:before="0" w:beforeAutospacing="0" w:after="0" w:afterAutospacing="0"/>
                    <w:ind w:left="0" w:right="0"/>
                    <w:rPr>
                      <w:rFonts w:hint="eastAsia"/>
                      <w:b/>
                      <w:bCs/>
                      <w:color w:val="auto"/>
                    </w:rPr>
                  </w:pPr>
                  <w:r>
                    <w:rPr>
                      <w:rFonts w:hint="eastAsia"/>
                      <w:b/>
                      <w:bCs/>
                      <w:color w:val="auto"/>
                      <w:lang w:val="en-US" w:eastAsia="zh-CN"/>
                    </w:rPr>
                    <w:t>项目</w:t>
                  </w:r>
                </w:p>
              </w:tc>
              <w:tc>
                <w:tcPr>
                  <w:tcW w:w="2751" w:type="pct"/>
                  <w:gridSpan w:val="4"/>
                  <w:tcBorders>
                    <w:top w:val="single" w:color="000000" w:sz="12" w:space="0"/>
                  </w:tcBorders>
                  <w:noWrap w:val="0"/>
                  <w:vAlign w:val="center"/>
                </w:tcPr>
                <w:p w14:paraId="21FF7C0B">
                  <w:pPr>
                    <w:pStyle w:val="51"/>
                    <w:suppressLineNumbers w:val="0"/>
                    <w:bidi w:val="0"/>
                    <w:spacing w:before="0" w:beforeAutospacing="0" w:after="0" w:afterAutospacing="0"/>
                    <w:ind w:left="0" w:right="0"/>
                    <w:rPr>
                      <w:rFonts w:hint="eastAsia"/>
                      <w:b/>
                      <w:bCs/>
                      <w:color w:val="auto"/>
                    </w:rPr>
                  </w:pPr>
                  <w:r>
                    <w:rPr>
                      <w:rFonts w:hint="eastAsia"/>
                      <w:b/>
                      <w:bCs/>
                      <w:color w:val="auto"/>
                      <w:lang w:val="en-US" w:eastAsia="zh-CN"/>
                    </w:rPr>
                    <w:t>建议最终排入环境控制指标</w:t>
                  </w:r>
                </w:p>
              </w:tc>
              <w:tc>
                <w:tcPr>
                  <w:tcW w:w="1767" w:type="pct"/>
                  <w:gridSpan w:val="2"/>
                  <w:tcBorders>
                    <w:top w:val="single" w:color="000000" w:sz="12" w:space="0"/>
                    <w:right w:val="nil"/>
                  </w:tcBorders>
                  <w:noWrap w:val="0"/>
                  <w:vAlign w:val="center"/>
                </w:tcPr>
                <w:p w14:paraId="60865304">
                  <w:pPr>
                    <w:pStyle w:val="51"/>
                    <w:suppressLineNumbers w:val="0"/>
                    <w:bidi w:val="0"/>
                    <w:spacing w:before="0" w:beforeAutospacing="0" w:after="0" w:afterAutospacing="0"/>
                    <w:ind w:left="0" w:right="0"/>
                    <w:rPr>
                      <w:rFonts w:hint="eastAsia"/>
                      <w:b/>
                      <w:bCs/>
                      <w:color w:val="auto"/>
                    </w:rPr>
                  </w:pPr>
                  <w:r>
                    <w:rPr>
                      <w:rFonts w:hint="eastAsia"/>
                      <w:b/>
                      <w:bCs/>
                      <w:color w:val="auto"/>
                      <w:lang w:val="en-US" w:eastAsia="zh-CN"/>
                    </w:rPr>
                    <w:t>建议申报指标</w:t>
                  </w:r>
                </w:p>
              </w:tc>
            </w:tr>
            <w:tr w14:paraId="28A2367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0" w:type="pct"/>
                  <w:tcBorders>
                    <w:left w:val="nil"/>
                  </w:tcBorders>
                  <w:noWrap w:val="0"/>
                  <w:vAlign w:val="center"/>
                </w:tcPr>
                <w:p w14:paraId="1D2E331D">
                  <w:pPr>
                    <w:pStyle w:val="51"/>
                    <w:suppressLineNumbers w:val="0"/>
                    <w:bidi w:val="0"/>
                    <w:spacing w:before="0" w:beforeAutospacing="0" w:after="0" w:afterAutospacing="0"/>
                    <w:ind w:left="0" w:right="0"/>
                    <w:rPr>
                      <w:rFonts w:hint="eastAsia"/>
                      <w:b/>
                      <w:bCs/>
                      <w:color w:val="auto"/>
                    </w:rPr>
                  </w:pPr>
                  <w:r>
                    <w:rPr>
                      <w:rFonts w:hint="eastAsia"/>
                      <w:b/>
                      <w:bCs/>
                      <w:color w:val="auto"/>
                      <w:lang w:val="en-US" w:eastAsia="zh-CN"/>
                    </w:rPr>
                    <w:t>污染物名称</w:t>
                  </w:r>
                </w:p>
              </w:tc>
              <w:tc>
                <w:tcPr>
                  <w:tcW w:w="497" w:type="pct"/>
                  <w:noWrap w:val="0"/>
                  <w:vAlign w:val="center"/>
                </w:tcPr>
                <w:p w14:paraId="024C0FE1">
                  <w:pPr>
                    <w:pStyle w:val="51"/>
                    <w:suppressLineNumbers w:val="0"/>
                    <w:bidi w:val="0"/>
                    <w:spacing w:before="0" w:beforeAutospacing="0" w:after="0" w:afterAutospacing="0"/>
                    <w:ind w:left="0" w:right="0"/>
                    <w:rPr>
                      <w:rFonts w:hint="eastAsia"/>
                      <w:b/>
                      <w:bCs/>
                      <w:color w:val="auto"/>
                    </w:rPr>
                  </w:pPr>
                  <w:r>
                    <w:rPr>
                      <w:rFonts w:hint="eastAsia"/>
                      <w:b/>
                      <w:bCs/>
                      <w:color w:val="auto"/>
                      <w:lang w:val="en-US" w:eastAsia="zh-CN"/>
                    </w:rPr>
                    <w:t>排放浓度</w:t>
                  </w:r>
                  <w:r>
                    <w:rPr>
                      <w:rFonts w:hint="default"/>
                      <w:b/>
                      <w:bCs/>
                      <w:color w:val="auto"/>
                      <w:lang w:val="en-US" w:eastAsia="zh-CN"/>
                    </w:rPr>
                    <w:t>mg/L</w:t>
                  </w:r>
                </w:p>
              </w:tc>
              <w:tc>
                <w:tcPr>
                  <w:tcW w:w="737" w:type="pct"/>
                  <w:noWrap w:val="0"/>
                  <w:vAlign w:val="center"/>
                </w:tcPr>
                <w:p w14:paraId="6A7B229F">
                  <w:pPr>
                    <w:pStyle w:val="51"/>
                    <w:suppressLineNumbers w:val="0"/>
                    <w:bidi w:val="0"/>
                    <w:spacing w:before="0" w:beforeAutospacing="0" w:after="0" w:afterAutospacing="0"/>
                    <w:ind w:left="0" w:right="0"/>
                    <w:rPr>
                      <w:rFonts w:hint="eastAsia"/>
                      <w:b/>
                      <w:bCs/>
                      <w:color w:val="auto"/>
                    </w:rPr>
                  </w:pPr>
                  <w:r>
                    <w:rPr>
                      <w:rFonts w:hint="eastAsia"/>
                      <w:b/>
                      <w:bCs/>
                      <w:color w:val="auto"/>
                      <w:lang w:val="en-US" w:eastAsia="zh-CN"/>
                    </w:rPr>
                    <w:t>现有工程废水排放总量</w:t>
                  </w:r>
                </w:p>
              </w:tc>
              <w:tc>
                <w:tcPr>
                  <w:tcW w:w="714" w:type="pct"/>
                  <w:noWrap w:val="0"/>
                  <w:vAlign w:val="center"/>
                </w:tcPr>
                <w:p w14:paraId="2E1781A2">
                  <w:pPr>
                    <w:pStyle w:val="51"/>
                    <w:suppressLineNumbers w:val="0"/>
                    <w:bidi w:val="0"/>
                    <w:spacing w:before="0" w:beforeAutospacing="0" w:after="0" w:afterAutospacing="0"/>
                    <w:ind w:left="0" w:right="0"/>
                    <w:rPr>
                      <w:rFonts w:hint="eastAsia"/>
                      <w:b/>
                      <w:bCs/>
                      <w:color w:val="auto"/>
                    </w:rPr>
                  </w:pPr>
                  <w:r>
                    <w:rPr>
                      <w:rFonts w:hint="eastAsia"/>
                      <w:b/>
                      <w:bCs/>
                      <w:color w:val="auto"/>
                      <w:lang w:val="en-US" w:eastAsia="zh-CN"/>
                    </w:rPr>
                    <w:t>“以新带老”削减量</w:t>
                  </w:r>
                </w:p>
              </w:tc>
              <w:tc>
                <w:tcPr>
                  <w:tcW w:w="803" w:type="pct"/>
                  <w:noWrap w:val="0"/>
                  <w:vAlign w:val="center"/>
                </w:tcPr>
                <w:p w14:paraId="5A5658E8">
                  <w:pPr>
                    <w:pStyle w:val="51"/>
                    <w:suppressLineNumbers w:val="0"/>
                    <w:bidi w:val="0"/>
                    <w:spacing w:before="0" w:beforeAutospacing="0" w:after="0" w:afterAutospacing="0"/>
                    <w:ind w:left="0" w:right="0"/>
                    <w:rPr>
                      <w:rFonts w:hint="eastAsia"/>
                      <w:b/>
                      <w:bCs/>
                      <w:color w:val="auto"/>
                    </w:rPr>
                  </w:pPr>
                  <w:r>
                    <w:rPr>
                      <w:rFonts w:hint="eastAsia"/>
                      <w:b/>
                      <w:bCs/>
                      <w:color w:val="auto"/>
                      <w:lang w:val="en-US" w:eastAsia="zh-CN"/>
                    </w:rPr>
                    <w:t>本项目废水排放量</w:t>
                  </w:r>
                </w:p>
              </w:tc>
              <w:tc>
                <w:tcPr>
                  <w:tcW w:w="731" w:type="pct"/>
                  <w:noWrap w:val="0"/>
                  <w:vAlign w:val="center"/>
                </w:tcPr>
                <w:p w14:paraId="07E442E3">
                  <w:pPr>
                    <w:pStyle w:val="51"/>
                    <w:suppressLineNumbers w:val="0"/>
                    <w:bidi w:val="0"/>
                    <w:spacing w:before="0" w:beforeAutospacing="0" w:after="0" w:afterAutospacing="0"/>
                    <w:ind w:left="0" w:right="0"/>
                    <w:rPr>
                      <w:rFonts w:hint="eastAsia"/>
                      <w:b/>
                      <w:bCs/>
                      <w:color w:val="auto"/>
                    </w:rPr>
                  </w:pPr>
                  <w:r>
                    <w:rPr>
                      <w:rFonts w:hint="eastAsia"/>
                      <w:b/>
                      <w:bCs/>
                      <w:color w:val="auto"/>
                      <w:lang w:val="en-US" w:eastAsia="zh-CN"/>
                    </w:rPr>
                    <w:t>已核定总量</w:t>
                  </w:r>
                </w:p>
              </w:tc>
              <w:tc>
                <w:tcPr>
                  <w:tcW w:w="1036" w:type="pct"/>
                  <w:tcBorders>
                    <w:right w:val="nil"/>
                  </w:tcBorders>
                  <w:noWrap w:val="0"/>
                  <w:vAlign w:val="center"/>
                </w:tcPr>
                <w:p w14:paraId="22607A91">
                  <w:pPr>
                    <w:pStyle w:val="51"/>
                    <w:suppressLineNumbers w:val="0"/>
                    <w:bidi w:val="0"/>
                    <w:spacing w:before="0" w:beforeAutospacing="0" w:after="0" w:afterAutospacing="0"/>
                    <w:ind w:left="0" w:right="0"/>
                    <w:rPr>
                      <w:rFonts w:hint="default" w:eastAsia="宋体"/>
                      <w:b/>
                      <w:bCs/>
                      <w:color w:val="auto"/>
                      <w:lang w:val="en-US" w:eastAsia="zh-CN"/>
                    </w:rPr>
                  </w:pPr>
                  <w:r>
                    <w:rPr>
                      <w:rFonts w:hint="eastAsia"/>
                      <w:b/>
                      <w:bCs/>
                      <w:color w:val="auto"/>
                      <w:lang w:val="en-US" w:eastAsia="zh-CN"/>
                    </w:rPr>
                    <w:t>仍需取得总量</w:t>
                  </w:r>
                </w:p>
              </w:tc>
            </w:tr>
            <w:tr w14:paraId="25A18FB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0" w:type="pct"/>
                  <w:tcBorders>
                    <w:left w:val="nil"/>
                  </w:tcBorders>
                  <w:noWrap w:val="0"/>
                  <w:vAlign w:val="center"/>
                </w:tcPr>
                <w:p w14:paraId="172030D9">
                  <w:pPr>
                    <w:pStyle w:val="51"/>
                    <w:suppressLineNumbers w:val="0"/>
                    <w:bidi w:val="0"/>
                    <w:spacing w:before="0" w:beforeAutospacing="0" w:after="0" w:afterAutospacing="0"/>
                    <w:ind w:left="0" w:right="0"/>
                    <w:rPr>
                      <w:rFonts w:hint="eastAsia"/>
                      <w:color w:val="auto"/>
                    </w:rPr>
                  </w:pPr>
                  <w:r>
                    <w:rPr>
                      <w:rFonts w:hint="eastAsia"/>
                      <w:color w:val="auto"/>
                      <w:lang w:val="en-US" w:eastAsia="zh-CN"/>
                    </w:rPr>
                    <w:t>生活污水</w:t>
                  </w:r>
                </w:p>
              </w:tc>
              <w:tc>
                <w:tcPr>
                  <w:tcW w:w="497" w:type="pct"/>
                  <w:noWrap w:val="0"/>
                  <w:vAlign w:val="center"/>
                </w:tcPr>
                <w:p w14:paraId="7E0525A9">
                  <w:pPr>
                    <w:pStyle w:val="51"/>
                    <w:suppressLineNumbers w:val="0"/>
                    <w:bidi w:val="0"/>
                    <w:spacing w:before="0" w:beforeAutospacing="0" w:after="0" w:afterAutospacing="0"/>
                    <w:ind w:left="0" w:leftChars="0" w:right="0" w:rightChars="0" w:firstLine="0" w:firstLineChars="0"/>
                    <w:rPr>
                      <w:rFonts w:hint="default"/>
                      <w:color w:val="auto"/>
                    </w:rPr>
                  </w:pPr>
                  <w:r>
                    <w:rPr>
                      <w:rFonts w:hint="eastAsia"/>
                      <w:color w:val="auto"/>
                      <w:lang w:val="en-US" w:eastAsia="zh-CN"/>
                    </w:rPr>
                    <w:t>/</w:t>
                  </w:r>
                </w:p>
              </w:tc>
              <w:tc>
                <w:tcPr>
                  <w:tcW w:w="737" w:type="pct"/>
                  <w:noWrap w:val="0"/>
                  <w:vAlign w:val="center"/>
                </w:tcPr>
                <w:p w14:paraId="59738978">
                  <w:pPr>
                    <w:pStyle w:val="51"/>
                    <w:suppressLineNumbers w:val="0"/>
                    <w:bidi w:val="0"/>
                    <w:spacing w:before="0" w:beforeAutospacing="0" w:after="0" w:afterAutospacing="0"/>
                    <w:ind w:left="0" w:leftChars="0" w:right="0" w:rightChars="0" w:firstLine="0" w:firstLineChars="0"/>
                    <w:rPr>
                      <w:rFonts w:hint="default" w:eastAsia="宋体"/>
                      <w:color w:val="auto"/>
                      <w:lang w:val="en-US" w:eastAsia="zh-CN"/>
                    </w:rPr>
                  </w:pPr>
                  <w:r>
                    <w:rPr>
                      <w:rFonts w:hint="eastAsia"/>
                      <w:color w:val="auto"/>
                      <w:lang w:val="en-US" w:eastAsia="zh-CN"/>
                    </w:rPr>
                    <w:t>0</w:t>
                  </w:r>
                </w:p>
              </w:tc>
              <w:tc>
                <w:tcPr>
                  <w:tcW w:w="714" w:type="pct"/>
                  <w:noWrap w:val="0"/>
                  <w:vAlign w:val="center"/>
                </w:tcPr>
                <w:p w14:paraId="7F7A199F">
                  <w:pPr>
                    <w:pStyle w:val="51"/>
                    <w:suppressLineNumbers w:val="0"/>
                    <w:bidi w:val="0"/>
                    <w:spacing w:before="0" w:beforeAutospacing="0" w:after="0" w:afterAutospacing="0"/>
                    <w:ind w:left="0" w:leftChars="0" w:right="0" w:rightChars="0" w:firstLine="0" w:firstLineChars="0"/>
                    <w:rPr>
                      <w:rFonts w:hint="default"/>
                      <w:color w:val="auto"/>
                    </w:rPr>
                  </w:pPr>
                  <w:r>
                    <w:rPr>
                      <w:rFonts w:hint="default"/>
                      <w:color w:val="auto"/>
                      <w:lang w:val="en-US" w:eastAsia="zh-CN"/>
                    </w:rPr>
                    <w:t>0</w:t>
                  </w:r>
                </w:p>
              </w:tc>
              <w:tc>
                <w:tcPr>
                  <w:tcW w:w="803" w:type="pct"/>
                  <w:noWrap w:val="0"/>
                  <w:vAlign w:val="center"/>
                </w:tcPr>
                <w:p w14:paraId="6E03DC7F">
                  <w:pPr>
                    <w:pStyle w:val="51"/>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2768</w:t>
                  </w:r>
                </w:p>
              </w:tc>
              <w:tc>
                <w:tcPr>
                  <w:tcW w:w="731" w:type="pct"/>
                  <w:noWrap w:val="0"/>
                  <w:vAlign w:val="center"/>
                </w:tcPr>
                <w:p w14:paraId="39C2723C">
                  <w:pPr>
                    <w:pStyle w:val="51"/>
                    <w:suppressLineNumbers w:val="0"/>
                    <w:bidi w:val="0"/>
                    <w:spacing w:before="0" w:beforeAutospacing="0" w:after="0" w:afterAutospacing="0"/>
                    <w:ind w:left="0" w:right="0"/>
                    <w:rPr>
                      <w:rFonts w:hint="default"/>
                      <w:color w:val="auto"/>
                    </w:rPr>
                  </w:pPr>
                  <w:r>
                    <w:rPr>
                      <w:rFonts w:hint="eastAsia"/>
                      <w:color w:val="auto"/>
                      <w:lang w:val="en-US" w:eastAsia="zh-CN"/>
                    </w:rPr>
                    <w:t>/</w:t>
                  </w:r>
                </w:p>
              </w:tc>
              <w:tc>
                <w:tcPr>
                  <w:tcW w:w="1745" w:type="dxa"/>
                  <w:tcBorders>
                    <w:right w:val="nil"/>
                  </w:tcBorders>
                  <w:noWrap w:val="0"/>
                  <w:vAlign w:val="center"/>
                </w:tcPr>
                <w:p w14:paraId="62C5C216">
                  <w:pPr>
                    <w:pStyle w:val="51"/>
                    <w:suppressLineNumbers w:val="0"/>
                    <w:bidi w:val="0"/>
                    <w:spacing w:before="0" w:beforeAutospacing="0" w:after="0" w:afterAutospacing="0"/>
                    <w:ind w:left="0" w:leftChars="0" w:right="0" w:rightChars="0" w:firstLine="0" w:firstLineChars="0"/>
                    <w:rPr>
                      <w:rFonts w:hint="eastAsia" w:eastAsia="宋体"/>
                      <w:color w:val="auto"/>
                      <w:lang w:val="en-US" w:eastAsia="zh-CN"/>
                    </w:rPr>
                  </w:pPr>
                  <w:r>
                    <w:rPr>
                      <w:rFonts w:hint="eastAsia"/>
                      <w:color w:val="auto"/>
                      <w:lang w:val="en-US" w:eastAsia="zh-CN"/>
                    </w:rPr>
                    <w:t>/</w:t>
                  </w:r>
                </w:p>
              </w:tc>
            </w:tr>
            <w:tr w14:paraId="371DC32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80" w:type="pct"/>
                  <w:tcBorders>
                    <w:left w:val="nil"/>
                  </w:tcBorders>
                  <w:noWrap w:val="0"/>
                  <w:vAlign w:val="center"/>
                </w:tcPr>
                <w:p w14:paraId="6A8592BE">
                  <w:pPr>
                    <w:pStyle w:val="51"/>
                    <w:suppressLineNumbers w:val="0"/>
                    <w:bidi w:val="0"/>
                    <w:spacing w:before="0" w:beforeAutospacing="0" w:after="0" w:afterAutospacing="0"/>
                    <w:ind w:left="0" w:right="0"/>
                    <w:rPr>
                      <w:rFonts w:hint="default"/>
                      <w:color w:val="auto"/>
                    </w:rPr>
                  </w:pPr>
                  <w:r>
                    <w:rPr>
                      <w:rFonts w:hint="default"/>
                      <w:color w:val="auto"/>
                      <w:lang w:val="en-US" w:eastAsia="zh-CN"/>
                    </w:rPr>
                    <w:t>COD</w:t>
                  </w:r>
                </w:p>
              </w:tc>
              <w:tc>
                <w:tcPr>
                  <w:tcW w:w="497" w:type="pct"/>
                  <w:noWrap w:val="0"/>
                  <w:vAlign w:val="center"/>
                </w:tcPr>
                <w:p w14:paraId="74888E66">
                  <w:pPr>
                    <w:pStyle w:val="51"/>
                    <w:suppressLineNumbers w:val="0"/>
                    <w:bidi w:val="0"/>
                    <w:spacing w:before="0" w:beforeAutospacing="0" w:after="0" w:afterAutospacing="0"/>
                    <w:ind w:left="0" w:leftChars="0" w:right="0" w:rightChars="0" w:firstLine="0" w:firstLineChars="0"/>
                    <w:rPr>
                      <w:rFonts w:hint="default"/>
                      <w:color w:val="auto"/>
                    </w:rPr>
                  </w:pPr>
                  <w:r>
                    <w:rPr>
                      <w:rFonts w:hint="default"/>
                      <w:color w:val="auto"/>
                      <w:lang w:val="en-US" w:eastAsia="zh-CN"/>
                    </w:rPr>
                    <w:t>50</w:t>
                  </w:r>
                </w:p>
              </w:tc>
              <w:tc>
                <w:tcPr>
                  <w:tcW w:w="737" w:type="pct"/>
                  <w:noWrap w:val="0"/>
                  <w:vAlign w:val="center"/>
                </w:tcPr>
                <w:p w14:paraId="46E60BDF">
                  <w:pPr>
                    <w:pStyle w:val="51"/>
                    <w:suppressLineNumbers w:val="0"/>
                    <w:bidi w:val="0"/>
                    <w:spacing w:before="0" w:beforeAutospacing="0" w:after="0" w:afterAutospacing="0"/>
                    <w:ind w:left="0" w:leftChars="0" w:right="0" w:rightChars="0" w:firstLine="0" w:firstLineChars="0"/>
                    <w:rPr>
                      <w:rFonts w:hint="default" w:eastAsia="宋体"/>
                      <w:color w:val="auto"/>
                      <w:lang w:val="en-US" w:eastAsia="zh-CN"/>
                    </w:rPr>
                  </w:pPr>
                  <w:r>
                    <w:rPr>
                      <w:rFonts w:hint="eastAsia"/>
                      <w:color w:val="auto"/>
                      <w:lang w:val="en-US" w:eastAsia="zh-CN"/>
                    </w:rPr>
                    <w:t>0</w:t>
                  </w:r>
                </w:p>
              </w:tc>
              <w:tc>
                <w:tcPr>
                  <w:tcW w:w="714" w:type="pct"/>
                  <w:noWrap w:val="0"/>
                  <w:vAlign w:val="center"/>
                </w:tcPr>
                <w:p w14:paraId="6F6770CF">
                  <w:pPr>
                    <w:pStyle w:val="51"/>
                    <w:suppressLineNumbers w:val="0"/>
                    <w:bidi w:val="0"/>
                    <w:spacing w:before="0" w:beforeAutospacing="0" w:after="0" w:afterAutospacing="0"/>
                    <w:ind w:left="0" w:leftChars="0" w:right="0" w:rightChars="0" w:firstLine="0" w:firstLineChars="0"/>
                    <w:rPr>
                      <w:rFonts w:hint="default"/>
                      <w:color w:val="auto"/>
                    </w:rPr>
                  </w:pPr>
                  <w:r>
                    <w:rPr>
                      <w:rFonts w:hint="default"/>
                      <w:color w:val="auto"/>
                      <w:lang w:val="en-US" w:eastAsia="zh-CN"/>
                    </w:rPr>
                    <w:t>0</w:t>
                  </w:r>
                </w:p>
              </w:tc>
              <w:tc>
                <w:tcPr>
                  <w:tcW w:w="803" w:type="pct"/>
                  <w:noWrap w:val="0"/>
                  <w:vAlign w:val="center"/>
                </w:tcPr>
                <w:p w14:paraId="3BB7011C">
                  <w:pPr>
                    <w:pStyle w:val="51"/>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0.1384</w:t>
                  </w:r>
                </w:p>
              </w:tc>
              <w:tc>
                <w:tcPr>
                  <w:tcW w:w="731" w:type="pct"/>
                  <w:noWrap w:val="0"/>
                  <w:vAlign w:val="center"/>
                </w:tcPr>
                <w:p w14:paraId="5BF30CA7">
                  <w:pPr>
                    <w:pStyle w:val="51"/>
                    <w:suppressLineNumbers w:val="0"/>
                    <w:bidi w:val="0"/>
                    <w:spacing w:before="0" w:beforeAutospacing="0" w:after="0" w:afterAutospacing="0"/>
                    <w:ind w:left="0" w:right="0"/>
                    <w:rPr>
                      <w:rFonts w:hint="default"/>
                      <w:color w:val="auto"/>
                    </w:rPr>
                  </w:pPr>
                  <w:r>
                    <w:rPr>
                      <w:rFonts w:hint="eastAsia"/>
                      <w:color w:val="auto"/>
                      <w:lang w:val="en-US" w:eastAsia="zh-CN"/>
                    </w:rPr>
                    <w:t>/</w:t>
                  </w:r>
                </w:p>
              </w:tc>
              <w:tc>
                <w:tcPr>
                  <w:tcW w:w="1745" w:type="dxa"/>
                  <w:tcBorders>
                    <w:right w:val="nil"/>
                  </w:tcBorders>
                  <w:noWrap w:val="0"/>
                  <w:vAlign w:val="center"/>
                </w:tcPr>
                <w:p w14:paraId="661B1E0F">
                  <w:pPr>
                    <w:pStyle w:val="51"/>
                    <w:suppressLineNumbers w:val="0"/>
                    <w:bidi w:val="0"/>
                    <w:spacing w:before="0" w:beforeAutospacing="0" w:after="0" w:afterAutospacing="0"/>
                    <w:ind w:left="0" w:leftChars="0" w:right="0" w:rightChars="0" w:firstLine="0" w:firstLineChars="0"/>
                    <w:rPr>
                      <w:rFonts w:hint="eastAsia" w:eastAsia="宋体"/>
                      <w:color w:val="auto"/>
                      <w:lang w:val="en-US" w:eastAsia="zh-CN"/>
                    </w:rPr>
                  </w:pPr>
                  <w:r>
                    <w:rPr>
                      <w:rFonts w:hint="eastAsia"/>
                      <w:color w:val="auto"/>
                      <w:lang w:val="en-US" w:eastAsia="zh-CN"/>
                    </w:rPr>
                    <w:t>/</w:t>
                  </w:r>
                </w:p>
              </w:tc>
            </w:tr>
            <w:tr w14:paraId="03962B1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80" w:type="pct"/>
                  <w:tcBorders>
                    <w:left w:val="nil"/>
                  </w:tcBorders>
                  <w:noWrap w:val="0"/>
                  <w:vAlign w:val="center"/>
                </w:tcPr>
                <w:p w14:paraId="7C4F1FAF">
                  <w:pPr>
                    <w:pStyle w:val="51"/>
                    <w:suppressLineNumbers w:val="0"/>
                    <w:bidi w:val="0"/>
                    <w:spacing w:before="0" w:beforeAutospacing="0" w:after="0" w:afterAutospacing="0"/>
                    <w:ind w:left="0" w:right="0"/>
                    <w:rPr>
                      <w:rFonts w:hint="default"/>
                      <w:color w:val="auto"/>
                    </w:rPr>
                  </w:pPr>
                  <w:r>
                    <w:rPr>
                      <w:rFonts w:hint="default"/>
                      <w:color w:val="auto"/>
                      <w:lang w:val="en-US" w:eastAsia="zh-CN"/>
                    </w:rPr>
                    <w:t>NH</w:t>
                  </w:r>
                  <w:r>
                    <w:rPr>
                      <w:rFonts w:hint="default"/>
                      <w:color w:val="auto"/>
                      <w:vertAlign w:val="subscript"/>
                      <w:lang w:val="en-US" w:eastAsia="zh-CN"/>
                    </w:rPr>
                    <w:t>3</w:t>
                  </w:r>
                  <w:r>
                    <w:rPr>
                      <w:rFonts w:hint="default"/>
                      <w:color w:val="auto"/>
                      <w:lang w:val="en-US" w:eastAsia="zh-CN"/>
                    </w:rPr>
                    <w:t>-N</w:t>
                  </w:r>
                </w:p>
              </w:tc>
              <w:tc>
                <w:tcPr>
                  <w:tcW w:w="497" w:type="pct"/>
                  <w:noWrap w:val="0"/>
                  <w:vAlign w:val="center"/>
                </w:tcPr>
                <w:p w14:paraId="1612F2E5">
                  <w:pPr>
                    <w:pStyle w:val="51"/>
                    <w:suppressLineNumbers w:val="0"/>
                    <w:bidi w:val="0"/>
                    <w:spacing w:before="0" w:beforeAutospacing="0" w:after="0" w:afterAutospacing="0"/>
                    <w:ind w:left="0" w:leftChars="0" w:right="0" w:rightChars="0" w:firstLine="0" w:firstLineChars="0"/>
                    <w:rPr>
                      <w:rFonts w:hint="default"/>
                      <w:color w:val="auto"/>
                    </w:rPr>
                  </w:pPr>
                  <w:r>
                    <w:rPr>
                      <w:rFonts w:hint="default"/>
                      <w:color w:val="auto"/>
                      <w:lang w:val="en-US" w:eastAsia="zh-CN"/>
                    </w:rPr>
                    <w:t>5</w:t>
                  </w:r>
                </w:p>
              </w:tc>
              <w:tc>
                <w:tcPr>
                  <w:tcW w:w="737" w:type="pct"/>
                  <w:noWrap w:val="0"/>
                  <w:vAlign w:val="center"/>
                </w:tcPr>
                <w:p w14:paraId="065B5FD3">
                  <w:pPr>
                    <w:pStyle w:val="51"/>
                    <w:suppressLineNumbers w:val="0"/>
                    <w:bidi w:val="0"/>
                    <w:spacing w:before="0" w:beforeAutospacing="0" w:after="0" w:afterAutospacing="0"/>
                    <w:ind w:left="0" w:leftChars="0" w:right="0" w:rightChars="0" w:firstLine="0" w:firstLineChars="0"/>
                    <w:rPr>
                      <w:rFonts w:hint="default" w:eastAsia="宋体"/>
                      <w:color w:val="auto"/>
                      <w:lang w:val="en-US" w:eastAsia="zh-CN"/>
                    </w:rPr>
                  </w:pPr>
                  <w:r>
                    <w:rPr>
                      <w:rFonts w:hint="eastAsia"/>
                      <w:color w:val="auto"/>
                      <w:lang w:val="en-US" w:eastAsia="zh-CN"/>
                    </w:rPr>
                    <w:t>0</w:t>
                  </w:r>
                </w:p>
              </w:tc>
              <w:tc>
                <w:tcPr>
                  <w:tcW w:w="714" w:type="pct"/>
                  <w:noWrap w:val="0"/>
                  <w:vAlign w:val="center"/>
                </w:tcPr>
                <w:p w14:paraId="462E1DF5">
                  <w:pPr>
                    <w:pStyle w:val="51"/>
                    <w:suppressLineNumbers w:val="0"/>
                    <w:bidi w:val="0"/>
                    <w:spacing w:before="0" w:beforeAutospacing="0" w:after="0" w:afterAutospacing="0"/>
                    <w:ind w:left="0" w:leftChars="0" w:right="0" w:rightChars="0" w:firstLine="0" w:firstLineChars="0"/>
                    <w:rPr>
                      <w:rFonts w:hint="default"/>
                      <w:color w:val="auto"/>
                    </w:rPr>
                  </w:pPr>
                  <w:r>
                    <w:rPr>
                      <w:rFonts w:hint="default"/>
                      <w:color w:val="auto"/>
                      <w:lang w:val="en-US" w:eastAsia="zh-CN"/>
                    </w:rPr>
                    <w:t>0</w:t>
                  </w:r>
                </w:p>
              </w:tc>
              <w:tc>
                <w:tcPr>
                  <w:tcW w:w="803" w:type="pct"/>
                  <w:noWrap w:val="0"/>
                  <w:vAlign w:val="center"/>
                </w:tcPr>
                <w:p w14:paraId="3F46DBF7">
                  <w:pPr>
                    <w:pStyle w:val="51"/>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0.0138</w:t>
                  </w:r>
                </w:p>
              </w:tc>
              <w:tc>
                <w:tcPr>
                  <w:tcW w:w="731" w:type="pct"/>
                  <w:noWrap w:val="0"/>
                  <w:vAlign w:val="center"/>
                </w:tcPr>
                <w:p w14:paraId="66AE5A2F">
                  <w:pPr>
                    <w:pStyle w:val="51"/>
                    <w:suppressLineNumbers w:val="0"/>
                    <w:bidi w:val="0"/>
                    <w:spacing w:before="0" w:beforeAutospacing="0" w:after="0" w:afterAutospacing="0"/>
                    <w:ind w:left="0" w:right="0"/>
                    <w:rPr>
                      <w:rFonts w:hint="default"/>
                      <w:color w:val="auto"/>
                    </w:rPr>
                  </w:pPr>
                  <w:r>
                    <w:rPr>
                      <w:rFonts w:hint="eastAsia"/>
                      <w:color w:val="auto"/>
                      <w:lang w:val="en-US" w:eastAsia="zh-CN"/>
                    </w:rPr>
                    <w:t>/</w:t>
                  </w:r>
                </w:p>
              </w:tc>
              <w:tc>
                <w:tcPr>
                  <w:tcW w:w="1745" w:type="dxa"/>
                  <w:tcBorders>
                    <w:right w:val="nil"/>
                  </w:tcBorders>
                  <w:noWrap w:val="0"/>
                  <w:vAlign w:val="center"/>
                </w:tcPr>
                <w:p w14:paraId="55EB6246">
                  <w:pPr>
                    <w:pStyle w:val="51"/>
                    <w:suppressLineNumbers w:val="0"/>
                    <w:bidi w:val="0"/>
                    <w:spacing w:before="0" w:beforeAutospacing="0" w:after="0" w:afterAutospacing="0"/>
                    <w:ind w:left="0" w:leftChars="0" w:right="0" w:rightChars="0" w:firstLine="0" w:firstLineChars="0"/>
                    <w:rPr>
                      <w:rFonts w:hint="eastAsia" w:eastAsia="宋体"/>
                      <w:color w:val="auto"/>
                      <w:lang w:val="en-US" w:eastAsia="zh-CN"/>
                    </w:rPr>
                  </w:pPr>
                  <w:r>
                    <w:rPr>
                      <w:rFonts w:hint="eastAsia"/>
                      <w:color w:val="auto"/>
                      <w:lang w:val="en-US" w:eastAsia="zh-CN"/>
                    </w:rPr>
                    <w:t>/</w:t>
                  </w:r>
                </w:p>
              </w:tc>
            </w:tr>
            <w:tr w14:paraId="4B58755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0" w:type="pct"/>
                  <w:tcBorders>
                    <w:left w:val="nil"/>
                  </w:tcBorders>
                  <w:noWrap w:val="0"/>
                  <w:vAlign w:val="center"/>
                </w:tcPr>
                <w:p w14:paraId="7E64DF1B">
                  <w:pPr>
                    <w:pStyle w:val="51"/>
                    <w:suppressLineNumbers w:val="0"/>
                    <w:bidi w:val="0"/>
                    <w:spacing w:before="0" w:beforeAutospacing="0" w:after="0" w:afterAutospacing="0"/>
                    <w:ind w:left="0" w:right="0"/>
                    <w:rPr>
                      <w:rFonts w:hint="eastAsia"/>
                      <w:color w:val="auto"/>
                    </w:rPr>
                  </w:pPr>
                  <w:r>
                    <w:rPr>
                      <w:rFonts w:hint="eastAsia"/>
                      <w:color w:val="auto"/>
                      <w:lang w:val="en-US" w:eastAsia="zh-CN"/>
                    </w:rPr>
                    <w:t>生产废水</w:t>
                  </w:r>
                </w:p>
              </w:tc>
              <w:tc>
                <w:tcPr>
                  <w:tcW w:w="497" w:type="pct"/>
                  <w:noWrap w:val="0"/>
                  <w:vAlign w:val="center"/>
                </w:tcPr>
                <w:p w14:paraId="297B369F">
                  <w:pPr>
                    <w:pStyle w:val="51"/>
                    <w:suppressLineNumbers w:val="0"/>
                    <w:bidi w:val="0"/>
                    <w:spacing w:before="0" w:beforeAutospacing="0" w:after="0" w:afterAutospacing="0"/>
                    <w:ind w:left="0" w:leftChars="0" w:right="0" w:rightChars="0" w:firstLine="0" w:firstLineChars="0"/>
                    <w:rPr>
                      <w:rFonts w:hint="default"/>
                      <w:color w:val="auto"/>
                    </w:rPr>
                  </w:pPr>
                  <w:r>
                    <w:rPr>
                      <w:rFonts w:hint="eastAsia"/>
                      <w:color w:val="auto"/>
                      <w:lang w:val="en-US" w:eastAsia="zh-CN"/>
                    </w:rPr>
                    <w:t>/</w:t>
                  </w:r>
                </w:p>
              </w:tc>
              <w:tc>
                <w:tcPr>
                  <w:tcW w:w="737" w:type="pct"/>
                  <w:noWrap w:val="0"/>
                  <w:vAlign w:val="center"/>
                </w:tcPr>
                <w:p w14:paraId="15B5A5A9">
                  <w:pPr>
                    <w:pStyle w:val="51"/>
                    <w:suppressLineNumbers w:val="0"/>
                    <w:bidi w:val="0"/>
                    <w:spacing w:before="0" w:beforeAutospacing="0" w:after="0" w:afterAutospacing="0"/>
                    <w:ind w:left="0" w:leftChars="0" w:right="0" w:rightChars="0" w:firstLine="0" w:firstLineChars="0"/>
                    <w:rPr>
                      <w:rFonts w:hint="default" w:eastAsia="宋体"/>
                      <w:color w:val="auto"/>
                      <w:lang w:val="en-US" w:eastAsia="zh-CN"/>
                    </w:rPr>
                  </w:pPr>
                  <w:r>
                    <w:rPr>
                      <w:rFonts w:hint="eastAsia"/>
                      <w:color w:val="auto"/>
                      <w:lang w:val="en-US" w:eastAsia="zh-CN"/>
                    </w:rPr>
                    <w:t>0</w:t>
                  </w:r>
                </w:p>
              </w:tc>
              <w:tc>
                <w:tcPr>
                  <w:tcW w:w="714" w:type="pct"/>
                  <w:noWrap w:val="0"/>
                  <w:vAlign w:val="center"/>
                </w:tcPr>
                <w:p w14:paraId="1F6F888B">
                  <w:pPr>
                    <w:pStyle w:val="51"/>
                    <w:suppressLineNumbers w:val="0"/>
                    <w:bidi w:val="0"/>
                    <w:spacing w:before="0" w:beforeAutospacing="0" w:after="0" w:afterAutospacing="0"/>
                    <w:ind w:left="0" w:leftChars="0" w:right="0" w:rightChars="0" w:firstLine="0" w:firstLineChars="0"/>
                    <w:rPr>
                      <w:rFonts w:hint="default"/>
                      <w:color w:val="auto"/>
                    </w:rPr>
                  </w:pPr>
                  <w:r>
                    <w:rPr>
                      <w:rFonts w:hint="default"/>
                      <w:color w:val="auto"/>
                      <w:lang w:val="en-US" w:eastAsia="zh-CN"/>
                    </w:rPr>
                    <w:t>0</w:t>
                  </w:r>
                </w:p>
              </w:tc>
              <w:tc>
                <w:tcPr>
                  <w:tcW w:w="803" w:type="pct"/>
                  <w:noWrap w:val="0"/>
                  <w:vAlign w:val="center"/>
                </w:tcPr>
                <w:p w14:paraId="65BD7AF9">
                  <w:pPr>
                    <w:pStyle w:val="51"/>
                    <w:suppressLineNumbers w:val="0"/>
                    <w:bidi w:val="0"/>
                    <w:spacing w:before="0" w:beforeAutospacing="0" w:after="0" w:afterAutospacing="0"/>
                    <w:ind w:left="0" w:right="0"/>
                    <w:rPr>
                      <w:rFonts w:hint="default" w:eastAsia="宋体"/>
                      <w:color w:val="auto"/>
                      <w:lang w:val="en-US" w:eastAsia="zh-CN"/>
                    </w:rPr>
                  </w:pPr>
                  <w:r>
                    <w:rPr>
                      <w:rFonts w:hint="eastAsia" w:cs="Times New Roman"/>
                      <w:color w:val="auto"/>
                      <w:kern w:val="0"/>
                      <w:sz w:val="21"/>
                      <w:szCs w:val="20"/>
                      <w:lang w:val="en-US" w:eastAsia="zh-CN" w:bidi="ar-SA"/>
                    </w:rPr>
                    <w:t>2315.4</w:t>
                  </w:r>
                </w:p>
              </w:tc>
              <w:tc>
                <w:tcPr>
                  <w:tcW w:w="731" w:type="pct"/>
                  <w:noWrap w:val="0"/>
                  <w:vAlign w:val="center"/>
                </w:tcPr>
                <w:p w14:paraId="0C0BDF08">
                  <w:pPr>
                    <w:pStyle w:val="51"/>
                    <w:suppressLineNumbers w:val="0"/>
                    <w:bidi w:val="0"/>
                    <w:spacing w:before="0" w:beforeAutospacing="0" w:after="0" w:afterAutospacing="0"/>
                    <w:ind w:left="0" w:right="0"/>
                    <w:rPr>
                      <w:rFonts w:hint="default"/>
                      <w:color w:val="auto"/>
                    </w:rPr>
                  </w:pPr>
                  <w:r>
                    <w:rPr>
                      <w:rFonts w:hint="eastAsia"/>
                      <w:color w:val="auto"/>
                      <w:lang w:val="en-US" w:eastAsia="zh-CN"/>
                    </w:rPr>
                    <w:t>/</w:t>
                  </w:r>
                </w:p>
              </w:tc>
              <w:tc>
                <w:tcPr>
                  <w:tcW w:w="1745" w:type="dxa"/>
                  <w:tcBorders>
                    <w:right w:val="nil"/>
                  </w:tcBorders>
                  <w:noWrap w:val="0"/>
                  <w:vAlign w:val="center"/>
                </w:tcPr>
                <w:p w14:paraId="764580AD">
                  <w:pPr>
                    <w:pStyle w:val="51"/>
                    <w:suppressLineNumbers w:val="0"/>
                    <w:bidi w:val="0"/>
                    <w:spacing w:before="0" w:beforeAutospacing="0" w:after="0" w:afterAutospacing="0"/>
                    <w:ind w:left="0" w:leftChars="0" w:right="0" w:rightChars="0" w:firstLine="0" w:firstLineChars="0"/>
                    <w:rPr>
                      <w:rFonts w:hint="default"/>
                      <w:color w:val="auto"/>
                      <w:lang w:val="en-US" w:eastAsia="zh-CN"/>
                    </w:rPr>
                  </w:pPr>
                  <w:r>
                    <w:rPr>
                      <w:rFonts w:hint="eastAsia" w:cs="Times New Roman"/>
                      <w:color w:val="auto"/>
                      <w:kern w:val="0"/>
                      <w:sz w:val="21"/>
                      <w:szCs w:val="20"/>
                      <w:lang w:val="en-US" w:eastAsia="zh-CN" w:bidi="ar-SA"/>
                    </w:rPr>
                    <w:t>2315.4</w:t>
                  </w:r>
                </w:p>
              </w:tc>
            </w:tr>
            <w:tr w14:paraId="30C7898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80" w:type="pct"/>
                  <w:tcBorders>
                    <w:left w:val="nil"/>
                  </w:tcBorders>
                  <w:noWrap w:val="0"/>
                  <w:vAlign w:val="center"/>
                </w:tcPr>
                <w:p w14:paraId="3BADD77E">
                  <w:pPr>
                    <w:pStyle w:val="51"/>
                    <w:suppressLineNumbers w:val="0"/>
                    <w:bidi w:val="0"/>
                    <w:spacing w:before="0" w:beforeAutospacing="0" w:after="0" w:afterAutospacing="0"/>
                    <w:ind w:left="0" w:right="0"/>
                    <w:rPr>
                      <w:rFonts w:hint="default"/>
                      <w:color w:val="auto"/>
                    </w:rPr>
                  </w:pPr>
                  <w:r>
                    <w:rPr>
                      <w:rFonts w:hint="default"/>
                      <w:color w:val="auto"/>
                      <w:lang w:val="en-US" w:eastAsia="zh-CN"/>
                    </w:rPr>
                    <w:t>COD</w:t>
                  </w:r>
                </w:p>
              </w:tc>
              <w:tc>
                <w:tcPr>
                  <w:tcW w:w="497" w:type="pct"/>
                  <w:noWrap w:val="0"/>
                  <w:vAlign w:val="center"/>
                </w:tcPr>
                <w:p w14:paraId="4A19F882">
                  <w:pPr>
                    <w:pStyle w:val="51"/>
                    <w:suppressLineNumbers w:val="0"/>
                    <w:bidi w:val="0"/>
                    <w:spacing w:before="0" w:beforeAutospacing="0" w:after="0" w:afterAutospacing="0"/>
                    <w:ind w:left="0" w:leftChars="0" w:right="0" w:rightChars="0" w:firstLine="0" w:firstLineChars="0"/>
                    <w:rPr>
                      <w:rFonts w:hint="default"/>
                      <w:color w:val="auto"/>
                    </w:rPr>
                  </w:pPr>
                  <w:r>
                    <w:rPr>
                      <w:rFonts w:hint="default"/>
                      <w:color w:val="auto"/>
                      <w:lang w:val="en-US" w:eastAsia="zh-CN"/>
                    </w:rPr>
                    <w:t>50</w:t>
                  </w:r>
                </w:p>
              </w:tc>
              <w:tc>
                <w:tcPr>
                  <w:tcW w:w="737" w:type="pct"/>
                  <w:noWrap w:val="0"/>
                  <w:vAlign w:val="center"/>
                </w:tcPr>
                <w:p w14:paraId="639127BA">
                  <w:pPr>
                    <w:pStyle w:val="51"/>
                    <w:suppressLineNumbers w:val="0"/>
                    <w:bidi w:val="0"/>
                    <w:spacing w:before="0" w:beforeAutospacing="0" w:after="0" w:afterAutospacing="0"/>
                    <w:ind w:left="0" w:leftChars="0" w:right="0" w:rightChars="0" w:firstLine="0" w:firstLineChars="0"/>
                    <w:rPr>
                      <w:rFonts w:hint="default" w:eastAsia="宋体"/>
                      <w:color w:val="auto"/>
                      <w:lang w:val="en-US" w:eastAsia="zh-CN"/>
                    </w:rPr>
                  </w:pPr>
                  <w:r>
                    <w:rPr>
                      <w:rFonts w:hint="eastAsia"/>
                      <w:color w:val="auto"/>
                      <w:lang w:val="en-US" w:eastAsia="zh-CN"/>
                    </w:rPr>
                    <w:t>0</w:t>
                  </w:r>
                </w:p>
              </w:tc>
              <w:tc>
                <w:tcPr>
                  <w:tcW w:w="714" w:type="pct"/>
                  <w:noWrap w:val="0"/>
                  <w:vAlign w:val="center"/>
                </w:tcPr>
                <w:p w14:paraId="63F1F924">
                  <w:pPr>
                    <w:pStyle w:val="51"/>
                    <w:suppressLineNumbers w:val="0"/>
                    <w:bidi w:val="0"/>
                    <w:spacing w:before="0" w:beforeAutospacing="0" w:after="0" w:afterAutospacing="0"/>
                    <w:ind w:left="0" w:leftChars="0" w:right="0" w:rightChars="0" w:firstLine="0" w:firstLineChars="0"/>
                    <w:rPr>
                      <w:rFonts w:hint="default"/>
                      <w:color w:val="auto"/>
                    </w:rPr>
                  </w:pPr>
                  <w:r>
                    <w:rPr>
                      <w:rFonts w:hint="default"/>
                      <w:color w:val="auto"/>
                      <w:lang w:val="en-US" w:eastAsia="zh-CN"/>
                    </w:rPr>
                    <w:t>0</w:t>
                  </w:r>
                </w:p>
              </w:tc>
              <w:tc>
                <w:tcPr>
                  <w:tcW w:w="803" w:type="pct"/>
                  <w:noWrap w:val="0"/>
                  <w:vAlign w:val="center"/>
                </w:tcPr>
                <w:p w14:paraId="57D4E810">
                  <w:pPr>
                    <w:pStyle w:val="51"/>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0.1158</w:t>
                  </w:r>
                </w:p>
              </w:tc>
              <w:tc>
                <w:tcPr>
                  <w:tcW w:w="1231" w:type="dxa"/>
                  <w:noWrap w:val="0"/>
                  <w:vAlign w:val="center"/>
                </w:tcPr>
                <w:p w14:paraId="660511C2">
                  <w:pPr>
                    <w:pStyle w:val="51"/>
                    <w:suppressLineNumbers w:val="0"/>
                    <w:bidi w:val="0"/>
                    <w:spacing w:before="0" w:beforeAutospacing="0" w:after="0" w:afterAutospacing="0"/>
                    <w:ind w:left="0" w:leftChars="0" w:right="0" w:rightChars="0" w:firstLine="0" w:firstLineChars="0"/>
                    <w:rPr>
                      <w:rFonts w:hint="default" w:eastAsia="宋体"/>
                      <w:color w:val="auto"/>
                      <w:lang w:val="en-US" w:eastAsia="zh-CN"/>
                    </w:rPr>
                  </w:pPr>
                  <w:r>
                    <w:rPr>
                      <w:rFonts w:hint="eastAsia"/>
                      <w:color w:val="auto"/>
                      <w:lang w:val="en-US" w:eastAsia="zh-CN"/>
                    </w:rPr>
                    <w:t>0.1158</w:t>
                  </w:r>
                </w:p>
              </w:tc>
              <w:tc>
                <w:tcPr>
                  <w:tcW w:w="1745" w:type="dxa"/>
                  <w:tcBorders>
                    <w:right w:val="nil"/>
                  </w:tcBorders>
                  <w:noWrap w:val="0"/>
                  <w:vAlign w:val="center"/>
                </w:tcPr>
                <w:p w14:paraId="057F23B1">
                  <w:pPr>
                    <w:pStyle w:val="51"/>
                    <w:suppressLineNumbers w:val="0"/>
                    <w:bidi w:val="0"/>
                    <w:spacing w:before="0" w:beforeAutospacing="0" w:after="0" w:afterAutospacing="0"/>
                    <w:ind w:left="0" w:leftChars="0" w:right="0" w:rightChars="0" w:firstLine="0" w:firstLineChars="0"/>
                    <w:rPr>
                      <w:rFonts w:hint="default" w:eastAsia="宋体"/>
                      <w:color w:val="auto"/>
                      <w:lang w:val="en-US" w:eastAsia="zh-CN"/>
                    </w:rPr>
                  </w:pPr>
                  <w:r>
                    <w:rPr>
                      <w:rFonts w:hint="eastAsia"/>
                      <w:color w:val="auto"/>
                      <w:lang w:val="en-US" w:eastAsia="zh-CN"/>
                    </w:rPr>
                    <w:t>0.1158</w:t>
                  </w:r>
                </w:p>
              </w:tc>
            </w:tr>
            <w:tr w14:paraId="0F3C677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80" w:type="pct"/>
                  <w:tcBorders>
                    <w:left w:val="nil"/>
                    <w:bottom w:val="single" w:color="000000" w:sz="12" w:space="0"/>
                  </w:tcBorders>
                  <w:noWrap w:val="0"/>
                  <w:vAlign w:val="center"/>
                </w:tcPr>
                <w:p w14:paraId="199E9E7E">
                  <w:pPr>
                    <w:pStyle w:val="51"/>
                    <w:suppressLineNumbers w:val="0"/>
                    <w:bidi w:val="0"/>
                    <w:spacing w:before="0" w:beforeAutospacing="0" w:after="0" w:afterAutospacing="0"/>
                    <w:ind w:left="0" w:right="0"/>
                    <w:rPr>
                      <w:rFonts w:hint="default"/>
                      <w:color w:val="auto"/>
                    </w:rPr>
                  </w:pPr>
                  <w:r>
                    <w:rPr>
                      <w:rFonts w:hint="default"/>
                      <w:color w:val="auto"/>
                      <w:lang w:val="en-US" w:eastAsia="zh-CN"/>
                    </w:rPr>
                    <w:t>NH</w:t>
                  </w:r>
                  <w:r>
                    <w:rPr>
                      <w:rFonts w:hint="default"/>
                      <w:color w:val="auto"/>
                      <w:vertAlign w:val="subscript"/>
                      <w:lang w:val="en-US" w:eastAsia="zh-CN"/>
                    </w:rPr>
                    <w:t>3</w:t>
                  </w:r>
                  <w:r>
                    <w:rPr>
                      <w:rFonts w:hint="default"/>
                      <w:color w:val="auto"/>
                      <w:lang w:val="en-US" w:eastAsia="zh-CN"/>
                    </w:rPr>
                    <w:t>-N</w:t>
                  </w:r>
                </w:p>
              </w:tc>
              <w:tc>
                <w:tcPr>
                  <w:tcW w:w="497" w:type="pct"/>
                  <w:tcBorders>
                    <w:bottom w:val="single" w:color="000000" w:sz="12" w:space="0"/>
                  </w:tcBorders>
                  <w:noWrap w:val="0"/>
                  <w:vAlign w:val="center"/>
                </w:tcPr>
                <w:p w14:paraId="2C3E4E5F">
                  <w:pPr>
                    <w:pStyle w:val="51"/>
                    <w:suppressLineNumbers w:val="0"/>
                    <w:bidi w:val="0"/>
                    <w:spacing w:before="0" w:beforeAutospacing="0" w:after="0" w:afterAutospacing="0"/>
                    <w:ind w:left="0" w:leftChars="0" w:right="0" w:rightChars="0" w:firstLine="0" w:firstLineChars="0"/>
                    <w:rPr>
                      <w:rFonts w:hint="default"/>
                      <w:color w:val="auto"/>
                    </w:rPr>
                  </w:pPr>
                  <w:r>
                    <w:rPr>
                      <w:rFonts w:hint="default"/>
                      <w:color w:val="auto"/>
                      <w:lang w:val="en-US" w:eastAsia="zh-CN"/>
                    </w:rPr>
                    <w:t>5</w:t>
                  </w:r>
                </w:p>
              </w:tc>
              <w:tc>
                <w:tcPr>
                  <w:tcW w:w="737" w:type="pct"/>
                  <w:tcBorders>
                    <w:bottom w:val="single" w:color="000000" w:sz="12" w:space="0"/>
                  </w:tcBorders>
                  <w:noWrap w:val="0"/>
                  <w:vAlign w:val="center"/>
                </w:tcPr>
                <w:p w14:paraId="7257D200">
                  <w:pPr>
                    <w:pStyle w:val="51"/>
                    <w:suppressLineNumbers w:val="0"/>
                    <w:bidi w:val="0"/>
                    <w:spacing w:before="0" w:beforeAutospacing="0" w:after="0" w:afterAutospacing="0"/>
                    <w:ind w:left="0" w:leftChars="0" w:right="0" w:rightChars="0" w:firstLine="0" w:firstLineChars="0"/>
                    <w:rPr>
                      <w:rFonts w:hint="default" w:eastAsia="宋体"/>
                      <w:color w:val="auto"/>
                      <w:lang w:val="en-US" w:eastAsia="zh-CN"/>
                    </w:rPr>
                  </w:pPr>
                  <w:r>
                    <w:rPr>
                      <w:rFonts w:hint="eastAsia"/>
                      <w:color w:val="auto"/>
                      <w:lang w:val="en-US" w:eastAsia="zh-CN"/>
                    </w:rPr>
                    <w:t>0</w:t>
                  </w:r>
                </w:p>
              </w:tc>
              <w:tc>
                <w:tcPr>
                  <w:tcW w:w="714" w:type="pct"/>
                  <w:tcBorders>
                    <w:bottom w:val="single" w:color="000000" w:sz="12" w:space="0"/>
                  </w:tcBorders>
                  <w:noWrap w:val="0"/>
                  <w:vAlign w:val="center"/>
                </w:tcPr>
                <w:p w14:paraId="1B7177EA">
                  <w:pPr>
                    <w:pStyle w:val="51"/>
                    <w:suppressLineNumbers w:val="0"/>
                    <w:bidi w:val="0"/>
                    <w:spacing w:before="0" w:beforeAutospacing="0" w:after="0" w:afterAutospacing="0"/>
                    <w:ind w:left="0" w:leftChars="0" w:right="0" w:rightChars="0" w:firstLine="0" w:firstLineChars="0"/>
                    <w:rPr>
                      <w:rFonts w:hint="default"/>
                      <w:color w:val="auto"/>
                    </w:rPr>
                  </w:pPr>
                  <w:r>
                    <w:rPr>
                      <w:rFonts w:hint="default"/>
                      <w:color w:val="auto"/>
                      <w:lang w:val="en-US" w:eastAsia="zh-CN"/>
                    </w:rPr>
                    <w:t>0</w:t>
                  </w:r>
                </w:p>
              </w:tc>
              <w:tc>
                <w:tcPr>
                  <w:tcW w:w="803" w:type="pct"/>
                  <w:tcBorders>
                    <w:bottom w:val="single" w:color="000000" w:sz="12" w:space="0"/>
                  </w:tcBorders>
                  <w:noWrap w:val="0"/>
                  <w:vAlign w:val="center"/>
                </w:tcPr>
                <w:p w14:paraId="12F8F1F4">
                  <w:pPr>
                    <w:pStyle w:val="51"/>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0.0116</w:t>
                  </w:r>
                </w:p>
              </w:tc>
              <w:tc>
                <w:tcPr>
                  <w:tcW w:w="1231" w:type="dxa"/>
                  <w:tcBorders>
                    <w:bottom w:val="single" w:color="000000" w:sz="12" w:space="0"/>
                  </w:tcBorders>
                  <w:noWrap w:val="0"/>
                  <w:vAlign w:val="center"/>
                </w:tcPr>
                <w:p w14:paraId="1380F8E1">
                  <w:pPr>
                    <w:pStyle w:val="51"/>
                    <w:suppressLineNumbers w:val="0"/>
                    <w:bidi w:val="0"/>
                    <w:spacing w:before="0" w:beforeAutospacing="0" w:after="0" w:afterAutospacing="0"/>
                    <w:ind w:left="0" w:leftChars="0" w:right="0" w:rightChars="0" w:firstLine="0" w:firstLineChars="0"/>
                    <w:rPr>
                      <w:rFonts w:hint="default" w:eastAsia="宋体"/>
                      <w:color w:val="auto"/>
                      <w:lang w:val="en-US" w:eastAsia="zh-CN"/>
                    </w:rPr>
                  </w:pPr>
                  <w:r>
                    <w:rPr>
                      <w:rFonts w:hint="eastAsia"/>
                      <w:color w:val="auto"/>
                      <w:lang w:val="en-US" w:eastAsia="zh-CN"/>
                    </w:rPr>
                    <w:t>0.0116</w:t>
                  </w:r>
                </w:p>
              </w:tc>
              <w:tc>
                <w:tcPr>
                  <w:tcW w:w="1745" w:type="dxa"/>
                  <w:tcBorders>
                    <w:bottom w:val="single" w:color="000000" w:sz="12" w:space="0"/>
                    <w:right w:val="nil"/>
                  </w:tcBorders>
                  <w:noWrap w:val="0"/>
                  <w:vAlign w:val="center"/>
                </w:tcPr>
                <w:p w14:paraId="5CAA3DA5">
                  <w:pPr>
                    <w:pStyle w:val="51"/>
                    <w:suppressLineNumbers w:val="0"/>
                    <w:bidi w:val="0"/>
                    <w:spacing w:before="0" w:beforeAutospacing="0" w:after="0" w:afterAutospacing="0"/>
                    <w:ind w:left="0" w:leftChars="0" w:right="0" w:rightChars="0" w:firstLine="0" w:firstLineChars="0"/>
                    <w:rPr>
                      <w:rFonts w:hint="default" w:eastAsia="宋体"/>
                      <w:color w:val="auto"/>
                      <w:lang w:val="en-US" w:eastAsia="zh-CN"/>
                    </w:rPr>
                  </w:pPr>
                  <w:r>
                    <w:rPr>
                      <w:rFonts w:hint="eastAsia"/>
                      <w:color w:val="auto"/>
                      <w:lang w:val="en-US" w:eastAsia="zh-CN"/>
                    </w:rPr>
                    <w:t>0.0116</w:t>
                  </w:r>
                </w:p>
              </w:tc>
            </w:tr>
          </w:tbl>
          <w:p w14:paraId="32330C6D">
            <w:pPr>
              <w:pStyle w:val="25"/>
              <w:bidi w:val="0"/>
              <w:rPr>
                <w:rFonts w:hint="eastAsia" w:eastAsia="宋体"/>
                <w:color w:val="auto"/>
                <w:highlight w:val="none"/>
                <w:lang w:val="en-US" w:eastAsia="zh-CN"/>
              </w:rPr>
            </w:pPr>
            <w:r>
              <w:rPr>
                <w:rFonts w:hint="eastAsia"/>
                <w:color w:val="auto"/>
                <w:highlight w:val="none"/>
              </w:rPr>
              <w:t>根据福建省环保厅关于印发《福建省主要污染物排污权指标核定管理办法（试行）》的通知（闽环发</w:t>
            </w:r>
            <w:r>
              <w:rPr>
                <w:rFonts w:hint="eastAsia"/>
                <w:color w:val="auto"/>
                <w:highlight w:val="none"/>
                <w:lang w:eastAsia="zh-CN"/>
              </w:rPr>
              <w:t>〔2014〕12号</w:t>
            </w:r>
            <w:r>
              <w:rPr>
                <w:rFonts w:hint="eastAsia"/>
                <w:color w:val="auto"/>
                <w:highlight w:val="none"/>
              </w:rPr>
              <w:t>），生活污水排放暂不需要购买相应的排污权指标，因此，</w:t>
            </w:r>
            <w:r>
              <w:rPr>
                <w:rFonts w:hint="eastAsia"/>
                <w:color w:val="auto"/>
                <w:highlight w:val="none"/>
                <w:lang w:val="en-US" w:eastAsia="zh-CN"/>
              </w:rPr>
              <w:t>生活污水</w:t>
            </w:r>
            <w:r>
              <w:rPr>
                <w:rFonts w:hint="eastAsia"/>
                <w:color w:val="auto"/>
                <w:highlight w:val="none"/>
              </w:rPr>
              <w:t>无需申请总量控制指标。</w:t>
            </w:r>
            <w:r>
              <w:rPr>
                <w:rFonts w:hint="eastAsia"/>
                <w:color w:val="auto"/>
                <w:highlight w:val="none"/>
                <w:lang w:val="en-US" w:eastAsia="zh-CN"/>
              </w:rPr>
              <w:t>本次项目需申请购买</w:t>
            </w:r>
            <w:r>
              <w:rPr>
                <w:rFonts w:hint="eastAsia"/>
                <w:color w:val="auto"/>
                <w:highlight w:val="none"/>
              </w:rPr>
              <w:t>COD、NH</w:t>
            </w:r>
            <w:r>
              <w:rPr>
                <w:rFonts w:hint="eastAsia"/>
                <w:color w:val="auto"/>
                <w:highlight w:val="none"/>
                <w:vertAlign w:val="subscript"/>
              </w:rPr>
              <w:t>3</w:t>
            </w:r>
            <w:r>
              <w:rPr>
                <w:rFonts w:hint="eastAsia"/>
                <w:color w:val="auto"/>
                <w:highlight w:val="none"/>
              </w:rPr>
              <w:t>-N总量</w:t>
            </w:r>
            <w:r>
              <w:rPr>
                <w:rFonts w:hint="eastAsia"/>
                <w:color w:val="auto"/>
                <w:highlight w:val="none"/>
                <w:lang w:val="en-US" w:eastAsia="zh-CN"/>
              </w:rPr>
              <w:t>0.1038t/a、0.0104t/a。</w:t>
            </w:r>
          </w:p>
          <w:p w14:paraId="2905DDB8">
            <w:pPr>
              <w:pStyle w:val="4"/>
              <w:bidi w:val="0"/>
              <w:rPr>
                <w:rFonts w:hint="eastAsia"/>
                <w:color w:val="auto"/>
              </w:rPr>
            </w:pPr>
            <w:bookmarkStart w:id="57" w:name="_Toc14425"/>
            <w:r>
              <w:rPr>
                <w:rFonts w:hint="eastAsia"/>
                <w:color w:val="auto"/>
              </w:rPr>
              <w:t>3.8.2废气总量</w:t>
            </w:r>
            <w:bookmarkEnd w:id="57"/>
          </w:p>
          <w:p w14:paraId="329D518E">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b/>
                <w:color w:val="auto"/>
                <w:sz w:val="24"/>
                <w:szCs w:val="24"/>
                <w:highlight w:val="none"/>
              </w:rPr>
            </w:pPr>
            <w:r>
              <w:rPr>
                <w:rFonts w:hint="eastAsia" w:ascii="Times New Roman" w:hAnsi="Times New Roman" w:eastAsia="宋体" w:cs="Times New Roman"/>
                <w:color w:val="auto"/>
                <w:sz w:val="24"/>
                <w:szCs w:val="24"/>
                <w:highlight w:val="none"/>
                <w:lang w:val="en-US" w:eastAsia="zh-CN"/>
              </w:rPr>
              <w:t>本项目</w:t>
            </w:r>
            <w:r>
              <w:rPr>
                <w:rFonts w:hint="default" w:ascii="Times New Roman" w:hAnsi="Times New Roman" w:eastAsia="宋体" w:cs="Times New Roman"/>
                <w:color w:val="auto"/>
                <w:sz w:val="24"/>
                <w:szCs w:val="24"/>
                <w:highlight w:val="none"/>
              </w:rPr>
              <w:t>废气污染物主要为非甲烷总烃，项目废气污染物排放总量指标详见表</w:t>
            </w:r>
            <w:r>
              <w:rPr>
                <w:rFonts w:hint="default" w:ascii="Times New Roman" w:hAnsi="Times New Roman" w:eastAsia="宋体" w:cs="Times New Roman"/>
                <w:color w:val="auto"/>
                <w:sz w:val="24"/>
                <w:szCs w:val="24"/>
                <w:highlight w:val="none"/>
                <w:lang w:val="en-US" w:eastAsia="zh-CN"/>
              </w:rPr>
              <w:t>3.</w:t>
            </w:r>
            <w:r>
              <w:rPr>
                <w:rFonts w:hint="eastAsia"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w:t>
            </w:r>
          </w:p>
          <w:p w14:paraId="6BF99977">
            <w:pPr>
              <w:widowControl w:val="0"/>
              <w:spacing w:line="240" w:lineRule="auto"/>
              <w:ind w:firstLine="0" w:firstLineChars="0"/>
              <w:jc w:val="center"/>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rPr>
              <w:t>表</w:t>
            </w:r>
            <w:r>
              <w:rPr>
                <w:rFonts w:hint="default" w:ascii="Times New Roman" w:hAnsi="Times New Roman" w:eastAsia="宋体" w:cs="Times New Roman"/>
                <w:b/>
                <w:color w:val="auto"/>
                <w:sz w:val="24"/>
                <w:szCs w:val="24"/>
                <w:highlight w:val="none"/>
                <w:lang w:val="en-US" w:eastAsia="zh-CN"/>
              </w:rPr>
              <w:t>3.</w:t>
            </w:r>
            <w:r>
              <w:rPr>
                <w:rFonts w:hint="eastAsia" w:cs="Times New Roman"/>
                <w:b/>
                <w:color w:val="auto"/>
                <w:sz w:val="24"/>
                <w:szCs w:val="24"/>
                <w:highlight w:val="none"/>
                <w:lang w:val="en-US" w:eastAsia="zh-CN"/>
              </w:rPr>
              <w:t>8</w:t>
            </w:r>
            <w:r>
              <w:rPr>
                <w:rFonts w:hint="default" w:ascii="Times New Roman" w:hAnsi="Times New Roman" w:eastAsia="宋体" w:cs="Times New Roman"/>
                <w:b/>
                <w:color w:val="auto"/>
                <w:sz w:val="24"/>
                <w:szCs w:val="24"/>
                <w:highlight w:val="none"/>
                <w:lang w:val="en-US" w:eastAsia="zh-CN"/>
              </w:rPr>
              <w:t>-</w:t>
            </w:r>
            <w:r>
              <w:rPr>
                <w:rFonts w:hint="eastAsia" w:cs="Times New Roman"/>
                <w:b/>
                <w:color w:val="auto"/>
                <w:sz w:val="24"/>
                <w:szCs w:val="24"/>
                <w:highlight w:val="none"/>
                <w:lang w:val="en-US" w:eastAsia="zh-CN"/>
              </w:rPr>
              <w:t xml:space="preserve">2  </w:t>
            </w:r>
            <w:r>
              <w:rPr>
                <w:rFonts w:hint="eastAsia" w:ascii="Times New Roman" w:hAnsi="Times New Roman" w:eastAsia="宋体" w:cs="Times New Roman"/>
                <w:b/>
                <w:bCs/>
                <w:color w:val="auto"/>
                <w:sz w:val="24"/>
                <w:highlight w:val="none"/>
                <w:lang w:val="en-US" w:eastAsia="zh-CN"/>
              </w:rPr>
              <w:t>本项目</w:t>
            </w:r>
            <w:r>
              <w:rPr>
                <w:rFonts w:hint="default" w:ascii="Times New Roman" w:hAnsi="Times New Roman" w:eastAsia="宋体" w:cs="Times New Roman"/>
                <w:b/>
                <w:bCs/>
                <w:color w:val="auto"/>
                <w:sz w:val="24"/>
                <w:highlight w:val="none"/>
                <w:lang w:val="en-US" w:eastAsia="zh-CN"/>
              </w:rPr>
              <w:t xml:space="preserve">废气污染物排放总量指标一览表 </w:t>
            </w:r>
            <w:r>
              <w:rPr>
                <w:rFonts w:hint="default" w:ascii="Times New Roman" w:hAnsi="Times New Roman" w:eastAsia="宋体" w:cs="Times New Roman"/>
                <w:b/>
                <w:color w:val="auto"/>
                <w:sz w:val="24"/>
                <w:szCs w:val="24"/>
                <w:highlight w:val="none"/>
                <w:lang w:val="en-US" w:eastAsia="zh-CN"/>
              </w:rPr>
              <w:t xml:space="preserve"> 单位</w:t>
            </w:r>
            <w:r>
              <w:rPr>
                <w:rFonts w:hint="eastAsia" w:cs="Times New Roman"/>
                <w:b/>
                <w:color w:val="auto"/>
                <w:sz w:val="24"/>
                <w:szCs w:val="24"/>
                <w:highlight w:val="none"/>
                <w:lang w:val="en-US" w:eastAsia="zh-CN"/>
              </w:rPr>
              <w:t>：</w:t>
            </w:r>
            <w:r>
              <w:rPr>
                <w:rFonts w:hint="default" w:ascii="Times New Roman" w:hAnsi="Times New Roman" w:eastAsia="宋体" w:cs="Times New Roman"/>
                <w:b/>
                <w:color w:val="auto"/>
                <w:sz w:val="24"/>
                <w:szCs w:val="24"/>
                <w:highlight w:val="none"/>
                <w:lang w:val="en-US" w:eastAsia="zh-CN"/>
              </w:rPr>
              <w:t>t/a</w:t>
            </w:r>
          </w:p>
          <w:tbl>
            <w:tblPr>
              <w:tblStyle w:val="1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25"/>
              <w:gridCol w:w="1603"/>
              <w:gridCol w:w="1795"/>
              <w:gridCol w:w="1697"/>
              <w:gridCol w:w="1697"/>
            </w:tblGrid>
            <w:tr w14:paraId="2CBA72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965" w:type="pct"/>
                  <w:tcBorders>
                    <w:tl2br w:val="nil"/>
                    <w:tr2bl w:val="nil"/>
                  </w:tcBorders>
                  <w:noWrap w:val="0"/>
                  <w:vAlign w:val="center"/>
                </w:tcPr>
                <w:p w14:paraId="319CFCD0">
                  <w:pPr>
                    <w:widowControl w:val="0"/>
                    <w:spacing w:line="240" w:lineRule="auto"/>
                    <w:ind w:firstLine="0" w:firstLineChars="0"/>
                    <w:jc w:val="center"/>
                    <w:rPr>
                      <w:rFonts w:hint="default" w:cs="Times New Roman"/>
                      <w:b/>
                      <w:bCs/>
                      <w:color w:val="auto"/>
                      <w:sz w:val="21"/>
                      <w:szCs w:val="22"/>
                      <w:highlight w:val="none"/>
                      <w:lang w:val="en-US" w:eastAsia="zh-CN"/>
                    </w:rPr>
                  </w:pPr>
                  <w:r>
                    <w:rPr>
                      <w:rFonts w:hint="eastAsia" w:cs="Times New Roman"/>
                      <w:b/>
                      <w:bCs/>
                      <w:color w:val="auto"/>
                      <w:sz w:val="21"/>
                      <w:szCs w:val="22"/>
                      <w:highlight w:val="none"/>
                      <w:lang w:val="en-US" w:eastAsia="zh-CN"/>
                    </w:rPr>
                    <w:t>总量控制项目</w:t>
                  </w:r>
                </w:p>
              </w:tc>
              <w:tc>
                <w:tcPr>
                  <w:tcW w:w="952" w:type="pct"/>
                  <w:tcBorders>
                    <w:tl2br w:val="nil"/>
                    <w:tr2bl w:val="nil"/>
                  </w:tcBorders>
                  <w:noWrap w:val="0"/>
                  <w:vAlign w:val="center"/>
                </w:tcPr>
                <w:p w14:paraId="71E0DEA5">
                  <w:pPr>
                    <w:widowControl w:val="0"/>
                    <w:spacing w:line="240" w:lineRule="auto"/>
                    <w:ind w:firstLine="0" w:firstLineChars="0"/>
                    <w:jc w:val="center"/>
                    <w:rPr>
                      <w:rFonts w:hint="default" w:cs="Times New Roman"/>
                      <w:b/>
                      <w:bCs/>
                      <w:color w:val="auto"/>
                      <w:sz w:val="21"/>
                      <w:szCs w:val="22"/>
                      <w:highlight w:val="none"/>
                      <w:lang w:val="en-US" w:eastAsia="zh-CN"/>
                    </w:rPr>
                  </w:pPr>
                  <w:r>
                    <w:rPr>
                      <w:rFonts w:hint="eastAsia" w:cs="Times New Roman"/>
                      <w:b/>
                      <w:bCs/>
                      <w:color w:val="auto"/>
                      <w:sz w:val="21"/>
                      <w:szCs w:val="22"/>
                      <w:highlight w:val="none"/>
                      <w:lang w:val="en-US" w:eastAsia="zh-CN"/>
                    </w:rPr>
                    <w:t>有组织排放量</w:t>
                  </w:r>
                </w:p>
              </w:tc>
              <w:tc>
                <w:tcPr>
                  <w:tcW w:w="1066" w:type="pct"/>
                  <w:tcBorders>
                    <w:tl2br w:val="nil"/>
                    <w:tr2bl w:val="nil"/>
                  </w:tcBorders>
                  <w:noWrap w:val="0"/>
                  <w:vAlign w:val="center"/>
                </w:tcPr>
                <w:p w14:paraId="028A342A">
                  <w:pPr>
                    <w:widowControl w:val="0"/>
                    <w:spacing w:line="240" w:lineRule="auto"/>
                    <w:ind w:firstLine="0" w:firstLineChars="0"/>
                    <w:jc w:val="center"/>
                    <w:rPr>
                      <w:rFonts w:hint="default" w:cs="Times New Roman"/>
                      <w:b/>
                      <w:bCs/>
                      <w:color w:val="auto"/>
                      <w:sz w:val="21"/>
                      <w:szCs w:val="22"/>
                      <w:highlight w:val="none"/>
                      <w:lang w:val="en-US" w:eastAsia="zh-CN"/>
                    </w:rPr>
                  </w:pPr>
                  <w:r>
                    <w:rPr>
                      <w:rFonts w:hint="eastAsia" w:cs="Times New Roman"/>
                      <w:b/>
                      <w:bCs/>
                      <w:color w:val="auto"/>
                      <w:sz w:val="21"/>
                      <w:szCs w:val="22"/>
                      <w:highlight w:val="none"/>
                      <w:lang w:eastAsia="zh-CN"/>
                    </w:rPr>
                    <w:t>无组织排放量</w:t>
                  </w:r>
                </w:p>
              </w:tc>
              <w:tc>
                <w:tcPr>
                  <w:tcW w:w="1008" w:type="pct"/>
                  <w:tcBorders>
                    <w:tl2br w:val="nil"/>
                    <w:tr2bl w:val="nil"/>
                  </w:tcBorders>
                  <w:noWrap w:val="0"/>
                  <w:vAlign w:val="center"/>
                </w:tcPr>
                <w:p w14:paraId="5AC20EE4">
                  <w:pPr>
                    <w:widowControl w:val="0"/>
                    <w:spacing w:line="240" w:lineRule="auto"/>
                    <w:ind w:firstLine="0" w:firstLineChars="0"/>
                    <w:jc w:val="center"/>
                    <w:rPr>
                      <w:rFonts w:hint="default" w:cs="Times New Roman"/>
                      <w:b/>
                      <w:bCs/>
                      <w:color w:val="auto"/>
                      <w:sz w:val="21"/>
                      <w:szCs w:val="22"/>
                      <w:highlight w:val="none"/>
                      <w:lang w:val="en-US" w:eastAsia="zh-CN"/>
                    </w:rPr>
                  </w:pPr>
                  <w:r>
                    <w:rPr>
                      <w:rFonts w:hint="eastAsia" w:cs="Times New Roman"/>
                      <w:b/>
                      <w:bCs/>
                      <w:color w:val="auto"/>
                      <w:sz w:val="21"/>
                      <w:szCs w:val="22"/>
                      <w:highlight w:val="none"/>
                      <w:lang w:val="en-US" w:eastAsia="zh-CN"/>
                    </w:rPr>
                    <w:t>排放总量</w:t>
                  </w:r>
                </w:p>
              </w:tc>
              <w:tc>
                <w:tcPr>
                  <w:tcW w:w="1008" w:type="pct"/>
                  <w:tcBorders>
                    <w:tl2br w:val="nil"/>
                    <w:tr2bl w:val="nil"/>
                  </w:tcBorders>
                  <w:noWrap w:val="0"/>
                  <w:vAlign w:val="center"/>
                </w:tcPr>
                <w:p w14:paraId="4467FB6B">
                  <w:pPr>
                    <w:widowControl w:val="0"/>
                    <w:spacing w:line="240" w:lineRule="auto"/>
                    <w:ind w:firstLine="0" w:firstLineChars="0"/>
                    <w:jc w:val="center"/>
                    <w:rPr>
                      <w:rFonts w:hint="eastAsia" w:cs="Times New Roman"/>
                      <w:b/>
                      <w:bCs/>
                      <w:color w:val="auto"/>
                      <w:sz w:val="21"/>
                      <w:szCs w:val="22"/>
                      <w:highlight w:val="none"/>
                      <w:lang w:val="en-US" w:eastAsia="zh-CN"/>
                    </w:rPr>
                  </w:pPr>
                  <w:r>
                    <w:rPr>
                      <w:rFonts w:hint="eastAsia" w:ascii="Times New Roman" w:hAnsi="Times New Roman" w:eastAsia="宋体" w:cs="Times New Roman"/>
                      <w:b/>
                      <w:bCs/>
                      <w:color w:val="auto"/>
                      <w:sz w:val="21"/>
                      <w:szCs w:val="22"/>
                      <w:highlight w:val="none"/>
                      <w:lang w:val="en-US" w:eastAsia="zh-CN"/>
                    </w:rPr>
                    <w:t>建议申报指标</w:t>
                  </w:r>
                </w:p>
              </w:tc>
            </w:tr>
            <w:tr w14:paraId="26F661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65" w:type="pct"/>
                  <w:tcBorders>
                    <w:tl2br w:val="nil"/>
                    <w:tr2bl w:val="nil"/>
                  </w:tcBorders>
                  <w:noWrap w:val="0"/>
                  <w:vAlign w:val="center"/>
                </w:tcPr>
                <w:p w14:paraId="0F679E1C">
                  <w:pPr>
                    <w:widowControl w:val="0"/>
                    <w:spacing w:line="240" w:lineRule="auto"/>
                    <w:ind w:firstLine="0" w:firstLineChars="0"/>
                    <w:jc w:val="center"/>
                    <w:rPr>
                      <w:rFonts w:hint="default" w:cs="Times New Roman"/>
                      <w:color w:val="auto"/>
                      <w:sz w:val="21"/>
                      <w:szCs w:val="22"/>
                      <w:highlight w:val="none"/>
                      <w:lang w:val="en-US" w:eastAsia="zh-CN"/>
                    </w:rPr>
                  </w:pPr>
                  <w:r>
                    <w:rPr>
                      <w:rFonts w:hint="eastAsia" w:cs="Times New Roman"/>
                      <w:color w:val="auto"/>
                      <w:sz w:val="21"/>
                      <w:szCs w:val="22"/>
                      <w:highlight w:val="none"/>
                      <w:lang w:val="en-US" w:eastAsia="zh-CN"/>
                    </w:rPr>
                    <w:t>非甲烷总烃</w:t>
                  </w:r>
                </w:p>
              </w:tc>
              <w:tc>
                <w:tcPr>
                  <w:tcW w:w="952" w:type="pct"/>
                  <w:tcBorders>
                    <w:tl2br w:val="nil"/>
                    <w:tr2bl w:val="nil"/>
                  </w:tcBorders>
                  <w:noWrap w:val="0"/>
                  <w:vAlign w:val="center"/>
                </w:tcPr>
                <w:p w14:paraId="1DC6090E">
                  <w:pPr>
                    <w:widowControl w:val="0"/>
                    <w:spacing w:line="240" w:lineRule="auto"/>
                    <w:ind w:firstLine="0" w:firstLineChars="0"/>
                    <w:jc w:val="center"/>
                    <w:rPr>
                      <w:rFonts w:hint="default" w:cs="Times New Roman"/>
                      <w:color w:val="auto"/>
                      <w:sz w:val="21"/>
                      <w:szCs w:val="22"/>
                      <w:highlight w:val="none"/>
                      <w:lang w:val="en-US" w:eastAsia="zh-CN"/>
                    </w:rPr>
                  </w:pPr>
                  <w:r>
                    <w:rPr>
                      <w:rFonts w:hint="eastAsia" w:cs="Times New Roman"/>
                      <w:color w:val="auto"/>
                      <w:sz w:val="21"/>
                      <w:szCs w:val="22"/>
                      <w:highlight w:val="none"/>
                      <w:lang w:val="en-US" w:eastAsia="zh-CN"/>
                    </w:rPr>
                    <w:t>0.0708</w:t>
                  </w:r>
                </w:p>
              </w:tc>
              <w:tc>
                <w:tcPr>
                  <w:tcW w:w="1066" w:type="pct"/>
                  <w:tcBorders>
                    <w:tl2br w:val="nil"/>
                    <w:tr2bl w:val="nil"/>
                  </w:tcBorders>
                  <w:noWrap w:val="0"/>
                  <w:vAlign w:val="center"/>
                </w:tcPr>
                <w:p w14:paraId="6ADBBE5E">
                  <w:pPr>
                    <w:widowControl w:val="0"/>
                    <w:spacing w:line="240" w:lineRule="auto"/>
                    <w:ind w:firstLine="0" w:firstLineChars="0"/>
                    <w:jc w:val="center"/>
                    <w:rPr>
                      <w:rFonts w:hint="default" w:cs="Times New Roman"/>
                      <w:color w:val="auto"/>
                      <w:sz w:val="21"/>
                      <w:szCs w:val="22"/>
                      <w:highlight w:val="none"/>
                      <w:lang w:val="en-US" w:eastAsia="zh-CN"/>
                    </w:rPr>
                  </w:pPr>
                  <w:r>
                    <w:rPr>
                      <w:rFonts w:hint="eastAsia" w:cs="Times New Roman"/>
                      <w:color w:val="auto"/>
                      <w:sz w:val="21"/>
                      <w:szCs w:val="22"/>
                      <w:highlight w:val="none"/>
                      <w:lang w:val="en-US" w:eastAsia="zh-CN"/>
                    </w:rPr>
                    <w:t>0.0501</w:t>
                  </w:r>
                </w:p>
              </w:tc>
              <w:tc>
                <w:tcPr>
                  <w:tcW w:w="1008" w:type="pct"/>
                  <w:tcBorders>
                    <w:tl2br w:val="nil"/>
                    <w:tr2bl w:val="nil"/>
                  </w:tcBorders>
                  <w:noWrap w:val="0"/>
                  <w:vAlign w:val="center"/>
                </w:tcPr>
                <w:p w14:paraId="36017E7B">
                  <w:pPr>
                    <w:widowControl w:val="0"/>
                    <w:spacing w:line="240" w:lineRule="auto"/>
                    <w:ind w:firstLine="0" w:firstLineChars="0"/>
                    <w:jc w:val="center"/>
                    <w:rPr>
                      <w:rFonts w:hint="default" w:cs="Times New Roman"/>
                      <w:color w:val="auto"/>
                      <w:sz w:val="21"/>
                      <w:szCs w:val="22"/>
                      <w:highlight w:val="none"/>
                      <w:lang w:val="en-US" w:eastAsia="zh-CN"/>
                    </w:rPr>
                  </w:pPr>
                  <w:r>
                    <w:rPr>
                      <w:rFonts w:hint="eastAsia" w:cs="Times New Roman"/>
                      <w:color w:val="auto"/>
                      <w:sz w:val="21"/>
                      <w:szCs w:val="22"/>
                      <w:highlight w:val="none"/>
                      <w:lang w:val="en-US" w:eastAsia="zh-CN"/>
                    </w:rPr>
                    <w:t>0.1209</w:t>
                  </w:r>
                </w:p>
              </w:tc>
              <w:tc>
                <w:tcPr>
                  <w:tcW w:w="1008" w:type="pct"/>
                  <w:tcBorders>
                    <w:tl2br w:val="nil"/>
                    <w:tr2bl w:val="nil"/>
                  </w:tcBorders>
                  <w:noWrap w:val="0"/>
                  <w:vAlign w:val="center"/>
                </w:tcPr>
                <w:p w14:paraId="50A2D2B7">
                  <w:pPr>
                    <w:widowControl w:val="0"/>
                    <w:spacing w:line="240" w:lineRule="auto"/>
                    <w:ind w:firstLine="0" w:firstLineChars="0"/>
                    <w:jc w:val="center"/>
                    <w:rPr>
                      <w:rFonts w:hint="default" w:cs="Times New Roman"/>
                      <w:color w:val="auto"/>
                      <w:sz w:val="21"/>
                      <w:szCs w:val="22"/>
                      <w:highlight w:val="none"/>
                      <w:lang w:val="en-US" w:eastAsia="zh-CN"/>
                    </w:rPr>
                  </w:pPr>
                  <w:r>
                    <w:rPr>
                      <w:rFonts w:hint="eastAsia" w:cs="Times New Roman"/>
                      <w:color w:val="auto"/>
                      <w:sz w:val="21"/>
                      <w:szCs w:val="22"/>
                      <w:highlight w:val="none"/>
                      <w:lang w:val="en-US" w:eastAsia="zh-CN"/>
                    </w:rPr>
                    <w:t>0.1451</w:t>
                  </w:r>
                </w:p>
              </w:tc>
            </w:tr>
          </w:tbl>
          <w:p w14:paraId="3DED48E6">
            <w:pPr>
              <w:pStyle w:val="25"/>
              <w:bidi w:val="0"/>
              <w:jc w:val="both"/>
              <w:rPr>
                <w:rFonts w:hint="eastAsia" w:ascii="Times New Roman" w:hAnsi="Times New Roman"/>
                <w:color w:val="auto"/>
              </w:rPr>
            </w:pPr>
            <w:r>
              <w:rPr>
                <w:rFonts w:hint="eastAsia" w:ascii="Times New Roman" w:hAnsi="Times New Roman"/>
                <w:color w:val="auto"/>
              </w:rPr>
              <w:t>（1）非甲烷总烃总量控制</w:t>
            </w:r>
          </w:p>
          <w:p w14:paraId="62C9BE97">
            <w:pPr>
              <w:pStyle w:val="2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根据《福州市环境保护局关于印发福州市大气污染联防控联治工作方案的</w:t>
            </w:r>
          </w:p>
          <w:p w14:paraId="3E29A9D5">
            <w:pPr>
              <w:pStyle w:val="25"/>
              <w:bidi w:val="0"/>
              <w:rPr>
                <w:rFonts w:hint="eastAsia"/>
                <w:color w:val="auto"/>
              </w:rPr>
            </w:pPr>
            <w:r>
              <w:rPr>
                <w:rFonts w:hint="eastAsia" w:ascii="Times New Roman" w:hAnsi="Times New Roman" w:eastAsia="宋体" w:cs="Times New Roman"/>
                <w:color w:val="auto"/>
                <w:kern w:val="2"/>
                <w:sz w:val="24"/>
                <w:szCs w:val="24"/>
                <w:highlight w:val="none"/>
                <w:lang w:val="en-US" w:eastAsia="zh-CN" w:bidi="ar-SA"/>
              </w:rPr>
              <w:t>通知》榕环保综</w:t>
            </w:r>
            <w:r>
              <w:rPr>
                <w:rFonts w:hint="eastAsia" w:cs="Times New Roman"/>
                <w:color w:val="auto"/>
                <w:kern w:val="2"/>
                <w:sz w:val="24"/>
                <w:szCs w:val="24"/>
                <w:highlight w:val="none"/>
                <w:lang w:val="en-US" w:eastAsia="zh-CN" w:bidi="ar-SA"/>
              </w:rPr>
              <w:t>〔2018〕386号</w:t>
            </w:r>
            <w:r>
              <w:rPr>
                <w:rFonts w:hint="eastAsia"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VOCs</w:t>
            </w:r>
            <w:r>
              <w:rPr>
                <w:rFonts w:hint="eastAsia" w:ascii="Times New Roman" w:hAnsi="Times New Roman" w:eastAsia="宋体" w:cs="Times New Roman"/>
                <w:color w:val="auto"/>
                <w:kern w:val="2"/>
                <w:sz w:val="24"/>
                <w:szCs w:val="24"/>
                <w:highlight w:val="none"/>
                <w:lang w:val="en-US" w:eastAsia="zh-CN" w:bidi="ar-SA"/>
              </w:rPr>
              <w:t>排放实行区域内倍量替代，新、改扩建涉</w:t>
            </w:r>
            <w:r>
              <w:rPr>
                <w:rFonts w:hint="default" w:ascii="Times New Roman" w:hAnsi="Times New Roman" w:eastAsia="宋体" w:cs="Times New Roman"/>
                <w:color w:val="auto"/>
                <w:kern w:val="2"/>
                <w:sz w:val="24"/>
                <w:szCs w:val="24"/>
                <w:highlight w:val="none"/>
                <w:lang w:val="en-US" w:eastAsia="zh-CN" w:bidi="ar-SA"/>
              </w:rPr>
              <w:t>VOCs</w:t>
            </w:r>
            <w:r>
              <w:rPr>
                <w:rFonts w:hint="eastAsia" w:ascii="Times New Roman" w:hAnsi="Times New Roman" w:eastAsia="宋体" w:cs="Times New Roman"/>
                <w:color w:val="auto"/>
                <w:kern w:val="2"/>
                <w:sz w:val="24"/>
                <w:szCs w:val="24"/>
                <w:highlight w:val="none"/>
                <w:lang w:val="en-US" w:eastAsia="zh-CN" w:bidi="ar-SA"/>
              </w:rPr>
              <w:t>排放项目，应从源头加强控制，使用低（无）</w:t>
            </w:r>
            <w:r>
              <w:rPr>
                <w:rFonts w:hint="default" w:ascii="Times New Roman" w:hAnsi="Times New Roman" w:eastAsia="宋体" w:cs="Times New Roman"/>
                <w:color w:val="auto"/>
                <w:kern w:val="2"/>
                <w:sz w:val="24"/>
                <w:szCs w:val="24"/>
                <w:highlight w:val="none"/>
                <w:lang w:val="en-US" w:eastAsia="zh-CN" w:bidi="ar-SA"/>
              </w:rPr>
              <w:t>VOCs</w:t>
            </w:r>
            <w:r>
              <w:rPr>
                <w:rFonts w:hint="eastAsia" w:ascii="Times New Roman" w:hAnsi="Times New Roman" w:eastAsia="宋体" w:cs="Times New Roman"/>
                <w:color w:val="auto"/>
                <w:kern w:val="2"/>
                <w:sz w:val="24"/>
                <w:szCs w:val="24"/>
                <w:highlight w:val="none"/>
                <w:lang w:val="en-US" w:eastAsia="zh-CN" w:bidi="ar-SA"/>
              </w:rPr>
              <w:t>含量的原辅材料，加强废气收集、安装高效治理设施。根据工程分析可知，本项目</w:t>
            </w:r>
            <w:r>
              <w:rPr>
                <w:rFonts w:hint="eastAsia" w:cs="Times New Roman"/>
                <w:color w:val="auto"/>
                <w:kern w:val="2"/>
                <w:sz w:val="24"/>
                <w:szCs w:val="24"/>
                <w:highlight w:val="none"/>
                <w:lang w:val="en-US" w:eastAsia="zh-CN" w:bidi="ar-SA"/>
              </w:rPr>
              <w:t>VOCs、乙醇、乙醚、丙酮（以非甲烷总烃计）</w:t>
            </w:r>
            <w:r>
              <w:rPr>
                <w:rFonts w:hint="eastAsia" w:ascii="Times New Roman" w:hAnsi="Times New Roman" w:eastAsia="宋体" w:cs="Times New Roman"/>
                <w:color w:val="auto"/>
                <w:kern w:val="2"/>
                <w:sz w:val="24"/>
                <w:szCs w:val="24"/>
                <w:highlight w:val="none"/>
                <w:lang w:val="en-US" w:eastAsia="zh-CN" w:bidi="ar-SA"/>
              </w:rPr>
              <w:t>有组织排放量为</w:t>
            </w:r>
            <w:r>
              <w:rPr>
                <w:rFonts w:hint="default" w:ascii="Times New Roman" w:hAnsi="Times New Roman" w:eastAsia="宋体" w:cs="Times New Roman"/>
                <w:color w:val="auto"/>
                <w:kern w:val="2"/>
                <w:sz w:val="24"/>
                <w:szCs w:val="24"/>
                <w:highlight w:val="none"/>
                <w:lang w:val="en-US" w:eastAsia="zh-CN" w:bidi="ar-SA"/>
              </w:rPr>
              <w:t>0.</w:t>
            </w:r>
            <w:r>
              <w:rPr>
                <w:rFonts w:hint="eastAsia" w:cs="Times New Roman"/>
                <w:color w:val="auto"/>
                <w:kern w:val="2"/>
                <w:sz w:val="24"/>
                <w:szCs w:val="24"/>
                <w:highlight w:val="none"/>
                <w:lang w:val="en-US" w:eastAsia="zh-CN" w:bidi="ar-SA"/>
              </w:rPr>
              <w:t>0708</w:t>
            </w:r>
            <w:r>
              <w:rPr>
                <w:rFonts w:hint="default" w:ascii="Times New Roman" w:hAnsi="Times New Roman" w:eastAsia="宋体" w:cs="Times New Roman"/>
                <w:color w:val="auto"/>
                <w:kern w:val="2"/>
                <w:sz w:val="24"/>
                <w:szCs w:val="24"/>
                <w:highlight w:val="none"/>
                <w:lang w:val="en-US" w:eastAsia="zh-CN" w:bidi="ar-SA"/>
              </w:rPr>
              <w:t>t/a</w:t>
            </w:r>
            <w:r>
              <w:rPr>
                <w:rFonts w:hint="eastAsia" w:ascii="Times New Roman" w:hAnsi="Times New Roman" w:eastAsia="宋体" w:cs="Times New Roman"/>
                <w:color w:val="auto"/>
                <w:kern w:val="2"/>
                <w:sz w:val="24"/>
                <w:szCs w:val="24"/>
                <w:highlight w:val="none"/>
                <w:lang w:val="en-US" w:eastAsia="zh-CN" w:bidi="ar-SA"/>
              </w:rPr>
              <w:t>，无组织排放量为</w:t>
            </w:r>
            <w:r>
              <w:rPr>
                <w:rFonts w:hint="default" w:ascii="Times New Roman" w:hAnsi="Times New Roman" w:eastAsia="宋体" w:cs="Times New Roman"/>
                <w:color w:val="auto"/>
                <w:kern w:val="2"/>
                <w:sz w:val="24"/>
                <w:szCs w:val="24"/>
                <w:highlight w:val="none"/>
                <w:lang w:val="en-US" w:eastAsia="zh-CN" w:bidi="ar-SA"/>
              </w:rPr>
              <w:t>0.</w:t>
            </w:r>
            <w:r>
              <w:rPr>
                <w:rFonts w:hint="eastAsia" w:cs="Times New Roman"/>
                <w:color w:val="auto"/>
                <w:kern w:val="2"/>
                <w:sz w:val="24"/>
                <w:szCs w:val="24"/>
                <w:highlight w:val="none"/>
                <w:lang w:val="en-US" w:eastAsia="zh-CN" w:bidi="ar-SA"/>
              </w:rPr>
              <w:t>0501</w:t>
            </w:r>
            <w:r>
              <w:rPr>
                <w:rFonts w:hint="default" w:ascii="Times New Roman" w:hAnsi="Times New Roman" w:eastAsia="宋体" w:cs="Times New Roman"/>
                <w:color w:val="auto"/>
                <w:kern w:val="2"/>
                <w:sz w:val="24"/>
                <w:szCs w:val="24"/>
                <w:highlight w:val="none"/>
                <w:lang w:val="en-US" w:eastAsia="zh-CN" w:bidi="ar-SA"/>
              </w:rPr>
              <w:t>t/a</w:t>
            </w:r>
            <w:r>
              <w:rPr>
                <w:rFonts w:hint="eastAsia" w:ascii="Times New Roman" w:hAnsi="Times New Roman" w:eastAsia="宋体" w:cs="Times New Roman"/>
                <w:color w:val="auto"/>
                <w:kern w:val="2"/>
                <w:sz w:val="24"/>
                <w:szCs w:val="24"/>
                <w:highlight w:val="none"/>
                <w:lang w:val="en-US" w:eastAsia="zh-CN" w:bidi="ar-SA"/>
              </w:rPr>
              <w:t>，排放总量为：</w:t>
            </w:r>
            <w:r>
              <w:rPr>
                <w:rFonts w:hint="default" w:ascii="Times New Roman" w:hAnsi="Times New Roman" w:eastAsia="宋体" w:cs="Times New Roman"/>
                <w:color w:val="auto"/>
                <w:kern w:val="2"/>
                <w:sz w:val="24"/>
                <w:szCs w:val="24"/>
                <w:highlight w:val="none"/>
                <w:lang w:val="en-US" w:eastAsia="zh-CN" w:bidi="ar-SA"/>
              </w:rPr>
              <w:t>0.</w:t>
            </w:r>
            <w:r>
              <w:rPr>
                <w:rFonts w:hint="eastAsia" w:cs="Times New Roman"/>
                <w:color w:val="auto"/>
                <w:kern w:val="2"/>
                <w:sz w:val="24"/>
                <w:szCs w:val="24"/>
                <w:highlight w:val="none"/>
                <w:lang w:val="en-US" w:eastAsia="zh-CN" w:bidi="ar-SA"/>
              </w:rPr>
              <w:t>1209</w:t>
            </w:r>
            <w:r>
              <w:rPr>
                <w:rFonts w:hint="default" w:ascii="Times New Roman" w:hAnsi="Times New Roman" w:eastAsia="宋体" w:cs="Times New Roman"/>
                <w:color w:val="auto"/>
                <w:kern w:val="2"/>
                <w:sz w:val="24"/>
                <w:szCs w:val="24"/>
                <w:highlight w:val="none"/>
                <w:lang w:val="en-US" w:eastAsia="zh-CN" w:bidi="ar-SA"/>
              </w:rPr>
              <w:t>t/a</w:t>
            </w:r>
            <w:r>
              <w:rPr>
                <w:rFonts w:hint="eastAsia"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建设单位</w:t>
            </w:r>
            <w:r>
              <w:rPr>
                <w:rFonts w:hint="eastAsia" w:cs="Times New Roman"/>
                <w:color w:val="auto"/>
                <w:kern w:val="2"/>
                <w:sz w:val="24"/>
                <w:szCs w:val="24"/>
                <w:highlight w:val="none"/>
                <w:lang w:val="en-US" w:eastAsia="zh-CN" w:bidi="ar-SA"/>
              </w:rPr>
              <w:t>需建议申报总量指标为0.1451t/a。</w:t>
            </w:r>
            <w:r>
              <w:rPr>
                <w:rFonts w:hint="eastAsia" w:ascii="Times New Roman" w:hAnsi="Times New Roman" w:eastAsia="宋体" w:cs="Times New Roman"/>
                <w:color w:val="auto"/>
                <w:kern w:val="2"/>
                <w:sz w:val="24"/>
                <w:szCs w:val="24"/>
                <w:highlight w:val="none"/>
                <w:lang w:val="en-US" w:eastAsia="zh-CN" w:bidi="ar-SA"/>
              </w:rPr>
              <w:t>由建设单位向当地生态环境主管部门申请区域削减替代。需按照标准严格控制其排放，</w:t>
            </w:r>
            <w:r>
              <w:rPr>
                <w:rFonts w:hint="default" w:ascii="Times New Roman" w:hAnsi="Times New Roman" w:eastAsia="宋体" w:cs="Times New Roman"/>
                <w:color w:val="auto"/>
                <w:kern w:val="2"/>
                <w:sz w:val="24"/>
                <w:szCs w:val="24"/>
                <w:highlight w:val="none"/>
                <w:lang w:val="en-US" w:eastAsia="zh-CN" w:bidi="ar-SA"/>
              </w:rPr>
              <w:t>VOCs</w:t>
            </w:r>
            <w:r>
              <w:rPr>
                <w:rFonts w:hint="eastAsia" w:ascii="Times New Roman" w:hAnsi="Times New Roman" w:eastAsia="宋体" w:cs="Times New Roman"/>
                <w:color w:val="auto"/>
                <w:kern w:val="2"/>
                <w:sz w:val="24"/>
                <w:szCs w:val="24"/>
                <w:highlight w:val="none"/>
                <w:lang w:val="en-US" w:eastAsia="zh-CN" w:bidi="ar-SA"/>
              </w:rPr>
              <w:t>（非甲烷总烃）总量需要通过区域调剂来获得。最终的总量控制指标以本报告表报批生态环境主管部门后核定的总量为准。</w:t>
            </w:r>
          </w:p>
        </w:tc>
      </w:tr>
    </w:tbl>
    <w:p w14:paraId="4ED2118B">
      <w:pPr>
        <w:jc w:val="both"/>
        <w:outlineLvl w:val="0"/>
        <w:rPr>
          <w:rStyle w:val="23"/>
          <w:rFonts w:hint="eastAsia"/>
          <w:color w:val="auto"/>
        </w:rPr>
        <w:sectPr>
          <w:footerReference r:id="rId9"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3607220B">
      <w:pPr>
        <w:pStyle w:val="5"/>
        <w:bidi w:val="0"/>
        <w:rPr>
          <w:rFonts w:ascii="黑体" w:hAnsi="黑体" w:eastAsia="黑体"/>
          <w:snapToGrid w:val="0"/>
          <w:color w:val="auto"/>
          <w:sz w:val="30"/>
          <w:szCs w:val="30"/>
        </w:rPr>
      </w:pPr>
      <w:r>
        <w:rPr>
          <w:rStyle w:val="23"/>
          <w:rFonts w:hint="eastAsia"/>
          <w:color w:val="auto"/>
        </w:rPr>
        <w:t>四、主要环境影响和保护措施</w:t>
      </w: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8389"/>
      </w:tblGrid>
      <w:tr w14:paraId="6E146A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746" w:type="dxa"/>
            <w:noWrap w:val="0"/>
            <w:tcMar>
              <w:left w:w="28" w:type="dxa"/>
              <w:right w:w="28" w:type="dxa"/>
            </w:tcMar>
            <w:vAlign w:val="center"/>
          </w:tcPr>
          <w:p w14:paraId="6EA8D13A">
            <w:pPr>
              <w:bidi w:val="0"/>
              <w:jc w:val="center"/>
              <w:rPr>
                <w:rFonts w:hint="eastAsia"/>
                <w:color w:val="auto"/>
              </w:rPr>
            </w:pPr>
            <w:r>
              <w:rPr>
                <w:rFonts w:hint="eastAsia"/>
                <w:color w:val="auto"/>
              </w:rPr>
              <w:t>施工</w:t>
            </w:r>
          </w:p>
          <w:p w14:paraId="6BA9356E">
            <w:pPr>
              <w:bidi w:val="0"/>
              <w:jc w:val="center"/>
              <w:rPr>
                <w:rFonts w:hint="eastAsia"/>
                <w:color w:val="auto"/>
              </w:rPr>
            </w:pPr>
            <w:r>
              <w:rPr>
                <w:rFonts w:hint="eastAsia"/>
                <w:color w:val="auto"/>
              </w:rPr>
              <w:t>期环</w:t>
            </w:r>
          </w:p>
          <w:p w14:paraId="705AFBCC">
            <w:pPr>
              <w:bidi w:val="0"/>
              <w:jc w:val="center"/>
              <w:rPr>
                <w:rFonts w:hint="eastAsia"/>
                <w:color w:val="auto"/>
              </w:rPr>
            </w:pPr>
            <w:r>
              <w:rPr>
                <w:rFonts w:hint="eastAsia"/>
                <w:color w:val="auto"/>
              </w:rPr>
              <w:t>境保</w:t>
            </w:r>
          </w:p>
          <w:p w14:paraId="333009CF">
            <w:pPr>
              <w:bidi w:val="0"/>
              <w:jc w:val="center"/>
              <w:rPr>
                <w:rFonts w:hint="eastAsia"/>
                <w:color w:val="auto"/>
              </w:rPr>
            </w:pPr>
            <w:r>
              <w:rPr>
                <w:rFonts w:hint="eastAsia"/>
                <w:color w:val="auto"/>
              </w:rPr>
              <w:t>护措</w:t>
            </w:r>
          </w:p>
          <w:p w14:paraId="5F2A3297">
            <w:pPr>
              <w:bidi w:val="0"/>
              <w:jc w:val="center"/>
              <w:rPr>
                <w:rFonts w:hint="eastAsia" w:cs="宋体"/>
                <w:bCs/>
                <w:color w:val="auto"/>
                <w:kern w:val="2"/>
                <w:szCs w:val="21"/>
              </w:rPr>
            </w:pPr>
            <w:r>
              <w:rPr>
                <w:rFonts w:hint="eastAsia"/>
                <w:color w:val="auto"/>
              </w:rPr>
              <w:t>施</w:t>
            </w:r>
          </w:p>
        </w:tc>
        <w:tc>
          <w:tcPr>
            <w:tcW w:w="8162" w:type="dxa"/>
            <w:noWrap w:val="0"/>
            <w:vAlign w:val="center"/>
          </w:tcPr>
          <w:p w14:paraId="6F3F1810">
            <w:pPr>
              <w:pStyle w:val="25"/>
              <w:bidi w:val="0"/>
              <w:rPr>
                <w:color w:val="auto"/>
              </w:rPr>
            </w:pPr>
            <w:r>
              <w:rPr>
                <w:rFonts w:hint="eastAsia"/>
                <w:color w:val="auto"/>
                <w:lang w:val="en-US" w:eastAsia="zh-CN"/>
              </w:rPr>
              <w:t>本项目位于福建省闽侯县南屿镇窗厦村新南大道176号第三代半导体数字产业园（二期）4号楼5层、6层、7层。厂房早已建成。项目施工期主要为设备安装、调试阶段产生的环境问题，本项目设备安装、调试简单，且时间较短，因此，随着设备安装、调试完毕后，项目施工期也将结束，施工期环境影响也随之消失，不会对周边环境噪声影响。</w:t>
            </w:r>
          </w:p>
        </w:tc>
      </w:tr>
      <w:tr w14:paraId="4F9F0A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6" w:type="dxa"/>
            <w:noWrap w:val="0"/>
            <w:tcMar>
              <w:left w:w="28" w:type="dxa"/>
              <w:right w:w="28" w:type="dxa"/>
            </w:tcMar>
            <w:vAlign w:val="center"/>
          </w:tcPr>
          <w:p w14:paraId="00EE1A54">
            <w:pPr>
              <w:adjustRightInd w:val="0"/>
              <w:snapToGrid w:val="0"/>
              <w:jc w:val="center"/>
              <w:rPr>
                <w:rFonts w:hint="eastAsia" w:ascii="宋体" w:hAnsi="宋体" w:cs="宋体"/>
                <w:bCs/>
                <w:color w:val="auto"/>
                <w:szCs w:val="21"/>
              </w:rPr>
            </w:pPr>
            <w:r>
              <w:rPr>
                <w:rFonts w:hint="eastAsia" w:ascii="宋体" w:hAnsi="宋体" w:cs="宋体"/>
                <w:bCs/>
                <w:color w:val="auto"/>
                <w:szCs w:val="21"/>
              </w:rPr>
              <w:t>运营</w:t>
            </w:r>
          </w:p>
          <w:p w14:paraId="25D2DFF9">
            <w:pPr>
              <w:adjustRightInd w:val="0"/>
              <w:snapToGrid w:val="0"/>
              <w:jc w:val="center"/>
              <w:rPr>
                <w:rFonts w:hint="eastAsia" w:ascii="宋体" w:hAnsi="宋体" w:cs="宋体"/>
                <w:bCs/>
                <w:color w:val="auto"/>
                <w:szCs w:val="21"/>
              </w:rPr>
            </w:pPr>
            <w:r>
              <w:rPr>
                <w:rFonts w:hint="eastAsia" w:ascii="宋体" w:hAnsi="宋体" w:cs="宋体"/>
                <w:bCs/>
                <w:color w:val="auto"/>
                <w:szCs w:val="21"/>
              </w:rPr>
              <w:t>期环</w:t>
            </w:r>
          </w:p>
          <w:p w14:paraId="05D7A978">
            <w:pPr>
              <w:adjustRightInd w:val="0"/>
              <w:snapToGrid w:val="0"/>
              <w:jc w:val="center"/>
              <w:rPr>
                <w:rFonts w:hint="eastAsia" w:ascii="宋体" w:hAnsi="宋体" w:cs="宋体"/>
                <w:bCs/>
                <w:color w:val="auto"/>
                <w:szCs w:val="21"/>
              </w:rPr>
            </w:pPr>
            <w:r>
              <w:rPr>
                <w:rFonts w:hint="eastAsia" w:ascii="宋体" w:hAnsi="宋体" w:cs="宋体"/>
                <w:bCs/>
                <w:color w:val="auto"/>
                <w:szCs w:val="21"/>
              </w:rPr>
              <w:t>境影</w:t>
            </w:r>
          </w:p>
          <w:p w14:paraId="0C5B987C">
            <w:pPr>
              <w:adjustRightInd w:val="0"/>
              <w:snapToGrid w:val="0"/>
              <w:jc w:val="center"/>
              <w:rPr>
                <w:rFonts w:hint="eastAsia" w:ascii="宋体" w:hAnsi="宋体" w:cs="宋体"/>
                <w:bCs/>
                <w:color w:val="auto"/>
                <w:szCs w:val="21"/>
              </w:rPr>
            </w:pPr>
            <w:r>
              <w:rPr>
                <w:rFonts w:hint="eastAsia" w:ascii="宋体" w:hAnsi="宋体" w:cs="宋体"/>
                <w:bCs/>
                <w:color w:val="auto"/>
                <w:szCs w:val="21"/>
              </w:rPr>
              <w:t>响和</w:t>
            </w:r>
          </w:p>
          <w:p w14:paraId="2B376EFF">
            <w:pPr>
              <w:adjustRightInd w:val="0"/>
              <w:snapToGrid w:val="0"/>
              <w:jc w:val="center"/>
              <w:rPr>
                <w:rFonts w:hint="eastAsia" w:ascii="宋体" w:hAnsi="宋体" w:cs="宋体"/>
                <w:bCs/>
                <w:color w:val="auto"/>
                <w:szCs w:val="21"/>
              </w:rPr>
            </w:pPr>
            <w:r>
              <w:rPr>
                <w:rFonts w:hint="eastAsia" w:ascii="宋体" w:hAnsi="宋体" w:cs="宋体"/>
                <w:bCs/>
                <w:color w:val="auto"/>
                <w:szCs w:val="21"/>
              </w:rPr>
              <w:t>保护</w:t>
            </w:r>
          </w:p>
          <w:p w14:paraId="375F948C">
            <w:pPr>
              <w:adjustRightInd w:val="0"/>
              <w:snapToGrid w:val="0"/>
              <w:jc w:val="center"/>
              <w:rPr>
                <w:rFonts w:ascii="宋体" w:hAnsi="宋体" w:cs="宋体"/>
                <w:bCs/>
                <w:color w:val="auto"/>
                <w:szCs w:val="21"/>
              </w:rPr>
            </w:pPr>
            <w:r>
              <w:rPr>
                <w:rFonts w:hint="eastAsia" w:ascii="宋体" w:hAnsi="宋体" w:cs="宋体"/>
                <w:bCs/>
                <w:color w:val="auto"/>
                <w:szCs w:val="21"/>
              </w:rPr>
              <w:t>措施</w:t>
            </w:r>
          </w:p>
        </w:tc>
        <w:tc>
          <w:tcPr>
            <w:tcW w:w="8162" w:type="dxa"/>
            <w:noWrap w:val="0"/>
            <w:vAlign w:val="center"/>
          </w:tcPr>
          <w:p w14:paraId="79C3DF96">
            <w:pPr>
              <w:keepNext/>
              <w:keepLines/>
              <w:widowControl w:val="0"/>
              <w:bidi w:val="0"/>
              <w:spacing w:beforeLines="0" w:beforeAutospacing="0" w:afterLines="0" w:afterAutospacing="0" w:line="360" w:lineRule="auto"/>
              <w:jc w:val="left"/>
              <w:outlineLvl w:val="1"/>
              <w:rPr>
                <w:rFonts w:hint="eastAsia" w:ascii="Times New Roman" w:hAnsi="Times New Roman" w:eastAsia="宋体" w:cs="Times New Roman"/>
                <w:b/>
                <w:color w:val="auto"/>
                <w:kern w:val="2"/>
                <w:sz w:val="28"/>
                <w:szCs w:val="24"/>
                <w:lang w:val="en-US" w:eastAsia="zh-CN" w:bidi="ar-SA"/>
              </w:rPr>
            </w:pPr>
            <w:bookmarkStart w:id="58" w:name="_Toc9394"/>
            <w:r>
              <w:rPr>
                <w:rFonts w:hint="eastAsia" w:ascii="Times New Roman" w:hAnsi="Times New Roman" w:eastAsia="宋体" w:cs="Times New Roman"/>
                <w:b/>
                <w:color w:val="auto"/>
                <w:kern w:val="2"/>
                <w:sz w:val="28"/>
                <w:szCs w:val="24"/>
                <w:lang w:val="en-US" w:eastAsia="zh-CN" w:bidi="ar-SA"/>
              </w:rPr>
              <w:t>4.1运营期水环境影响分析和污染防治措施</w:t>
            </w:r>
            <w:bookmarkEnd w:id="58"/>
          </w:p>
          <w:p w14:paraId="6EE6C33D">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59" w:name="_Toc25549"/>
            <w:r>
              <w:rPr>
                <w:rFonts w:hint="eastAsia" w:ascii="Times New Roman" w:hAnsi="Times New Roman" w:eastAsia="宋体" w:cs="Times New Roman"/>
                <w:b/>
                <w:color w:val="auto"/>
                <w:kern w:val="2"/>
                <w:sz w:val="24"/>
                <w:szCs w:val="24"/>
                <w:lang w:val="en-US" w:eastAsia="zh-CN" w:bidi="ar-SA"/>
              </w:rPr>
              <w:t>4.1.1运营期废水源强核算</w:t>
            </w:r>
            <w:bookmarkEnd w:id="59"/>
          </w:p>
          <w:p w14:paraId="4BC74995">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本项目产生的废水包括铣磨废水、抛光废水、倒边废水、超洗废水、研磨用水、喷淋塔用水</w:t>
            </w:r>
            <w:r>
              <w:rPr>
                <w:rFonts w:hint="eastAsia" w:cs="宋体"/>
                <w:color w:val="auto"/>
                <w:kern w:val="2"/>
                <w:sz w:val="24"/>
                <w:szCs w:val="24"/>
                <w:lang w:val="en-US" w:eastAsia="zh-CN" w:bidi="ar-SA"/>
              </w:rPr>
              <w:t>以及晶体生长废水，</w:t>
            </w:r>
            <w:r>
              <w:rPr>
                <w:rFonts w:hint="eastAsia" w:ascii="Times New Roman" w:hAnsi="Times New Roman" w:eastAsia="宋体" w:cs="宋体"/>
                <w:color w:val="auto"/>
                <w:kern w:val="2"/>
                <w:sz w:val="24"/>
                <w:szCs w:val="24"/>
                <w:lang w:val="en-US" w:eastAsia="zh-CN" w:bidi="ar-SA"/>
              </w:rPr>
              <w:t>生活污水。</w:t>
            </w:r>
          </w:p>
          <w:p w14:paraId="6CF2AFC8">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（1）铣磨研磨废水</w:t>
            </w:r>
          </w:p>
          <w:p w14:paraId="337D8E35">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铣磨</w:t>
            </w:r>
            <w:r>
              <w:rPr>
                <w:rFonts w:hint="eastAsia" w:cs="宋体"/>
                <w:color w:val="auto"/>
                <w:kern w:val="2"/>
                <w:sz w:val="24"/>
                <w:szCs w:val="24"/>
                <w:lang w:val="en-US" w:eastAsia="zh-CN" w:bidi="ar-SA"/>
              </w:rPr>
              <w:t>以及研磨</w:t>
            </w:r>
            <w:r>
              <w:rPr>
                <w:rFonts w:hint="eastAsia" w:ascii="Times New Roman" w:hAnsi="Times New Roman" w:eastAsia="宋体" w:cs="宋体"/>
                <w:color w:val="auto"/>
                <w:kern w:val="2"/>
                <w:sz w:val="24"/>
                <w:szCs w:val="24"/>
                <w:lang w:val="en-US" w:eastAsia="zh-CN" w:bidi="ar-SA"/>
              </w:rPr>
              <w:t>工序的</w:t>
            </w:r>
            <w:r>
              <w:rPr>
                <w:rFonts w:hint="eastAsia" w:cs="宋体"/>
                <w:color w:val="auto"/>
                <w:kern w:val="2"/>
                <w:sz w:val="24"/>
                <w:szCs w:val="24"/>
                <w:lang w:val="en-US" w:eastAsia="zh-CN" w:bidi="ar-SA"/>
              </w:rPr>
              <w:t>晶体</w:t>
            </w:r>
            <w:r>
              <w:rPr>
                <w:rFonts w:hint="eastAsia" w:ascii="Times New Roman" w:hAnsi="Times New Roman" w:eastAsia="宋体" w:cs="宋体"/>
                <w:color w:val="auto"/>
                <w:kern w:val="2"/>
                <w:sz w:val="24"/>
                <w:szCs w:val="24"/>
                <w:lang w:val="en-US" w:eastAsia="zh-CN" w:bidi="ar-SA"/>
              </w:rPr>
              <w:t>研磨机中会将</w:t>
            </w:r>
            <w:r>
              <w:rPr>
                <w:rFonts w:hint="eastAsia" w:cs="宋体"/>
                <w:color w:val="auto"/>
                <w:kern w:val="2"/>
                <w:sz w:val="24"/>
                <w:szCs w:val="24"/>
                <w:lang w:val="en-US" w:eastAsia="zh-CN" w:bidi="ar-SA"/>
              </w:rPr>
              <w:t>光学元器件</w:t>
            </w:r>
            <w:r>
              <w:rPr>
                <w:rFonts w:hint="eastAsia" w:ascii="Times New Roman" w:hAnsi="Times New Roman" w:eastAsia="宋体" w:cs="宋体"/>
                <w:color w:val="auto"/>
                <w:kern w:val="2"/>
                <w:sz w:val="24"/>
                <w:szCs w:val="24"/>
                <w:lang w:val="en-US" w:eastAsia="zh-CN" w:bidi="ar-SA"/>
              </w:rPr>
              <w:t>材料进行切割铣磨，铣磨新鲜水使用量为</w:t>
            </w:r>
            <w:r>
              <w:rPr>
                <w:rFonts w:hint="eastAsia" w:cs="宋体"/>
                <w:color w:val="auto"/>
                <w:kern w:val="2"/>
                <w:sz w:val="24"/>
                <w:szCs w:val="24"/>
                <w:lang w:val="en-US" w:eastAsia="zh-CN" w:bidi="ar-SA"/>
              </w:rPr>
              <w:t>150</w:t>
            </w:r>
            <w:r>
              <w:rPr>
                <w:rFonts w:hint="eastAsia" w:ascii="Times New Roman" w:hAnsi="Times New Roman" w:eastAsia="宋体" w:cs="宋体"/>
                <w:color w:val="auto"/>
                <w:kern w:val="2"/>
                <w:sz w:val="24"/>
                <w:szCs w:val="24"/>
                <w:lang w:val="en-US" w:eastAsia="zh-CN" w:bidi="ar-SA"/>
              </w:rPr>
              <w:t>t/a，废水产生量为</w:t>
            </w:r>
            <w:r>
              <w:rPr>
                <w:rFonts w:hint="eastAsia" w:cs="宋体"/>
                <w:color w:val="auto"/>
                <w:kern w:val="2"/>
                <w:sz w:val="24"/>
                <w:szCs w:val="24"/>
                <w:lang w:val="en-US" w:eastAsia="zh-CN" w:bidi="ar-SA"/>
              </w:rPr>
              <w:t>150</w:t>
            </w:r>
            <w:r>
              <w:rPr>
                <w:rFonts w:hint="eastAsia" w:ascii="Times New Roman" w:hAnsi="Times New Roman" w:eastAsia="宋体" w:cs="宋体"/>
                <w:color w:val="auto"/>
                <w:kern w:val="2"/>
                <w:sz w:val="24"/>
                <w:szCs w:val="24"/>
                <w:lang w:val="en-US" w:eastAsia="zh-CN" w:bidi="ar-SA"/>
              </w:rPr>
              <w:t>t/a，产生的废水经过三格沉淀池沉淀处理后，</w:t>
            </w:r>
            <w:r>
              <w:rPr>
                <w:rStyle w:val="27"/>
                <w:rFonts w:hint="eastAsia" w:ascii="Times New Roman" w:hAnsi="Times New Roman" w:eastAsia="宋体"/>
                <w:color w:val="auto"/>
                <w:sz w:val="24"/>
                <w:lang w:val="en-US" w:eastAsia="zh-CN"/>
              </w:rPr>
              <w:t>进入调节池，再经过废水处理设施处理达标后排入市政管网，纳入大学城污水处理厂</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参</w:t>
            </w:r>
            <w:r>
              <w:rPr>
                <w:rFonts w:hint="eastAsia" w:ascii="Times New Roman" w:hAnsi="Times New Roman" w:eastAsia="宋体" w:cs="宋体"/>
                <w:color w:val="auto"/>
                <w:kern w:val="2"/>
                <w:sz w:val="24"/>
                <w:szCs w:val="24"/>
                <w:lang w:val="en-US" w:eastAsia="zh-CN" w:bidi="ar-SA"/>
              </w:rPr>
              <w:t>考</w:t>
            </w:r>
            <w:r>
              <w:rPr>
                <w:rFonts w:hint="default" w:ascii="Times New Roman" w:hAnsi="Times New Roman" w:eastAsia="宋体" w:cs="宋体"/>
                <w:color w:val="auto"/>
                <w:kern w:val="2"/>
                <w:sz w:val="24"/>
                <w:szCs w:val="24"/>
                <w:lang w:val="en-US" w:eastAsia="zh-CN" w:bidi="ar-SA"/>
              </w:rPr>
              <w:t>《排放源统计调查产排污核算方法和系数手册》中《38-40电子电气行业系数手册》</w:t>
            </w:r>
            <w:r>
              <w:rPr>
                <w:rFonts w:hint="eastAsia" w:ascii="Times New Roman" w:hAnsi="Times New Roman" w:eastAsia="宋体" w:cs="宋体"/>
                <w:color w:val="auto"/>
                <w:kern w:val="2"/>
                <w:sz w:val="24"/>
                <w:szCs w:val="24"/>
                <w:lang w:val="en-US" w:eastAsia="zh-CN" w:bidi="ar-SA"/>
              </w:rPr>
              <w:t>切片、研磨</w:t>
            </w:r>
            <w:r>
              <w:rPr>
                <w:rFonts w:hint="default" w:ascii="Times New Roman" w:hAnsi="Times New Roman" w:eastAsia="宋体" w:cs="宋体"/>
                <w:color w:val="auto"/>
                <w:kern w:val="2"/>
                <w:sz w:val="24"/>
                <w:szCs w:val="24"/>
                <w:lang w:val="en-US" w:eastAsia="zh-CN" w:bidi="ar-SA"/>
              </w:rPr>
              <w:t>的废水产污系数</w:t>
            </w:r>
            <w:r>
              <w:rPr>
                <w:rFonts w:hint="eastAsia" w:ascii="Times New Roman" w:hAnsi="Times New Roman" w:eastAsia="宋体" w:cs="宋体"/>
                <w:color w:val="auto"/>
                <w:kern w:val="2"/>
                <w:sz w:val="24"/>
                <w:szCs w:val="24"/>
                <w:lang w:val="en-US" w:eastAsia="zh-CN" w:bidi="ar-SA"/>
              </w:rPr>
              <w:t>，化学需氧量产污系数为2.092×10</w:t>
            </w:r>
            <w:r>
              <w:rPr>
                <w:rFonts w:hint="eastAsia" w:ascii="Times New Roman" w:hAnsi="Times New Roman" w:eastAsia="宋体" w:cs="宋体"/>
                <w:color w:val="auto"/>
                <w:kern w:val="2"/>
                <w:sz w:val="24"/>
                <w:szCs w:val="24"/>
                <w:vertAlign w:val="superscript"/>
                <w:lang w:val="en-US" w:eastAsia="zh-CN" w:bidi="ar-SA"/>
              </w:rPr>
              <w:t>2</w:t>
            </w:r>
            <w:r>
              <w:rPr>
                <w:rFonts w:hint="eastAsia" w:ascii="Times New Roman" w:hAnsi="Times New Roman" w:eastAsia="宋体" w:cs="宋体"/>
                <w:color w:val="auto"/>
                <w:kern w:val="2"/>
                <w:sz w:val="24"/>
                <w:szCs w:val="24"/>
                <w:lang w:val="en-US" w:eastAsia="zh-CN" w:bidi="ar-SA"/>
              </w:rPr>
              <w:t>克/千克－原料，氨氮产污系数为4.456×10</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vertAlign w:val="superscript"/>
                <w:lang w:val="en-US" w:eastAsia="zh-CN" w:bidi="ar-SA"/>
              </w:rPr>
              <w:t>1</w:t>
            </w:r>
            <w:r>
              <w:rPr>
                <w:rFonts w:hint="eastAsia" w:ascii="Times New Roman" w:hAnsi="Times New Roman" w:eastAsia="宋体" w:cs="宋体"/>
                <w:color w:val="auto"/>
                <w:kern w:val="2"/>
                <w:sz w:val="24"/>
                <w:szCs w:val="24"/>
                <w:lang w:val="en-US" w:eastAsia="zh-CN" w:bidi="ar-SA"/>
              </w:rPr>
              <w:t>克/千克－原料，项目磨削液使用量为0.2t/a，则化学需氧量产生量为0.04184t/a，氨氮产生量为0.000088t/a。</w:t>
            </w:r>
          </w:p>
          <w:p w14:paraId="3CA3C106">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（2）倒边废水</w:t>
            </w:r>
          </w:p>
          <w:p w14:paraId="4C3AABFB">
            <w:pPr>
              <w:pStyle w:val="25"/>
              <w:bidi w:val="0"/>
              <w:rPr>
                <w:rFonts w:hint="eastAsia" w:ascii="Times New Roman" w:hAnsi="Times New Roman" w:eastAsia="宋体"/>
                <w:color w:val="auto"/>
                <w:sz w:val="24"/>
                <w:lang w:val="en-US" w:eastAsia="zh-CN"/>
              </w:rPr>
            </w:pPr>
            <w:r>
              <w:rPr>
                <w:rFonts w:hint="eastAsia" w:ascii="Times New Roman" w:hAnsi="Times New Roman" w:eastAsia="宋体"/>
                <w:color w:val="auto"/>
                <w:sz w:val="24"/>
                <w:lang w:val="en-US" w:eastAsia="zh-CN"/>
              </w:rPr>
              <w:t>倒角</w:t>
            </w:r>
            <w:r>
              <w:rPr>
                <w:rFonts w:hint="default" w:ascii="Times New Roman" w:hAnsi="Times New Roman" w:eastAsia="宋体"/>
                <w:color w:val="auto"/>
                <w:sz w:val="24"/>
                <w:lang w:val="en-US" w:eastAsia="zh-CN"/>
              </w:rPr>
              <w:t>工序在</w:t>
            </w:r>
            <w:r>
              <w:rPr>
                <w:rFonts w:hint="eastAsia"/>
                <w:color w:val="auto"/>
                <w:sz w:val="24"/>
                <w:lang w:val="en-US" w:eastAsia="zh-CN"/>
              </w:rPr>
              <w:t>铣磨</w:t>
            </w:r>
            <w:r>
              <w:rPr>
                <w:rFonts w:hint="default" w:ascii="Times New Roman" w:hAnsi="Times New Roman" w:eastAsia="宋体"/>
                <w:color w:val="auto"/>
                <w:sz w:val="24"/>
                <w:lang w:val="en-US" w:eastAsia="zh-CN"/>
              </w:rPr>
              <w:t>机上</w:t>
            </w:r>
            <w:r>
              <w:rPr>
                <w:rFonts w:hint="eastAsia"/>
                <w:color w:val="auto"/>
                <w:sz w:val="24"/>
                <w:lang w:val="en-US" w:eastAsia="zh-CN"/>
              </w:rPr>
              <w:t>对</w:t>
            </w:r>
            <w:r>
              <w:rPr>
                <w:rFonts w:hint="eastAsia" w:ascii="Times New Roman" w:hAnsi="Times New Roman" w:eastAsia="宋体"/>
                <w:color w:val="auto"/>
                <w:sz w:val="24"/>
                <w:lang w:val="en-US" w:eastAsia="zh-CN"/>
              </w:rPr>
              <w:t>晶体</w:t>
            </w:r>
            <w:r>
              <w:rPr>
                <w:rFonts w:hint="default" w:ascii="Times New Roman" w:hAnsi="Times New Roman" w:eastAsia="宋体"/>
                <w:color w:val="auto"/>
                <w:sz w:val="24"/>
                <w:lang w:val="en-US" w:eastAsia="zh-CN"/>
              </w:rPr>
              <w:t>进行</w:t>
            </w:r>
            <w:r>
              <w:rPr>
                <w:rFonts w:hint="eastAsia" w:ascii="Times New Roman" w:hAnsi="Times New Roman" w:eastAsia="宋体"/>
                <w:color w:val="auto"/>
                <w:sz w:val="24"/>
                <w:lang w:val="en-US" w:eastAsia="zh-CN"/>
              </w:rPr>
              <w:t>倒角</w:t>
            </w:r>
            <w:r>
              <w:rPr>
                <w:rFonts w:hint="default" w:ascii="Times New Roman" w:hAnsi="Times New Roman" w:eastAsia="宋体"/>
                <w:color w:val="auto"/>
                <w:sz w:val="24"/>
                <w:lang w:val="en-US" w:eastAsia="zh-CN"/>
              </w:rPr>
              <w:t>，该工序新鲜水使用量为</w:t>
            </w:r>
            <w:r>
              <w:rPr>
                <w:rFonts w:hint="eastAsia" w:ascii="Times New Roman" w:hAnsi="Times New Roman" w:eastAsia="宋体"/>
                <w:color w:val="auto"/>
                <w:sz w:val="24"/>
                <w:lang w:val="en-US" w:eastAsia="zh-CN"/>
              </w:rPr>
              <w:t>350</w:t>
            </w:r>
            <w:r>
              <w:rPr>
                <w:rFonts w:hint="default" w:ascii="Times New Roman" w:hAnsi="Times New Roman" w:eastAsia="宋体"/>
                <w:color w:val="auto"/>
                <w:sz w:val="24"/>
                <w:lang w:val="en-US" w:eastAsia="zh-CN"/>
              </w:rPr>
              <w:t>吨/年。</w:t>
            </w:r>
            <w:r>
              <w:rPr>
                <w:rFonts w:hint="eastAsia" w:ascii="Times New Roman" w:hAnsi="Times New Roman" w:eastAsia="宋体"/>
                <w:color w:val="auto"/>
                <w:sz w:val="24"/>
                <w:lang w:val="en-US" w:eastAsia="zh-CN"/>
              </w:rPr>
              <w:t>倒角研磨废水进入三格沉淀池沉淀处理后，进入集水调节池，再混凝沉淀经过废水处理设施处理达标后排入市政管网，纳入大学城污水处理厂。</w:t>
            </w:r>
            <w:r>
              <w:rPr>
                <w:rFonts w:hint="eastAsia"/>
                <w:color w:val="auto"/>
                <w:sz w:val="24"/>
                <w:lang w:val="en-US" w:eastAsia="zh-CN"/>
              </w:rPr>
              <w:t>参照</w:t>
            </w:r>
            <w:r>
              <w:rPr>
                <w:rFonts w:hint="eastAsia" w:ascii="Times New Roman" w:hAnsi="Times New Roman" w:eastAsia="宋体" w:cs="宋体"/>
                <w:color w:val="auto"/>
                <w:kern w:val="2"/>
                <w:sz w:val="24"/>
                <w:szCs w:val="24"/>
                <w:lang w:val="en-US" w:eastAsia="zh-CN" w:bidi="ar-SA"/>
              </w:rPr>
              <w:t>参考《排放源统计调查产排污核算方法和系数手册》中《3052</w:t>
            </w:r>
            <w:r>
              <w:rPr>
                <w:rFonts w:hint="eastAsia" w:cs="宋体"/>
                <w:color w:val="auto"/>
                <w:kern w:val="2"/>
                <w:sz w:val="24"/>
                <w:szCs w:val="24"/>
                <w:lang w:val="en-US" w:eastAsia="zh-CN" w:bidi="ar-SA"/>
              </w:rPr>
              <w:t>光学元器件</w:t>
            </w:r>
            <w:r>
              <w:rPr>
                <w:rFonts w:hint="eastAsia" w:ascii="Times New Roman" w:hAnsi="Times New Roman" w:eastAsia="宋体" w:cs="宋体"/>
                <w:color w:val="auto"/>
                <w:kern w:val="2"/>
                <w:sz w:val="24"/>
                <w:szCs w:val="24"/>
                <w:lang w:val="en-US" w:eastAsia="zh-CN" w:bidi="ar-SA"/>
              </w:rPr>
              <w:t>制造行业系数手册》切削打磨的废水产污系数，化学需氧量产污系数为410克/吨－产品，</w:t>
            </w:r>
            <w:r>
              <w:rPr>
                <w:rFonts w:ascii="宋体" w:hAnsi="宋体" w:eastAsia="宋体" w:cs="宋体"/>
                <w:color w:val="auto"/>
                <w:sz w:val="24"/>
                <w:szCs w:val="24"/>
              </w:rPr>
              <w:t>非线性晶体</w:t>
            </w:r>
            <w:r>
              <w:rPr>
                <w:rFonts w:hint="eastAsia" w:ascii="Times New Roman" w:hAnsi="Times New Roman" w:eastAsia="宋体" w:cs="宋体"/>
                <w:color w:val="auto"/>
                <w:kern w:val="2"/>
                <w:sz w:val="24"/>
                <w:szCs w:val="24"/>
                <w:highlight w:val="none"/>
                <w:lang w:val="en-US" w:eastAsia="zh-CN" w:bidi="ar-SA"/>
              </w:rPr>
              <w:t>：年产量1万</w:t>
            </w:r>
            <w:r>
              <w:rPr>
                <w:rFonts w:hint="eastAsia" w:cs="宋体"/>
                <w:color w:val="auto"/>
                <w:kern w:val="2"/>
                <w:sz w:val="24"/>
                <w:szCs w:val="24"/>
                <w:highlight w:val="none"/>
                <w:lang w:val="en-US" w:eastAsia="zh-CN" w:bidi="ar-SA"/>
              </w:rPr>
              <w:t>片</w:t>
            </w:r>
            <w:r>
              <w:rPr>
                <w:rFonts w:hint="eastAsia" w:ascii="Times New Roman" w:hAnsi="Times New Roman" w:eastAsia="宋体" w:cs="宋体"/>
                <w:color w:val="auto"/>
                <w:kern w:val="2"/>
                <w:sz w:val="24"/>
                <w:szCs w:val="24"/>
                <w:highlight w:val="none"/>
                <w:lang w:val="en-US" w:eastAsia="zh-CN" w:bidi="ar-SA"/>
              </w:rPr>
              <w:t>，单</w:t>
            </w:r>
            <w:r>
              <w:rPr>
                <w:rFonts w:hint="eastAsia" w:cs="宋体"/>
                <w:color w:val="auto"/>
                <w:kern w:val="2"/>
                <w:sz w:val="24"/>
                <w:szCs w:val="24"/>
                <w:highlight w:val="none"/>
                <w:lang w:val="en-US" w:eastAsia="zh-CN" w:bidi="ar-SA"/>
              </w:rPr>
              <w:t>片</w:t>
            </w:r>
            <w:r>
              <w:rPr>
                <w:rFonts w:hint="eastAsia" w:ascii="Times New Roman" w:hAnsi="Times New Roman" w:eastAsia="宋体" w:cs="宋体"/>
                <w:color w:val="auto"/>
                <w:kern w:val="2"/>
                <w:sz w:val="24"/>
                <w:szCs w:val="24"/>
                <w:highlight w:val="none"/>
                <w:lang w:val="en-US" w:eastAsia="zh-CN" w:bidi="ar-SA"/>
              </w:rPr>
              <w:t>重0.</w:t>
            </w:r>
            <w:r>
              <w:rPr>
                <w:rFonts w:hint="eastAsia" w:cs="宋体"/>
                <w:color w:val="auto"/>
                <w:kern w:val="2"/>
                <w:sz w:val="24"/>
                <w:szCs w:val="24"/>
                <w:highlight w:val="none"/>
                <w:lang w:val="en-US" w:eastAsia="zh-CN" w:bidi="ar-SA"/>
              </w:rPr>
              <w:t>48</w:t>
            </w:r>
            <w:r>
              <w:rPr>
                <w:rFonts w:hint="eastAsia" w:ascii="Times New Roman" w:hAnsi="Times New Roman" w:eastAsia="宋体" w:cs="宋体"/>
                <w:color w:val="auto"/>
                <w:kern w:val="2"/>
                <w:sz w:val="24"/>
                <w:szCs w:val="24"/>
                <w:highlight w:val="none"/>
                <w:lang w:val="en-US" w:eastAsia="zh-CN" w:bidi="ar-SA"/>
              </w:rPr>
              <w:t>g，总重</w:t>
            </w:r>
            <w:r>
              <w:rPr>
                <w:rFonts w:hint="eastAsia" w:cs="宋体"/>
                <w:color w:val="auto"/>
                <w:kern w:val="2"/>
                <w:sz w:val="24"/>
                <w:szCs w:val="24"/>
                <w:highlight w:val="none"/>
                <w:lang w:val="en-US" w:eastAsia="zh-CN" w:bidi="ar-SA"/>
              </w:rPr>
              <w:t>4.8</w:t>
            </w:r>
            <w:r>
              <w:rPr>
                <w:rFonts w:hint="eastAsia" w:ascii="Times New Roman" w:hAnsi="Times New Roman" w:eastAsia="宋体" w:cs="宋体"/>
                <w:color w:val="auto"/>
                <w:kern w:val="2"/>
                <w:sz w:val="24"/>
                <w:szCs w:val="24"/>
                <w:highlight w:val="none"/>
                <w:lang w:val="en-US" w:eastAsia="zh-CN" w:bidi="ar-SA"/>
              </w:rPr>
              <w:t>kg；</w:t>
            </w:r>
            <w:r>
              <w:rPr>
                <w:rFonts w:ascii="宋体" w:hAnsi="宋体" w:eastAsia="宋体" w:cs="宋体"/>
                <w:color w:val="auto"/>
                <w:sz w:val="24"/>
                <w:szCs w:val="24"/>
              </w:rPr>
              <w:t>磁光晶体</w:t>
            </w:r>
            <w:r>
              <w:rPr>
                <w:rFonts w:hint="eastAsia" w:ascii="Times New Roman" w:hAnsi="Times New Roman" w:eastAsia="宋体" w:cs="宋体"/>
                <w:color w:val="auto"/>
                <w:kern w:val="2"/>
                <w:sz w:val="24"/>
                <w:szCs w:val="24"/>
                <w:highlight w:val="none"/>
                <w:lang w:val="en-US" w:eastAsia="zh-CN" w:bidi="ar-SA"/>
              </w:rPr>
              <w:t>：年产量</w:t>
            </w:r>
            <w:r>
              <w:rPr>
                <w:rFonts w:hint="eastAsia" w:cs="宋体"/>
                <w:color w:val="auto"/>
                <w:kern w:val="2"/>
                <w:sz w:val="24"/>
                <w:szCs w:val="24"/>
                <w:highlight w:val="none"/>
                <w:lang w:val="en-US" w:eastAsia="zh-CN" w:bidi="ar-SA"/>
              </w:rPr>
              <w:t>10</w:t>
            </w:r>
            <w:r>
              <w:rPr>
                <w:rFonts w:hint="eastAsia" w:ascii="Times New Roman" w:hAnsi="Times New Roman" w:eastAsia="宋体" w:cs="宋体"/>
                <w:color w:val="auto"/>
                <w:kern w:val="2"/>
                <w:sz w:val="24"/>
                <w:szCs w:val="24"/>
                <w:highlight w:val="none"/>
                <w:lang w:val="en-US" w:eastAsia="zh-CN" w:bidi="ar-SA"/>
              </w:rPr>
              <w:t>万</w:t>
            </w:r>
            <w:r>
              <w:rPr>
                <w:rFonts w:hint="eastAsia" w:cs="宋体"/>
                <w:color w:val="auto"/>
                <w:kern w:val="2"/>
                <w:sz w:val="24"/>
                <w:szCs w:val="24"/>
                <w:highlight w:val="none"/>
                <w:lang w:val="en-US" w:eastAsia="zh-CN" w:bidi="ar-SA"/>
              </w:rPr>
              <w:t>片</w:t>
            </w:r>
            <w:r>
              <w:rPr>
                <w:rFonts w:hint="eastAsia" w:ascii="Times New Roman" w:hAnsi="Times New Roman" w:eastAsia="宋体" w:cs="宋体"/>
                <w:color w:val="auto"/>
                <w:kern w:val="2"/>
                <w:sz w:val="24"/>
                <w:szCs w:val="24"/>
                <w:highlight w:val="none"/>
                <w:lang w:val="en-US" w:eastAsia="zh-CN" w:bidi="ar-SA"/>
              </w:rPr>
              <w:t>，单片重</w:t>
            </w:r>
            <w:r>
              <w:rPr>
                <w:rFonts w:hint="eastAsia" w:cs="宋体"/>
                <w:color w:val="auto"/>
                <w:kern w:val="2"/>
                <w:sz w:val="24"/>
                <w:szCs w:val="24"/>
                <w:highlight w:val="none"/>
                <w:lang w:val="en-US" w:eastAsia="zh-CN" w:bidi="ar-SA"/>
              </w:rPr>
              <w:t>0.14</w:t>
            </w:r>
            <w:r>
              <w:rPr>
                <w:rFonts w:hint="eastAsia" w:ascii="Times New Roman" w:hAnsi="Times New Roman" w:eastAsia="宋体" w:cs="宋体"/>
                <w:color w:val="auto"/>
                <w:kern w:val="2"/>
                <w:sz w:val="24"/>
                <w:szCs w:val="24"/>
                <w:highlight w:val="none"/>
                <w:lang w:val="en-US" w:eastAsia="zh-CN" w:bidi="ar-SA"/>
              </w:rPr>
              <w:t>g，总重</w:t>
            </w:r>
            <w:r>
              <w:rPr>
                <w:rFonts w:hint="eastAsia" w:cs="宋体"/>
                <w:color w:val="auto"/>
                <w:kern w:val="2"/>
                <w:sz w:val="24"/>
                <w:szCs w:val="24"/>
                <w:highlight w:val="none"/>
                <w:lang w:val="en-US" w:eastAsia="zh-CN" w:bidi="ar-SA"/>
              </w:rPr>
              <w:t>14</w:t>
            </w:r>
            <w:r>
              <w:rPr>
                <w:rFonts w:hint="eastAsia" w:ascii="Times New Roman" w:hAnsi="Times New Roman" w:eastAsia="宋体" w:cs="宋体"/>
                <w:color w:val="auto"/>
                <w:kern w:val="2"/>
                <w:sz w:val="24"/>
                <w:szCs w:val="24"/>
                <w:highlight w:val="none"/>
                <w:lang w:val="en-US" w:eastAsia="zh-CN" w:bidi="ar-SA"/>
              </w:rPr>
              <w:t>kg</w:t>
            </w:r>
            <w:r>
              <w:rPr>
                <w:rFonts w:hint="eastAsia" w:cs="宋体"/>
                <w:color w:val="auto"/>
                <w:kern w:val="2"/>
                <w:sz w:val="24"/>
                <w:szCs w:val="24"/>
                <w:highlight w:val="none"/>
                <w:lang w:val="en-US" w:eastAsia="zh-CN" w:bidi="ar-SA"/>
              </w:rPr>
              <w:t>；</w:t>
            </w:r>
            <w:r>
              <w:rPr>
                <w:rFonts w:ascii="宋体" w:hAnsi="宋体" w:eastAsia="宋体" w:cs="宋体"/>
                <w:color w:val="auto"/>
                <w:sz w:val="24"/>
                <w:szCs w:val="24"/>
              </w:rPr>
              <w:t>激光晶体</w:t>
            </w:r>
            <w:r>
              <w:rPr>
                <w:rFonts w:hint="eastAsia" w:ascii="Times New Roman" w:hAnsi="Times New Roman" w:eastAsia="宋体" w:cs="宋体"/>
                <w:color w:val="auto"/>
                <w:kern w:val="2"/>
                <w:sz w:val="24"/>
                <w:szCs w:val="24"/>
                <w:highlight w:val="none"/>
                <w:lang w:val="en-US" w:eastAsia="zh-CN" w:bidi="ar-SA"/>
              </w:rPr>
              <w:t>：年产量</w:t>
            </w:r>
            <w:r>
              <w:rPr>
                <w:rFonts w:hint="eastAsia" w:cs="宋体"/>
                <w:color w:val="auto"/>
                <w:kern w:val="2"/>
                <w:sz w:val="24"/>
                <w:szCs w:val="24"/>
                <w:highlight w:val="none"/>
                <w:lang w:val="en-US" w:eastAsia="zh-CN" w:bidi="ar-SA"/>
              </w:rPr>
              <w:t>20</w:t>
            </w:r>
            <w:r>
              <w:rPr>
                <w:rFonts w:hint="eastAsia" w:ascii="Times New Roman" w:hAnsi="Times New Roman" w:eastAsia="宋体" w:cs="宋体"/>
                <w:color w:val="auto"/>
                <w:kern w:val="2"/>
                <w:sz w:val="24"/>
                <w:szCs w:val="24"/>
                <w:highlight w:val="none"/>
                <w:lang w:val="en-US" w:eastAsia="zh-CN" w:bidi="ar-SA"/>
              </w:rPr>
              <w:t>万</w:t>
            </w:r>
            <w:r>
              <w:rPr>
                <w:rFonts w:hint="eastAsia" w:cs="宋体"/>
                <w:color w:val="auto"/>
                <w:kern w:val="2"/>
                <w:sz w:val="24"/>
                <w:szCs w:val="24"/>
                <w:highlight w:val="none"/>
                <w:lang w:val="en-US" w:eastAsia="zh-CN" w:bidi="ar-SA"/>
              </w:rPr>
              <w:t>片</w:t>
            </w:r>
            <w:r>
              <w:rPr>
                <w:rFonts w:hint="eastAsia" w:ascii="Times New Roman" w:hAnsi="Times New Roman" w:eastAsia="宋体" w:cs="宋体"/>
                <w:color w:val="auto"/>
                <w:kern w:val="2"/>
                <w:sz w:val="24"/>
                <w:szCs w:val="24"/>
                <w:highlight w:val="none"/>
                <w:lang w:val="en-US" w:eastAsia="zh-CN" w:bidi="ar-SA"/>
              </w:rPr>
              <w:t>，单片重</w:t>
            </w:r>
            <w:r>
              <w:rPr>
                <w:rFonts w:hint="eastAsia" w:cs="宋体"/>
                <w:color w:val="auto"/>
                <w:kern w:val="2"/>
                <w:sz w:val="24"/>
                <w:szCs w:val="24"/>
                <w:highlight w:val="none"/>
                <w:lang w:val="en-US" w:eastAsia="zh-CN" w:bidi="ar-SA"/>
              </w:rPr>
              <w:t>0.72</w:t>
            </w:r>
            <w:r>
              <w:rPr>
                <w:rFonts w:hint="eastAsia" w:ascii="Times New Roman" w:hAnsi="Times New Roman" w:eastAsia="宋体" w:cs="宋体"/>
                <w:color w:val="auto"/>
                <w:kern w:val="2"/>
                <w:sz w:val="24"/>
                <w:szCs w:val="24"/>
                <w:highlight w:val="none"/>
                <w:lang w:val="en-US" w:eastAsia="zh-CN" w:bidi="ar-SA"/>
              </w:rPr>
              <w:t>g，总重</w:t>
            </w:r>
            <w:r>
              <w:rPr>
                <w:rFonts w:hint="eastAsia" w:cs="宋体"/>
                <w:color w:val="auto"/>
                <w:kern w:val="2"/>
                <w:sz w:val="24"/>
                <w:szCs w:val="24"/>
                <w:highlight w:val="none"/>
                <w:lang w:val="en-US" w:eastAsia="zh-CN" w:bidi="ar-SA"/>
              </w:rPr>
              <w:t>144</w:t>
            </w:r>
            <w:r>
              <w:rPr>
                <w:rFonts w:hint="eastAsia" w:ascii="Times New Roman" w:hAnsi="Times New Roman" w:eastAsia="宋体" w:cs="宋体"/>
                <w:color w:val="auto"/>
                <w:kern w:val="2"/>
                <w:sz w:val="24"/>
                <w:szCs w:val="24"/>
                <w:highlight w:val="none"/>
                <w:lang w:val="en-US" w:eastAsia="zh-CN" w:bidi="ar-SA"/>
              </w:rPr>
              <w:t>kg</w:t>
            </w:r>
            <w:r>
              <w:rPr>
                <w:rFonts w:hint="eastAsia" w:cs="宋体"/>
                <w:color w:val="auto"/>
                <w:kern w:val="2"/>
                <w:sz w:val="24"/>
                <w:szCs w:val="24"/>
                <w:highlight w:val="none"/>
                <w:lang w:val="en-US" w:eastAsia="zh-CN" w:bidi="ar-SA"/>
              </w:rPr>
              <w:t>；</w:t>
            </w:r>
            <w:r>
              <w:rPr>
                <w:rFonts w:ascii="宋体" w:hAnsi="宋体" w:eastAsia="宋体" w:cs="宋体"/>
                <w:color w:val="auto"/>
                <w:sz w:val="24"/>
                <w:szCs w:val="24"/>
              </w:rPr>
              <w:t>高功率器件</w:t>
            </w:r>
            <w:r>
              <w:rPr>
                <w:rFonts w:hint="eastAsia" w:ascii="Times New Roman" w:hAnsi="Times New Roman" w:eastAsia="宋体" w:cs="宋体"/>
                <w:color w:val="auto"/>
                <w:kern w:val="2"/>
                <w:sz w:val="24"/>
                <w:szCs w:val="24"/>
                <w:highlight w:val="none"/>
                <w:lang w:val="en-US" w:eastAsia="zh-CN" w:bidi="ar-SA"/>
              </w:rPr>
              <w:t>：年产量</w:t>
            </w:r>
            <w:r>
              <w:rPr>
                <w:rFonts w:hint="eastAsia" w:cs="宋体"/>
                <w:color w:val="auto"/>
                <w:kern w:val="2"/>
                <w:sz w:val="24"/>
                <w:szCs w:val="24"/>
                <w:highlight w:val="none"/>
                <w:lang w:val="en-US" w:eastAsia="zh-CN" w:bidi="ar-SA"/>
              </w:rPr>
              <w:t>20</w:t>
            </w:r>
            <w:r>
              <w:rPr>
                <w:rFonts w:hint="eastAsia" w:ascii="Times New Roman" w:hAnsi="Times New Roman" w:eastAsia="宋体" w:cs="宋体"/>
                <w:color w:val="auto"/>
                <w:kern w:val="2"/>
                <w:sz w:val="24"/>
                <w:szCs w:val="24"/>
                <w:highlight w:val="none"/>
                <w:lang w:val="en-US" w:eastAsia="zh-CN" w:bidi="ar-SA"/>
              </w:rPr>
              <w:t>万</w:t>
            </w:r>
            <w:r>
              <w:rPr>
                <w:rFonts w:hint="eastAsia" w:cs="宋体"/>
                <w:color w:val="auto"/>
                <w:kern w:val="2"/>
                <w:sz w:val="24"/>
                <w:szCs w:val="24"/>
                <w:highlight w:val="none"/>
                <w:lang w:val="en-US" w:eastAsia="zh-CN" w:bidi="ar-SA"/>
              </w:rPr>
              <w:t>片</w:t>
            </w:r>
            <w:r>
              <w:rPr>
                <w:rFonts w:hint="eastAsia" w:ascii="Times New Roman" w:hAnsi="Times New Roman" w:eastAsia="宋体" w:cs="宋体"/>
                <w:color w:val="auto"/>
                <w:kern w:val="2"/>
                <w:sz w:val="24"/>
                <w:szCs w:val="24"/>
                <w:highlight w:val="none"/>
                <w:lang w:val="en-US" w:eastAsia="zh-CN" w:bidi="ar-SA"/>
              </w:rPr>
              <w:t>，单片重</w:t>
            </w:r>
            <w:r>
              <w:rPr>
                <w:rFonts w:hint="eastAsia" w:cs="宋体"/>
                <w:color w:val="auto"/>
                <w:kern w:val="2"/>
                <w:sz w:val="24"/>
                <w:szCs w:val="24"/>
                <w:highlight w:val="none"/>
                <w:lang w:val="en-US" w:eastAsia="zh-CN" w:bidi="ar-SA"/>
              </w:rPr>
              <w:t>0.72</w:t>
            </w:r>
            <w:r>
              <w:rPr>
                <w:rFonts w:hint="eastAsia" w:ascii="Times New Roman" w:hAnsi="Times New Roman" w:eastAsia="宋体" w:cs="宋体"/>
                <w:color w:val="auto"/>
                <w:kern w:val="2"/>
                <w:sz w:val="24"/>
                <w:szCs w:val="24"/>
                <w:highlight w:val="none"/>
                <w:lang w:val="en-US" w:eastAsia="zh-CN" w:bidi="ar-SA"/>
              </w:rPr>
              <w:t>g，总重</w:t>
            </w:r>
            <w:r>
              <w:rPr>
                <w:rFonts w:hint="eastAsia" w:cs="宋体"/>
                <w:color w:val="auto"/>
                <w:kern w:val="2"/>
                <w:sz w:val="24"/>
                <w:szCs w:val="24"/>
                <w:highlight w:val="none"/>
                <w:lang w:val="en-US" w:eastAsia="zh-CN" w:bidi="ar-SA"/>
              </w:rPr>
              <w:t>144</w:t>
            </w:r>
            <w:r>
              <w:rPr>
                <w:rFonts w:hint="eastAsia" w:ascii="Times New Roman" w:hAnsi="Times New Roman" w:eastAsia="宋体" w:cs="宋体"/>
                <w:color w:val="auto"/>
                <w:kern w:val="2"/>
                <w:sz w:val="24"/>
                <w:szCs w:val="24"/>
                <w:highlight w:val="none"/>
                <w:lang w:val="en-US" w:eastAsia="zh-CN" w:bidi="ar-SA"/>
              </w:rPr>
              <w:t>kg</w:t>
            </w:r>
            <w:r>
              <w:rPr>
                <w:rFonts w:hint="eastAsia" w:cs="宋体"/>
                <w:color w:val="auto"/>
                <w:kern w:val="2"/>
                <w:sz w:val="24"/>
                <w:szCs w:val="24"/>
                <w:highlight w:val="none"/>
                <w:lang w:val="en-US" w:eastAsia="zh-CN" w:bidi="ar-SA"/>
              </w:rPr>
              <w:t>；</w:t>
            </w:r>
            <w:r>
              <w:rPr>
                <w:rFonts w:hint="eastAsia" w:ascii="Times New Roman" w:hAnsi="Times New Roman" w:eastAsia="宋体" w:cs="宋体"/>
                <w:color w:val="auto"/>
                <w:kern w:val="2"/>
                <w:sz w:val="24"/>
                <w:szCs w:val="24"/>
                <w:highlight w:val="none"/>
                <w:lang w:val="en-US" w:eastAsia="zh-CN" w:bidi="ar-SA"/>
              </w:rPr>
              <w:t>故</w:t>
            </w:r>
            <w:r>
              <w:rPr>
                <w:rFonts w:hint="eastAsia" w:ascii="Times New Roman" w:hAnsi="Times New Roman" w:eastAsia="宋体" w:cs="宋体"/>
                <w:color w:val="auto"/>
                <w:kern w:val="2"/>
                <w:sz w:val="24"/>
                <w:szCs w:val="24"/>
                <w:lang w:val="en-US" w:eastAsia="zh-CN" w:bidi="ar-SA"/>
              </w:rPr>
              <w:t>项目产品产能为</w:t>
            </w:r>
            <w:r>
              <w:rPr>
                <w:rFonts w:hint="eastAsia" w:cs="宋体"/>
                <w:color w:val="auto"/>
                <w:kern w:val="2"/>
                <w:sz w:val="24"/>
                <w:szCs w:val="24"/>
                <w:lang w:val="en-US" w:eastAsia="zh-CN" w:bidi="ar-SA"/>
              </w:rPr>
              <w:t>0.3068</w:t>
            </w:r>
            <w:r>
              <w:rPr>
                <w:rFonts w:hint="eastAsia" w:ascii="Times New Roman" w:hAnsi="Times New Roman" w:eastAsia="宋体" w:cs="宋体"/>
                <w:color w:val="auto"/>
                <w:kern w:val="2"/>
                <w:sz w:val="24"/>
                <w:szCs w:val="24"/>
                <w:lang w:val="en-US" w:eastAsia="zh-CN" w:bidi="ar-SA"/>
              </w:rPr>
              <w:t>t/a，则COD产生量为0.000</w:t>
            </w:r>
            <w:r>
              <w:rPr>
                <w:rFonts w:hint="eastAsia" w:cs="宋体"/>
                <w:color w:val="auto"/>
                <w:kern w:val="2"/>
                <w:sz w:val="24"/>
                <w:szCs w:val="24"/>
                <w:lang w:val="en-US" w:eastAsia="zh-CN" w:bidi="ar-SA"/>
              </w:rPr>
              <w:t>1</w:t>
            </w:r>
            <w:r>
              <w:rPr>
                <w:rFonts w:hint="eastAsia" w:ascii="Times New Roman" w:hAnsi="Times New Roman" w:eastAsia="宋体" w:cs="宋体"/>
                <w:color w:val="auto"/>
                <w:kern w:val="2"/>
                <w:sz w:val="24"/>
                <w:szCs w:val="24"/>
                <w:lang w:val="en-US" w:eastAsia="zh-CN" w:bidi="ar-SA"/>
              </w:rPr>
              <w:t>t/a</w:t>
            </w:r>
            <w:r>
              <w:rPr>
                <w:rFonts w:hint="eastAsia" w:cs="宋体"/>
                <w:color w:val="auto"/>
                <w:kern w:val="2"/>
                <w:sz w:val="24"/>
                <w:szCs w:val="24"/>
                <w:lang w:val="en-US" w:eastAsia="zh-CN" w:bidi="ar-SA"/>
              </w:rPr>
              <w:t>。</w:t>
            </w:r>
          </w:p>
          <w:p w14:paraId="7254467F">
            <w:pPr>
              <w:pStyle w:val="25"/>
              <w:bidi w:val="0"/>
              <w:rPr>
                <w:rFonts w:hint="default" w:ascii="Times New Roman" w:hAnsi="Times New Roman" w:eastAsia="宋体"/>
                <w:color w:val="auto"/>
                <w:sz w:val="24"/>
                <w:lang w:val="en-US" w:eastAsia="zh-CN"/>
              </w:rPr>
            </w:pPr>
            <w:r>
              <w:rPr>
                <w:rFonts w:hint="eastAsia"/>
                <w:color w:val="auto"/>
                <w:sz w:val="24"/>
                <w:lang w:val="en-US" w:eastAsia="zh-CN"/>
              </w:rPr>
              <w:t>（3）抛光废水</w:t>
            </w:r>
          </w:p>
          <w:p w14:paraId="3C5B24DC">
            <w:pPr>
              <w:pStyle w:val="25"/>
              <w:bidi w:val="0"/>
              <w:rPr>
                <w:rFonts w:hint="eastAsia" w:ascii="Times New Roman" w:hAnsi="Times New Roman" w:eastAsia="宋体"/>
                <w:color w:val="auto"/>
                <w:sz w:val="24"/>
                <w:lang w:val="en-US" w:eastAsia="zh-CN"/>
              </w:rPr>
            </w:pPr>
            <w:r>
              <w:rPr>
                <w:rFonts w:hint="default" w:ascii="Times New Roman" w:hAnsi="Times New Roman" w:eastAsia="宋体"/>
                <w:color w:val="auto"/>
                <w:sz w:val="24"/>
                <w:lang w:val="en-US" w:eastAsia="zh-CN"/>
              </w:rPr>
              <w:t>抛光工序中需要加水和抛光粉进行抛光。该</w:t>
            </w:r>
            <w:r>
              <w:rPr>
                <w:rFonts w:hint="default" w:ascii="Times New Roman" w:hAnsi="Times New Roman" w:eastAsia="宋体" w:cs="宋体"/>
                <w:color w:val="auto"/>
                <w:kern w:val="2"/>
                <w:sz w:val="24"/>
                <w:szCs w:val="24"/>
                <w:lang w:val="en-US" w:eastAsia="zh-CN" w:bidi="ar-SA"/>
              </w:rPr>
              <w:t>项目抛光工序中新鲜水使用量为</w:t>
            </w:r>
            <w:r>
              <w:rPr>
                <w:rFonts w:hint="eastAsia" w:cs="宋体"/>
                <w:color w:val="auto"/>
                <w:kern w:val="2"/>
                <w:sz w:val="24"/>
                <w:szCs w:val="24"/>
                <w:lang w:val="en-US" w:eastAsia="zh-CN" w:bidi="ar-SA"/>
              </w:rPr>
              <w:t>700</w:t>
            </w:r>
            <w:r>
              <w:rPr>
                <w:rFonts w:hint="default" w:ascii="Times New Roman" w:hAnsi="Times New Roman" w:eastAsia="宋体" w:cs="宋体"/>
                <w:color w:val="auto"/>
                <w:kern w:val="2"/>
                <w:sz w:val="24"/>
                <w:szCs w:val="24"/>
                <w:lang w:val="en-US" w:eastAsia="zh-CN" w:bidi="ar-SA"/>
              </w:rPr>
              <w:t>t/a，废水产生量为</w:t>
            </w:r>
            <w:r>
              <w:rPr>
                <w:rFonts w:hint="eastAsia" w:cs="宋体"/>
                <w:color w:val="auto"/>
                <w:kern w:val="2"/>
                <w:sz w:val="24"/>
                <w:szCs w:val="24"/>
                <w:lang w:val="en-US" w:eastAsia="zh-CN" w:bidi="ar-SA"/>
              </w:rPr>
              <w:t>700</w:t>
            </w:r>
            <w:r>
              <w:rPr>
                <w:rFonts w:hint="default" w:ascii="Times New Roman" w:hAnsi="Times New Roman" w:eastAsia="宋体" w:cs="宋体"/>
                <w:color w:val="auto"/>
                <w:kern w:val="2"/>
                <w:sz w:val="24"/>
                <w:szCs w:val="24"/>
                <w:lang w:val="en-US" w:eastAsia="zh-CN" w:bidi="ar-SA"/>
              </w:rPr>
              <w:t>t/a，</w:t>
            </w:r>
            <w:r>
              <w:rPr>
                <w:rFonts w:hint="eastAsia" w:ascii="Times New Roman" w:hAnsi="Times New Roman" w:eastAsia="宋体" w:cs="宋体"/>
                <w:color w:val="auto"/>
                <w:kern w:val="2"/>
                <w:sz w:val="24"/>
                <w:szCs w:val="24"/>
                <w:lang w:val="en-US" w:eastAsia="zh-CN" w:bidi="ar-SA"/>
              </w:rPr>
              <w:t>抛光废水经过三格沉淀池沉淀处理后，进入调节池，再经过废水处理设施处理达标后排入市政管网，纳入大学城污水处理厂。</w:t>
            </w:r>
          </w:p>
          <w:p w14:paraId="3EC4CA8C">
            <w:pPr>
              <w:widowControl w:val="0"/>
              <w:bidi w:val="0"/>
              <w:spacing w:line="360" w:lineRule="auto"/>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参考《排放源统计调查产排污核算方法和系数手册》中《38-40电子电气行业系数手册》抛光工序的废水产污系数，化学需氧量产污系数为1.039×10</w:t>
            </w:r>
            <w:r>
              <w:rPr>
                <w:rFonts w:hint="eastAsia" w:ascii="Times New Roman" w:hAnsi="Times New Roman" w:eastAsia="宋体" w:cs="宋体"/>
                <w:color w:val="auto"/>
                <w:kern w:val="2"/>
                <w:sz w:val="24"/>
                <w:szCs w:val="24"/>
                <w:vertAlign w:val="superscript"/>
                <w:lang w:val="en-US" w:eastAsia="zh-CN" w:bidi="ar-SA"/>
              </w:rPr>
              <w:t>2</w:t>
            </w:r>
            <w:r>
              <w:rPr>
                <w:rFonts w:hint="eastAsia" w:ascii="Times New Roman" w:hAnsi="Times New Roman" w:eastAsia="宋体" w:cs="宋体"/>
                <w:color w:val="auto"/>
                <w:kern w:val="2"/>
                <w:sz w:val="24"/>
                <w:szCs w:val="24"/>
                <w:lang w:val="en-US" w:eastAsia="zh-CN" w:bidi="ar-SA"/>
              </w:rPr>
              <w:t>g/kg－原料，氨氮产污系数为7.337×10</w:t>
            </w:r>
            <w:r>
              <w:rPr>
                <w:rFonts w:hint="eastAsia" w:cs="宋体"/>
                <w:color w:val="auto"/>
                <w:kern w:val="2"/>
                <w:sz w:val="24"/>
                <w:szCs w:val="24"/>
                <w:vertAlign w:val="superscript"/>
                <w:lang w:val="en-US" w:eastAsia="zh-CN" w:bidi="ar-SA"/>
              </w:rPr>
              <w:t>—</w:t>
            </w:r>
            <w:r>
              <w:rPr>
                <w:rFonts w:hint="eastAsia" w:ascii="Times New Roman" w:hAnsi="Times New Roman" w:eastAsia="宋体" w:cs="宋体"/>
                <w:color w:val="auto"/>
                <w:kern w:val="2"/>
                <w:sz w:val="24"/>
                <w:szCs w:val="24"/>
                <w:vertAlign w:val="superscript"/>
                <w:lang w:val="en-US" w:eastAsia="zh-CN" w:bidi="ar-SA"/>
              </w:rPr>
              <w:t>1</w:t>
            </w:r>
            <w:r>
              <w:rPr>
                <w:rFonts w:hint="eastAsia" w:ascii="Times New Roman" w:hAnsi="Times New Roman" w:eastAsia="宋体" w:cs="宋体"/>
                <w:color w:val="auto"/>
                <w:kern w:val="2"/>
                <w:sz w:val="24"/>
                <w:szCs w:val="24"/>
                <w:lang w:val="en-US" w:eastAsia="zh-CN" w:bidi="ar-SA"/>
              </w:rPr>
              <w:t>g/kg－原料，项目抛光粉使用量为3t/a，则化学需氧量产生量为0.3117t/a，氨氮产生量为0.0022t/a。</w:t>
            </w:r>
          </w:p>
          <w:p w14:paraId="2A0FA360">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w:t>
            </w:r>
            <w:r>
              <w:rPr>
                <w:rFonts w:hint="eastAsia" w:cs="宋体"/>
                <w:color w:val="auto"/>
                <w:kern w:val="2"/>
                <w:sz w:val="24"/>
                <w:szCs w:val="24"/>
                <w:lang w:val="en-US" w:eastAsia="zh-CN" w:bidi="ar-SA"/>
              </w:rPr>
              <w:t>4</w:t>
            </w:r>
            <w:r>
              <w:rPr>
                <w:rFonts w:hint="eastAsia" w:ascii="Times New Roman" w:hAnsi="Times New Roman" w:eastAsia="宋体" w:cs="宋体"/>
                <w:color w:val="auto"/>
                <w:kern w:val="2"/>
                <w:sz w:val="24"/>
                <w:szCs w:val="24"/>
                <w:lang w:val="en-US" w:eastAsia="zh-CN" w:bidi="ar-SA"/>
              </w:rPr>
              <w:t>）超洗废水</w:t>
            </w:r>
          </w:p>
          <w:p w14:paraId="33C5784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highlight w:val="none"/>
                <w:lang w:val="en-US" w:eastAsia="zh-CN" w:bidi="ar-SA"/>
              </w:rPr>
              <w:t>本工序</w:t>
            </w:r>
            <w:r>
              <w:rPr>
                <w:rFonts w:hint="eastAsia" w:ascii="Times New Roman" w:hAnsi="Times New Roman" w:eastAsia="宋体" w:cs="宋体"/>
                <w:color w:val="auto"/>
                <w:kern w:val="2"/>
                <w:sz w:val="24"/>
                <w:szCs w:val="24"/>
                <w:highlight w:val="none"/>
                <w:lang w:val="en-US" w:eastAsia="zh-CN" w:bidi="ar-SA"/>
              </w:rPr>
              <w:t>纯水制备使用3000t/a新鲜水，通过超声波清洗机对晶体进行超声波清洗</w:t>
            </w:r>
            <w:r>
              <w:rPr>
                <w:rFonts w:hint="default" w:ascii="Times New Roman" w:hAnsi="Times New Roman" w:eastAsia="宋体" w:cs="宋体"/>
                <w:color w:val="auto"/>
                <w:kern w:val="2"/>
                <w:sz w:val="24"/>
                <w:szCs w:val="24"/>
                <w:highlight w:val="none"/>
                <w:lang w:val="en-US" w:eastAsia="zh-CN" w:bidi="ar-SA"/>
              </w:rPr>
              <w:t>，</w:t>
            </w:r>
            <w:r>
              <w:rPr>
                <w:rFonts w:hint="eastAsia" w:ascii="Times New Roman" w:hAnsi="Times New Roman" w:eastAsia="宋体" w:cs="宋体"/>
                <w:color w:val="auto"/>
                <w:kern w:val="2"/>
                <w:sz w:val="24"/>
                <w:szCs w:val="24"/>
                <w:highlight w:val="none"/>
                <w:lang w:val="en-US" w:eastAsia="zh-CN" w:bidi="ar-SA"/>
              </w:rPr>
              <w:t>制备出纯净</w:t>
            </w:r>
            <w:r>
              <w:rPr>
                <w:rFonts w:hint="default" w:ascii="Times New Roman" w:hAnsi="Times New Roman" w:eastAsia="宋体" w:cs="宋体"/>
                <w:color w:val="auto"/>
                <w:kern w:val="2"/>
                <w:sz w:val="24"/>
                <w:szCs w:val="24"/>
                <w:highlight w:val="none"/>
                <w:lang w:val="en-US" w:eastAsia="zh-CN" w:bidi="ar-SA"/>
              </w:rPr>
              <w:t>水</w:t>
            </w:r>
            <w:r>
              <w:rPr>
                <w:rFonts w:hint="eastAsia" w:ascii="Times New Roman" w:hAnsi="Times New Roman" w:eastAsia="宋体" w:cs="宋体"/>
                <w:color w:val="auto"/>
                <w:kern w:val="2"/>
                <w:sz w:val="24"/>
                <w:szCs w:val="24"/>
                <w:highlight w:val="none"/>
                <w:lang w:val="en-US" w:eastAsia="zh-CN" w:bidi="ar-SA"/>
              </w:rPr>
              <w:t>的产生</w:t>
            </w:r>
            <w:r>
              <w:rPr>
                <w:rFonts w:hint="default" w:ascii="Times New Roman" w:hAnsi="Times New Roman" w:eastAsia="宋体" w:cs="宋体"/>
                <w:color w:val="auto"/>
                <w:kern w:val="2"/>
                <w:sz w:val="24"/>
                <w:szCs w:val="24"/>
                <w:highlight w:val="none"/>
                <w:lang w:val="en-US" w:eastAsia="zh-CN" w:bidi="ar-SA"/>
              </w:rPr>
              <w:t>量为</w:t>
            </w:r>
            <w:r>
              <w:rPr>
                <w:rFonts w:hint="eastAsia" w:ascii="Times New Roman" w:hAnsi="Times New Roman" w:eastAsia="宋体" w:cs="宋体"/>
                <w:color w:val="auto"/>
                <w:kern w:val="2"/>
                <w:sz w:val="24"/>
                <w:szCs w:val="24"/>
                <w:highlight w:val="none"/>
                <w:lang w:val="en-US" w:eastAsia="zh-CN" w:bidi="ar-SA"/>
              </w:rPr>
              <w:t>1478</w:t>
            </w:r>
            <w:r>
              <w:rPr>
                <w:rFonts w:hint="default" w:ascii="Times New Roman" w:hAnsi="Times New Roman" w:eastAsia="宋体" w:cs="宋体"/>
                <w:color w:val="auto"/>
                <w:kern w:val="2"/>
                <w:sz w:val="24"/>
                <w:szCs w:val="24"/>
                <w:highlight w:val="none"/>
                <w:lang w:val="en-US" w:eastAsia="zh-CN" w:bidi="ar-SA"/>
              </w:rPr>
              <w:t>t/a，</w:t>
            </w:r>
            <w:r>
              <w:rPr>
                <w:rFonts w:hint="eastAsia" w:ascii="Times New Roman" w:hAnsi="Times New Roman" w:eastAsia="宋体" w:cs="宋体"/>
                <w:color w:val="auto"/>
                <w:kern w:val="2"/>
                <w:sz w:val="24"/>
                <w:szCs w:val="24"/>
                <w:highlight w:val="none"/>
                <w:lang w:val="en-US" w:eastAsia="zh-CN" w:bidi="ar-SA"/>
              </w:rPr>
              <w:t>纯水制备过程中产生的1522t/a非纯净水</w:t>
            </w:r>
            <w:r>
              <w:rPr>
                <w:rFonts w:hint="eastAsia"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highlight w:val="none"/>
                <w:lang w:val="en-US" w:eastAsia="zh-CN" w:bidi="ar-SA"/>
              </w:rPr>
              <w:t>新鲜原水经过纯水制备工艺（常规为反渗透RO工艺，晶体加工纯水系统主流工艺），原水中溶解性盐类、悬浮物无法透过反渗透膜，富集形成反渗透浓水（非纯净水）。该废水未接触晶体、清洗剂、有机溶剂、酸碱、重金属，属于纯水站原水浓缩浓水，生产环节仅发生物理过滤、膜分离，无化学反应、无原料混入，可直接排放市政管网；</w:t>
            </w:r>
            <w:r>
              <w:rPr>
                <w:rFonts w:hint="eastAsia" w:ascii="Times New Roman" w:hAnsi="Times New Roman" w:eastAsia="宋体" w:cs="宋体"/>
                <w:color w:val="auto"/>
                <w:kern w:val="2"/>
                <w:sz w:val="24"/>
                <w:szCs w:val="24"/>
                <w:lang w:val="en-US" w:eastAsia="zh-CN" w:bidi="ar-SA"/>
              </w:rPr>
              <w:t>除油剂槽的废除油剂作为危险废物，委托有资质的单位处理，产生量为0.05t/a；超洗过程中产生的超洗废水量为1315t/a，其中包括789t/a清洗剂废水，526t/a纯净</w:t>
            </w:r>
            <w:r>
              <w:rPr>
                <w:rFonts w:hint="eastAsia" w:cs="宋体"/>
                <w:color w:val="auto"/>
                <w:kern w:val="2"/>
                <w:sz w:val="24"/>
                <w:szCs w:val="24"/>
                <w:lang w:val="en-US" w:eastAsia="zh-CN" w:bidi="ar-SA"/>
              </w:rPr>
              <w:t>废</w:t>
            </w:r>
            <w:r>
              <w:rPr>
                <w:rFonts w:hint="eastAsia" w:ascii="Times New Roman" w:hAnsi="Times New Roman" w:eastAsia="宋体" w:cs="宋体"/>
                <w:color w:val="auto"/>
                <w:kern w:val="2"/>
                <w:sz w:val="24"/>
                <w:szCs w:val="24"/>
                <w:lang w:val="en-US" w:eastAsia="zh-CN" w:bidi="ar-SA"/>
              </w:rPr>
              <w:t>水。1522t/a的非纯净水</w:t>
            </w:r>
            <w:r>
              <w:rPr>
                <w:rFonts w:hint="eastAsia" w:cs="宋体"/>
                <w:color w:val="auto"/>
                <w:kern w:val="2"/>
                <w:sz w:val="24"/>
                <w:szCs w:val="24"/>
                <w:lang w:val="en-US" w:eastAsia="zh-CN" w:bidi="ar-SA"/>
              </w:rPr>
              <w:t>、526t/a纯净废水和</w:t>
            </w:r>
            <w:r>
              <w:rPr>
                <w:rFonts w:hint="eastAsia" w:ascii="Times New Roman" w:hAnsi="Times New Roman" w:eastAsia="宋体" w:cs="宋体"/>
                <w:color w:val="auto"/>
                <w:kern w:val="2"/>
                <w:sz w:val="24"/>
                <w:szCs w:val="24"/>
                <w:lang w:val="en-US" w:eastAsia="zh-CN" w:bidi="ar-SA"/>
              </w:rPr>
              <w:t>生活污水一起通过污水管道排向园区内的化粪池</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789t/a清洗剂废水通过接管进入厂房集水池，然后进入混凝沉淀的废水处理设施处理达标后排入市政管网，纳入大学城污水处理厂。根据《排放源统计调查产排污核算方法和系数手册》中《38-40电子电气行业系数手册》清洗工段，超洗废水中清洗剂废水的COD产污系数为2.606</w:t>
            </w:r>
            <w:r>
              <w:rPr>
                <w:rFonts w:hint="default" w:ascii="Times New Roman" w:hAnsi="Times New Roman" w:eastAsia="宋体" w:cs="Times New Roman"/>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10</w:t>
            </w:r>
            <w:r>
              <w:rPr>
                <w:rFonts w:hint="eastAsia" w:ascii="Times New Roman" w:hAnsi="Times New Roman" w:eastAsia="宋体" w:cs="宋体"/>
                <w:color w:val="auto"/>
                <w:kern w:val="2"/>
                <w:sz w:val="24"/>
                <w:szCs w:val="24"/>
                <w:vertAlign w:val="superscript"/>
                <w:lang w:val="en-US" w:eastAsia="zh-CN" w:bidi="ar-SA"/>
              </w:rPr>
              <w:t>2</w:t>
            </w:r>
            <w:r>
              <w:rPr>
                <w:rFonts w:hint="eastAsia" w:ascii="Times New Roman" w:hAnsi="Times New Roman" w:eastAsia="宋体" w:cs="宋体"/>
                <w:color w:val="auto"/>
                <w:kern w:val="2"/>
                <w:sz w:val="24"/>
                <w:szCs w:val="24"/>
                <w:lang w:val="en-US" w:eastAsia="zh-CN" w:bidi="ar-SA"/>
              </w:rPr>
              <w:t>克/千克－清洗剂，氨氮产污系数为1.235</w:t>
            </w:r>
            <w:r>
              <w:rPr>
                <w:rFonts w:hint="default"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101克/千克-清洗剂，清洗剂使用量为0.1t/a（结合</w:t>
            </w:r>
            <w:r>
              <w:rPr>
                <w:rFonts w:hint="eastAsia" w:cs="宋体"/>
                <w:color w:val="auto"/>
                <w:kern w:val="2"/>
                <w:sz w:val="24"/>
                <w:szCs w:val="24"/>
                <w:lang w:val="en-US" w:eastAsia="zh-CN" w:bidi="ar-SA"/>
              </w:rPr>
              <w:t>附件十六</w:t>
            </w:r>
            <w:r>
              <w:rPr>
                <w:rFonts w:hint="eastAsia" w:ascii="Times New Roman" w:hAnsi="Times New Roman" w:eastAsia="宋体" w:cs="宋体"/>
                <w:color w:val="auto"/>
                <w:kern w:val="2"/>
                <w:sz w:val="24"/>
                <w:szCs w:val="24"/>
                <w:lang w:val="en-US" w:eastAsia="zh-CN" w:bidi="ar-SA"/>
              </w:rPr>
              <w:t>产品MSDS组分，不涉及阴离子表面活性剂污染因子），则COD产生量为0.026t/a、NH</w:t>
            </w:r>
            <w:r>
              <w:rPr>
                <w:rFonts w:hint="eastAsia" w:ascii="Times New Roman" w:hAnsi="Times New Roman" w:eastAsia="宋体" w:cs="宋体"/>
                <w:color w:val="auto"/>
                <w:kern w:val="2"/>
                <w:sz w:val="24"/>
                <w:szCs w:val="24"/>
                <w:vertAlign w:val="subscript"/>
                <w:lang w:val="en-US" w:eastAsia="zh-CN" w:bidi="ar-SA"/>
              </w:rPr>
              <w:t>3</w:t>
            </w:r>
            <w:r>
              <w:rPr>
                <w:rFonts w:hint="eastAsia" w:ascii="Times New Roman" w:hAnsi="Times New Roman" w:eastAsia="宋体" w:cs="宋体"/>
                <w:color w:val="auto"/>
                <w:kern w:val="2"/>
                <w:sz w:val="24"/>
                <w:szCs w:val="24"/>
                <w:lang w:val="en-US" w:eastAsia="zh-CN" w:bidi="ar-SA"/>
              </w:rPr>
              <w:t>-N产生量为0.001t/a</w:t>
            </w:r>
            <w:r>
              <w:rPr>
                <w:rFonts w:hint="default" w:ascii="Times New Roman" w:hAnsi="Times New Roman" w:eastAsia="宋体" w:cs="宋体"/>
                <w:color w:val="auto"/>
                <w:kern w:val="2"/>
                <w:sz w:val="24"/>
                <w:szCs w:val="24"/>
                <w:lang w:val="en-US" w:eastAsia="zh-CN" w:bidi="ar-SA"/>
              </w:rPr>
              <w:t>。</w:t>
            </w:r>
          </w:p>
          <w:p w14:paraId="75058DA1">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w:t>
            </w:r>
            <w:r>
              <w:rPr>
                <w:rFonts w:hint="eastAsia" w:cs="宋体"/>
                <w:color w:val="auto"/>
                <w:kern w:val="2"/>
                <w:sz w:val="24"/>
                <w:szCs w:val="24"/>
                <w:lang w:val="en-US" w:eastAsia="zh-CN" w:bidi="ar-SA"/>
              </w:rPr>
              <w:t>5</w:t>
            </w:r>
            <w:r>
              <w:rPr>
                <w:rFonts w:hint="eastAsia" w:ascii="Times New Roman" w:hAnsi="Times New Roman" w:eastAsia="宋体" w:cs="宋体"/>
                <w:color w:val="auto"/>
                <w:kern w:val="2"/>
                <w:sz w:val="24"/>
                <w:szCs w:val="24"/>
                <w:lang w:val="en-US" w:eastAsia="zh-CN" w:bidi="ar-SA"/>
              </w:rPr>
              <w:t>）喷淋塔废水</w:t>
            </w:r>
          </w:p>
          <w:p w14:paraId="55E58682">
            <w:pPr>
              <w:pStyle w:val="54"/>
              <w:ind w:firstLine="480" w:firstLineChars="200"/>
              <w:rPr>
                <w:rFonts w:hint="default" w:ascii="Times New Roman" w:hAnsi="Times New Roman" w:eastAsia="宋体"/>
                <w:color w:val="auto"/>
                <w:sz w:val="24"/>
                <w:lang w:val="en-US" w:eastAsia="zh-CN"/>
              </w:rPr>
            </w:pPr>
            <w:r>
              <w:rPr>
                <w:rFonts w:hint="default" w:ascii="Times New Roman" w:hAnsi="Times New Roman" w:eastAsia="宋体" w:cs="Times New Roman"/>
                <w:color w:val="auto"/>
                <w:highlight w:val="none"/>
              </w:rPr>
              <w:t>喷淋系统采用水循环喷淋模式，为保证废气净化吸收效率，喷淋循环水</w:t>
            </w:r>
            <w:r>
              <w:rPr>
                <w:rFonts w:hint="eastAsia" w:cs="Times New Roman"/>
                <w:color w:val="auto"/>
                <w:highlight w:val="none"/>
                <w:lang w:val="en-US" w:eastAsia="zh-CN"/>
              </w:rPr>
              <w:t>因为</w:t>
            </w:r>
            <w:r>
              <w:rPr>
                <w:rFonts w:hint="default" w:ascii="Times New Roman" w:hAnsi="Times New Roman" w:eastAsia="宋体" w:cs="Times New Roman"/>
                <w:color w:val="auto"/>
                <w:highlight w:val="none"/>
              </w:rPr>
              <w:t>吸收晶体生长工序挥发的NH</w:t>
            </w:r>
            <w:r>
              <w:rPr>
                <w:rFonts w:hint="eastAsia" w:cs="Times New Roman"/>
                <w:color w:val="auto"/>
                <w:highlight w:val="none"/>
                <w:vertAlign w:val="subscript"/>
                <w:lang w:val="en-US" w:eastAsia="zh-CN"/>
              </w:rPr>
              <w:t>3</w:t>
            </w:r>
            <w:r>
              <w:rPr>
                <w:rFonts w:hint="default" w:ascii="Times New Roman" w:hAnsi="Times New Roman" w:eastAsia="宋体" w:cs="Times New Roman"/>
                <w:color w:val="auto"/>
                <w:highlight w:val="none"/>
              </w:rPr>
              <w:t>（硝酸铵高温分解逸出氨气）</w:t>
            </w:r>
            <w:r>
              <w:rPr>
                <w:rFonts w:hint="eastAsia" w:ascii="Times New Roman" w:hAnsi="Times New Roman" w:eastAsia="宋体" w:cs="Times New Roman"/>
                <w:color w:val="auto"/>
                <w:highlight w:val="none"/>
                <w:lang w:val="en-US" w:eastAsia="zh-CN"/>
              </w:rPr>
              <w:t>仍是碱性</w:t>
            </w:r>
            <w:r>
              <w:rPr>
                <w:rFonts w:hint="eastAsia"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必须</w:t>
            </w:r>
            <w:r>
              <w:rPr>
                <w:rFonts w:hint="eastAsia" w:ascii="Times New Roman" w:hAnsi="Times New Roman" w:eastAsia="宋体" w:cs="Times New Roman"/>
                <w:color w:val="auto"/>
                <w:highlight w:val="none"/>
                <w:lang w:val="en-US" w:eastAsia="zh-CN"/>
              </w:rPr>
              <w:t>先</w:t>
            </w:r>
            <w:r>
              <w:rPr>
                <w:rFonts w:hint="default" w:ascii="Times New Roman" w:hAnsi="Times New Roman" w:eastAsia="宋体" w:cs="Times New Roman"/>
                <w:color w:val="auto"/>
                <w:highlight w:val="none"/>
              </w:rPr>
              <w:t>用稀硫酸/盐酸中和回调pH至6~9</w:t>
            </w:r>
            <w:r>
              <w:rPr>
                <w:rFonts w:hint="eastAsia" w:cs="Times New Roman"/>
                <w:color w:val="auto"/>
                <w:highlight w:val="none"/>
                <w:lang w:eastAsia="zh-CN"/>
              </w:rPr>
              <w:t>后</w:t>
            </w:r>
            <w:r>
              <w:rPr>
                <w:rFonts w:hint="eastAsia" w:ascii="Times New Roman" w:hAnsi="Times New Roman" w:eastAsia="宋体" w:cs="Times New Roman"/>
                <w:color w:val="auto"/>
                <w:highlight w:val="none"/>
                <w:lang w:val="en-US" w:eastAsia="zh-CN"/>
              </w:rPr>
              <w:t>排放至进入三格沉淀</w:t>
            </w:r>
            <w:r>
              <w:rPr>
                <w:rFonts w:hint="eastAsia" w:ascii="Times New Roman" w:hAnsi="Times New Roman" w:eastAsia="宋体"/>
                <w:color w:val="auto"/>
                <w:sz w:val="24"/>
                <w:lang w:val="en-US" w:eastAsia="zh-CN"/>
              </w:rPr>
              <w:t>池沉淀处理后，进入集水调节池，再混凝沉淀经过废水处理设施处理达标后排入市政管网，纳入大学城污水处理厂。</w:t>
            </w:r>
            <w:r>
              <w:rPr>
                <w:rFonts w:hint="default" w:ascii="Times New Roman" w:hAnsi="Times New Roman" w:eastAsia="宋体" w:cs="Times New Roman"/>
                <w:color w:val="auto"/>
                <w:highlight w:val="none"/>
              </w:rPr>
              <w:t>年补充新鲜喷淋水</w:t>
            </w:r>
            <w:r>
              <w:rPr>
                <w:rFonts w:hint="eastAsia" w:cs="Times New Roman"/>
                <w:color w:val="auto"/>
                <w:highlight w:val="none"/>
                <w:lang w:val="en-US" w:eastAsia="zh-CN"/>
              </w:rPr>
              <w:t>96</w:t>
            </w:r>
            <w:r>
              <w:rPr>
                <w:rFonts w:hint="default" w:ascii="Times New Roman" w:hAnsi="Times New Roman" w:eastAsia="宋体" w:cs="Times New Roman"/>
                <w:color w:val="auto"/>
                <w:highlight w:val="none"/>
              </w:rPr>
              <w:t>t，外排废水量按喷淋补充水量90%计，核算喷淋塔废水产生总量</w:t>
            </w:r>
            <w:r>
              <w:rPr>
                <w:rFonts w:hint="eastAsia" w:cs="Times New Roman"/>
                <w:color w:val="auto"/>
                <w:highlight w:val="none"/>
                <w:lang w:val="en-US" w:eastAsia="zh-CN"/>
              </w:rPr>
              <w:t>86.4</w:t>
            </w:r>
            <w:r>
              <w:rPr>
                <w:rFonts w:hint="default" w:ascii="Times New Roman" w:hAnsi="Times New Roman" w:eastAsia="宋体" w:cs="Times New Roman"/>
                <w:color w:val="auto"/>
                <w:highlight w:val="none"/>
              </w:rPr>
              <w:t>t/a</w:t>
            </w:r>
            <w:r>
              <w:rPr>
                <w:rFonts w:hint="eastAsia" w:cs="Times New Roman"/>
                <w:color w:val="auto"/>
                <w:highlight w:val="none"/>
                <w:lang w:eastAsia="zh-CN"/>
              </w:rPr>
              <w:t>（</w:t>
            </w:r>
            <w:r>
              <w:rPr>
                <w:rFonts w:hint="eastAsia" w:cs="Times New Roman"/>
                <w:color w:val="auto"/>
                <w:highlight w:val="none"/>
                <w:lang w:val="en-US" w:eastAsia="zh-CN"/>
              </w:rPr>
              <w:t>0.288t/d</w:t>
            </w:r>
            <w:r>
              <w:rPr>
                <w:rFonts w:hint="eastAsia" w:cs="Times New Roman"/>
                <w:color w:val="auto"/>
                <w:highlight w:val="none"/>
                <w:lang w:eastAsia="zh-CN"/>
              </w:rPr>
              <w:t>）</w:t>
            </w:r>
            <w:r>
              <w:rPr>
                <w:rFonts w:hint="default" w:ascii="Times New Roman" w:hAnsi="Times New Roman" w:eastAsia="宋体" w:cs="Times New Roman"/>
                <w:color w:val="auto"/>
                <w:highlight w:val="none"/>
              </w:rPr>
              <w:t>。</w:t>
            </w:r>
          </w:p>
          <w:p w14:paraId="6158FF0A">
            <w:pPr>
              <w:widowControl w:val="0"/>
              <w:bidi w:val="0"/>
              <w:spacing w:line="360" w:lineRule="auto"/>
              <w:ind w:firstLine="480" w:firstLineChars="200"/>
              <w:jc w:val="both"/>
              <w:rPr>
                <w:rFonts w:hint="eastAsia"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本项目生产废水特征污染物悬浮物源强分析，本项目生产废水的特征污染物因子为悬浮物，本项目生产废水需经过废水处理设施后才可排放，参考同类型项目《福州创恒光电有限公司年产220万片光学镜片项目》的验收检测报告（报告编号：</w:t>
            </w:r>
            <w:r>
              <w:rPr>
                <w:rFonts w:hint="eastAsia" w:ascii="Times New Roman" w:hAnsi="Times New Roman" w:eastAsia="宋体" w:cs="Times New Roman"/>
                <w:color w:val="auto"/>
                <w:sz w:val="24"/>
                <w:szCs w:val="21"/>
                <w:highlight w:val="none"/>
                <w:lang w:val="en-US" w:eastAsia="zh-CN" w:bidi="ar-SA"/>
              </w:rPr>
              <w:t>TS2504090201</w:t>
            </w:r>
            <w:r>
              <w:rPr>
                <w:rFonts w:hint="eastAsia" w:ascii="Times New Roman" w:hAnsi="Times New Roman" w:eastAsia="宋体" w:cs="宋体"/>
                <w:color w:val="auto"/>
                <w:kern w:val="2"/>
                <w:sz w:val="24"/>
                <w:szCs w:val="24"/>
                <w:highlight w:val="none"/>
                <w:lang w:val="en-US" w:eastAsia="zh-CN" w:bidi="ar-SA"/>
              </w:rPr>
              <w:t>）中生产废水的进口浓度（详见附件二十四），</w:t>
            </w:r>
            <w:r>
              <w:rPr>
                <w:rFonts w:hint="eastAsia" w:cs="宋体"/>
                <w:color w:val="auto"/>
                <w:kern w:val="2"/>
                <w:sz w:val="24"/>
                <w:szCs w:val="24"/>
                <w:highlight w:val="none"/>
                <w:lang w:val="en-US" w:eastAsia="zh-CN" w:bidi="ar-SA"/>
              </w:rPr>
              <w:t>该项目工艺流程所涉及产污环节以及废水处理设施基本一致，且污染因子产污源强大小高于本次项目，故参照引用。</w:t>
            </w:r>
            <w:r>
              <w:rPr>
                <w:rFonts w:hint="eastAsia" w:ascii="Times New Roman" w:hAnsi="Times New Roman" w:eastAsia="宋体" w:cs="宋体"/>
                <w:color w:val="auto"/>
                <w:kern w:val="2"/>
                <w:sz w:val="24"/>
                <w:szCs w:val="24"/>
                <w:highlight w:val="none"/>
                <w:lang w:val="en-US" w:eastAsia="zh-CN" w:bidi="ar-SA"/>
              </w:rPr>
              <w:t>则本项目生产废水的悬浮物产生浓度最大值为38mg/L；</w:t>
            </w:r>
            <w:r>
              <w:rPr>
                <w:rFonts w:hint="eastAsia" w:ascii="Times New Roman" w:hAnsi="Times New Roman" w:eastAsia="宋体" w:cs="Times New Roman"/>
                <w:color w:val="auto"/>
                <w:kern w:val="0"/>
                <w:sz w:val="24"/>
                <w:szCs w:val="21"/>
                <w:highlight w:val="none"/>
                <w:lang w:val="en-US" w:eastAsia="zh-CN"/>
              </w:rPr>
              <w:t>废水处理设施处理效率为悬浮物50.715%</w:t>
            </w:r>
            <w:r>
              <w:rPr>
                <w:rFonts w:hint="eastAsia" w:cs="宋体"/>
                <w:color w:val="auto"/>
                <w:kern w:val="2"/>
                <w:sz w:val="24"/>
                <w:szCs w:val="24"/>
                <w:highlight w:val="none"/>
                <w:lang w:val="en-US" w:eastAsia="zh-CN" w:bidi="ar-SA"/>
              </w:rPr>
              <w:t>。</w:t>
            </w:r>
          </w:p>
          <w:p w14:paraId="75069229">
            <w:pPr>
              <w:widowControl w:val="0"/>
              <w:bidi w:val="0"/>
              <w:spacing w:line="360" w:lineRule="auto"/>
              <w:ind w:firstLine="480" w:firstLineChars="200"/>
              <w:jc w:val="both"/>
              <w:rPr>
                <w:rFonts w:hint="eastAsia"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（6）晶体生长废水</w:t>
            </w:r>
          </w:p>
          <w:p w14:paraId="2AD48471">
            <w:pPr>
              <w:widowControl w:val="0"/>
              <w:bidi w:val="0"/>
              <w:spacing w:line="360" w:lineRule="auto"/>
              <w:ind w:firstLine="480" w:firstLineChars="200"/>
              <w:jc w:val="both"/>
              <w:rPr>
                <w:rFonts w:hint="eastAsia"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本项目</w:t>
            </w:r>
            <w:r>
              <w:rPr>
                <w:rFonts w:hint="eastAsia" w:cs="宋体"/>
                <w:color w:val="auto"/>
                <w:kern w:val="2"/>
                <w:sz w:val="24"/>
                <w:szCs w:val="24"/>
                <w:highlight w:val="none"/>
                <w:lang w:val="en-US" w:eastAsia="zh-CN" w:bidi="ar-SA"/>
              </w:rPr>
              <w:t>晶体生长</w:t>
            </w:r>
            <w:r>
              <w:rPr>
                <w:rFonts w:hint="eastAsia" w:ascii="Times New Roman" w:hAnsi="Times New Roman" w:eastAsia="宋体" w:cs="宋体"/>
                <w:color w:val="auto"/>
                <w:kern w:val="2"/>
                <w:sz w:val="24"/>
                <w:szCs w:val="24"/>
                <w:highlight w:val="none"/>
                <w:lang w:val="en-US" w:eastAsia="zh-CN" w:bidi="ar-SA"/>
              </w:rPr>
              <w:t>废水特征污染物</w:t>
            </w:r>
            <w:r>
              <w:rPr>
                <w:rFonts w:hint="eastAsia" w:cs="宋体"/>
                <w:color w:val="auto"/>
                <w:kern w:val="2"/>
                <w:sz w:val="24"/>
                <w:szCs w:val="24"/>
                <w:highlight w:val="none"/>
                <w:lang w:val="en-US" w:eastAsia="zh-CN" w:bidi="ar-SA"/>
              </w:rPr>
              <w:t>为COD、氨氮。氧化钇、偏钒酸铵单次最大投料均为100g。制备目标产物：YVO</w:t>
            </w:r>
            <w:r>
              <w:rPr>
                <w:rFonts w:hint="eastAsia" w:cs="宋体"/>
                <w:color w:val="auto"/>
                <w:kern w:val="2"/>
                <w:sz w:val="24"/>
                <w:szCs w:val="24"/>
                <w:highlight w:val="none"/>
                <w:vertAlign w:val="subscript"/>
                <w:lang w:val="en-US" w:eastAsia="zh-CN" w:bidi="ar-SA"/>
              </w:rPr>
              <w:t>4</w:t>
            </w:r>
            <w:r>
              <w:rPr>
                <w:rFonts w:hint="eastAsia" w:cs="宋体"/>
                <w:color w:val="auto"/>
                <w:kern w:val="2"/>
                <w:sz w:val="24"/>
                <w:szCs w:val="24"/>
                <w:highlight w:val="none"/>
                <w:lang w:val="en-US" w:eastAsia="zh-CN" w:bidi="ar-SA"/>
              </w:rPr>
              <w:t>沉淀，理论完全反应体系全部铵根最终转化为NH</w:t>
            </w:r>
            <w:r>
              <w:rPr>
                <w:rFonts w:hint="eastAsia" w:cs="宋体"/>
                <w:color w:val="auto"/>
                <w:kern w:val="2"/>
                <w:sz w:val="24"/>
                <w:szCs w:val="24"/>
                <w:highlight w:val="none"/>
                <w:vertAlign w:val="subscript"/>
                <w:lang w:val="en-US" w:eastAsia="zh-CN" w:bidi="ar-SA"/>
              </w:rPr>
              <w:t>4</w:t>
            </w:r>
            <w:r>
              <w:rPr>
                <w:rFonts w:hint="eastAsia" w:cs="宋体"/>
                <w:color w:val="auto"/>
                <w:kern w:val="2"/>
                <w:sz w:val="24"/>
                <w:szCs w:val="24"/>
                <w:highlight w:val="none"/>
                <w:lang w:val="en-US" w:eastAsia="zh-CN" w:bidi="ar-SA"/>
              </w:rPr>
              <w:t>NO</w:t>
            </w:r>
            <w:r>
              <w:rPr>
                <w:rFonts w:hint="eastAsia" w:cs="宋体"/>
                <w:color w:val="auto"/>
                <w:kern w:val="2"/>
                <w:sz w:val="24"/>
                <w:szCs w:val="24"/>
                <w:highlight w:val="none"/>
                <w:vertAlign w:val="subscript"/>
                <w:lang w:val="en-US" w:eastAsia="zh-CN" w:bidi="ar-SA"/>
              </w:rPr>
              <w:t>3</w:t>
            </w:r>
            <w:r>
              <w:rPr>
                <w:rFonts w:hint="eastAsia" w:cs="宋体"/>
                <w:color w:val="auto"/>
                <w:kern w:val="2"/>
                <w:sz w:val="24"/>
                <w:szCs w:val="24"/>
                <w:highlight w:val="none"/>
                <w:lang w:val="en-US" w:eastAsia="zh-CN" w:bidi="ar-SA"/>
              </w:rPr>
              <w:t>进入废水（沉淀YVO</w:t>
            </w:r>
            <w:r>
              <w:rPr>
                <w:rFonts w:hint="eastAsia" w:cs="宋体"/>
                <w:color w:val="auto"/>
                <w:kern w:val="2"/>
                <w:sz w:val="24"/>
                <w:szCs w:val="24"/>
                <w:highlight w:val="none"/>
                <w:vertAlign w:val="subscript"/>
                <w:lang w:val="en-US" w:eastAsia="zh-CN" w:bidi="ar-SA"/>
              </w:rPr>
              <w:t>4</w:t>
            </w:r>
            <w:r>
              <w:rPr>
                <w:rFonts w:hint="eastAsia" w:cs="宋体"/>
                <w:color w:val="auto"/>
                <w:kern w:val="2"/>
                <w:sz w:val="24"/>
                <w:szCs w:val="24"/>
                <w:highlight w:val="none"/>
                <w:lang w:val="en-US" w:eastAsia="zh-CN" w:bidi="ar-SA"/>
              </w:rPr>
              <w:t>不溶于水，无钒、钇进入废水）。硝酸铵体系理论 COD（硝酸铵本身几乎不含还原性有机物，原生 COD 极低）</w:t>
            </w:r>
          </w:p>
          <w:p w14:paraId="1FE85128">
            <w:pPr>
              <w:widowControl w:val="0"/>
              <w:bidi w:val="0"/>
              <w:spacing w:line="360" w:lineRule="auto"/>
              <w:jc w:val="both"/>
              <w:rPr>
                <w:rFonts w:hint="eastAsia" w:ascii="Times New Roman" w:hAnsi="Times New Roman"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NH</w:t>
            </w:r>
            <w:r>
              <w:rPr>
                <w:rFonts w:hint="eastAsia" w:cs="宋体"/>
                <w:color w:val="auto"/>
                <w:kern w:val="2"/>
                <w:sz w:val="24"/>
                <w:szCs w:val="24"/>
                <w:highlight w:val="none"/>
                <w:vertAlign w:val="subscript"/>
                <w:lang w:val="en-US" w:eastAsia="zh-CN" w:bidi="ar-SA"/>
              </w:rPr>
              <w:t>4</w:t>
            </w:r>
            <w:r>
              <w:rPr>
                <w:rFonts w:hint="eastAsia" w:cs="宋体"/>
                <w:color w:val="auto"/>
                <w:kern w:val="2"/>
                <w:sz w:val="24"/>
                <w:szCs w:val="24"/>
                <w:highlight w:val="none"/>
                <w:lang w:val="en-US" w:eastAsia="zh-CN" w:bidi="ar-SA"/>
              </w:rPr>
              <w:t>NO</w:t>
            </w:r>
            <w:r>
              <w:rPr>
                <w:rFonts w:hint="eastAsia" w:cs="宋体"/>
                <w:color w:val="auto"/>
                <w:kern w:val="2"/>
                <w:sz w:val="24"/>
                <w:szCs w:val="24"/>
                <w:highlight w:val="none"/>
                <w:vertAlign w:val="subscript"/>
                <w:lang w:val="en-US" w:eastAsia="zh-CN" w:bidi="ar-SA"/>
              </w:rPr>
              <w:t>3</w:t>
            </w:r>
            <w:r>
              <w:rPr>
                <w:rFonts w:hint="eastAsia" w:cs="宋体"/>
                <w:color w:val="auto"/>
                <w:kern w:val="2"/>
                <w:sz w:val="24"/>
                <w:szCs w:val="24"/>
                <w:highlight w:val="none"/>
                <w:lang w:val="en-US" w:eastAsia="zh-CN" w:bidi="ar-SA"/>
              </w:rPr>
              <w:t>属于无机盐</w:t>
            </w:r>
            <w:r>
              <w:rPr>
                <w:rFonts w:hint="eastAsia" w:ascii="Times New Roman" w:hAnsi="Times New Roman" w:eastAsia="宋体" w:cs="宋体"/>
                <w:color w:val="auto"/>
                <w:kern w:val="2"/>
                <w:sz w:val="24"/>
                <w:szCs w:val="24"/>
                <w:highlight w:val="none"/>
                <w:lang w:val="en-US" w:eastAsia="zh-CN" w:bidi="ar-SA"/>
              </w:rPr>
              <w:t>，无碳元素，原料反应生成的母液原生COD≈0 mg/L；</w:t>
            </w:r>
          </w:p>
          <w:p w14:paraId="57C18BE9">
            <w:pPr>
              <w:widowControl w:val="0"/>
              <w:bidi w:val="0"/>
              <w:spacing w:line="360" w:lineRule="auto"/>
              <w:ind w:firstLine="480" w:firstLineChars="200"/>
              <w:jc w:val="both"/>
              <w:rPr>
                <w:rFonts w:hint="default"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实际废水COD来源仅为：少量氨水、未完全反应硝酸、车间清洗带入微量有机物、地面冲洗杂质；若无有机溶剂、有机物投料，工艺本身COD贡献可忽略；</w:t>
            </w:r>
            <w:r>
              <w:rPr>
                <w:rFonts w:ascii="Times New Roman" w:hAnsi="Times New Roman" w:eastAsia="宋体" w:cs="Segoe UI Emoji"/>
                <w:i w:val="0"/>
                <w:iCs w:val="0"/>
                <w:caps w:val="0"/>
                <w:color w:val="auto"/>
                <w:spacing w:val="0"/>
                <w:sz w:val="24"/>
                <w:szCs w:val="24"/>
              </w:rPr>
              <w:t>参照《排污许可证申请与核发技术规范无机化学工业》（HJ 853-2017）无机合成工艺废水产污特性</w:t>
            </w:r>
            <w:r>
              <w:rPr>
                <w:rFonts w:hint="eastAsia" w:ascii="Times New Roman" w:hAnsi="Times New Roman" w:eastAsia="宋体" w:cs="Segoe UI Emoji"/>
                <w:i w:val="0"/>
                <w:iCs w:val="0"/>
                <w:caps w:val="0"/>
                <w:color w:val="auto"/>
                <w:spacing w:val="0"/>
                <w:sz w:val="24"/>
                <w:szCs w:val="24"/>
                <w:lang w:val="en-US" w:eastAsia="zh-CN"/>
              </w:rPr>
              <w:t>以及预处理</w:t>
            </w:r>
            <w:r>
              <w:rPr>
                <w:rFonts w:hint="eastAsia" w:ascii="Times New Roman" w:hAnsi="Times New Roman" w:eastAsia="宋体" w:cs="Segoe UI Emoji"/>
                <w:i w:val="0"/>
                <w:iCs w:val="0"/>
                <w:caps w:val="0"/>
                <w:color w:val="auto"/>
                <w:spacing w:val="0"/>
                <w:sz w:val="24"/>
                <w:szCs w:val="24"/>
                <w:lang w:eastAsia="zh-CN"/>
              </w:rPr>
              <w:t>，</w:t>
            </w:r>
            <w:r>
              <w:rPr>
                <w:rFonts w:hint="eastAsia" w:ascii="Times New Roman" w:hAnsi="Times New Roman" w:eastAsia="宋体" w:cs="宋体"/>
                <w:color w:val="auto"/>
                <w:kern w:val="2"/>
                <w:sz w:val="24"/>
                <w:szCs w:val="24"/>
                <w:highlight w:val="none"/>
                <w:lang w:val="en-US" w:eastAsia="zh-CN" w:bidi="ar-SA"/>
              </w:rPr>
              <w:t>钒酸钇结晶母液未经处理原生COD普遍取值30～80mg/L（本次评价取80mg/L）；氨氮取值180mg/L。</w:t>
            </w:r>
            <w:r>
              <w:rPr>
                <w:rFonts w:hint="default" w:ascii="Times New Roman" w:hAnsi="Times New Roman" w:eastAsia="宋体" w:cs="宋体"/>
                <w:color w:val="auto"/>
                <w:kern w:val="2"/>
                <w:sz w:val="24"/>
                <w:szCs w:val="24"/>
                <w:lang w:val="en-US" w:eastAsia="zh-CN" w:bidi="ar-SA"/>
              </w:rPr>
              <w:t>废水产生量为</w:t>
            </w:r>
            <w:r>
              <w:rPr>
                <w:rFonts w:hint="eastAsia" w:cs="宋体"/>
                <w:color w:val="auto"/>
                <w:kern w:val="2"/>
                <w:sz w:val="24"/>
                <w:szCs w:val="24"/>
                <w:lang w:val="en-US" w:eastAsia="zh-CN" w:bidi="ar-SA"/>
              </w:rPr>
              <w:t>240</w:t>
            </w:r>
            <w:r>
              <w:rPr>
                <w:rFonts w:hint="default" w:ascii="Times New Roman" w:hAnsi="Times New Roman" w:eastAsia="宋体" w:cs="宋体"/>
                <w:color w:val="auto"/>
                <w:kern w:val="2"/>
                <w:sz w:val="24"/>
                <w:szCs w:val="24"/>
                <w:lang w:val="en-US" w:eastAsia="zh-CN" w:bidi="ar-SA"/>
              </w:rPr>
              <w:t>t/a</w:t>
            </w:r>
            <w:r>
              <w:rPr>
                <w:rFonts w:hint="eastAsia" w:ascii="Times New Roman" w:hAnsi="Times New Roman" w:eastAsia="宋体" w:cs="宋体"/>
                <w:color w:val="auto"/>
                <w:kern w:val="2"/>
                <w:sz w:val="24"/>
                <w:szCs w:val="24"/>
                <w:lang w:val="en-US" w:eastAsia="zh-CN" w:bidi="ar-SA"/>
              </w:rPr>
              <w:t>，则COD产生量为0.0192t/a、NH</w:t>
            </w:r>
            <w:r>
              <w:rPr>
                <w:rFonts w:hint="eastAsia" w:ascii="Times New Roman" w:hAnsi="Times New Roman" w:eastAsia="宋体" w:cs="宋体"/>
                <w:color w:val="auto"/>
                <w:kern w:val="2"/>
                <w:sz w:val="24"/>
                <w:szCs w:val="24"/>
                <w:vertAlign w:val="subscript"/>
                <w:lang w:val="en-US" w:eastAsia="zh-CN" w:bidi="ar-SA"/>
              </w:rPr>
              <w:t>3</w:t>
            </w:r>
            <w:r>
              <w:rPr>
                <w:rFonts w:hint="eastAsia" w:ascii="Times New Roman" w:hAnsi="Times New Roman" w:eastAsia="宋体" w:cs="宋体"/>
                <w:color w:val="auto"/>
                <w:kern w:val="2"/>
                <w:sz w:val="24"/>
                <w:szCs w:val="24"/>
                <w:lang w:val="en-US" w:eastAsia="zh-CN" w:bidi="ar-SA"/>
              </w:rPr>
              <w:t>-N产生量为0.0432t/a</w:t>
            </w:r>
            <w:r>
              <w:rPr>
                <w:rFonts w:hint="default" w:ascii="Times New Roman" w:hAnsi="Times New Roman" w:eastAsia="宋体" w:cs="宋体"/>
                <w:color w:val="auto"/>
                <w:kern w:val="2"/>
                <w:sz w:val="24"/>
                <w:szCs w:val="24"/>
                <w:lang w:val="en-US" w:eastAsia="zh-CN" w:bidi="ar-SA"/>
              </w:rPr>
              <w:t>。</w:t>
            </w:r>
          </w:p>
          <w:p w14:paraId="1B7523DC">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w:t>
            </w:r>
            <w:r>
              <w:rPr>
                <w:rFonts w:hint="eastAsia" w:cs="宋体"/>
                <w:color w:val="auto"/>
                <w:kern w:val="2"/>
                <w:sz w:val="24"/>
                <w:szCs w:val="24"/>
                <w:lang w:val="en-US" w:eastAsia="zh-CN" w:bidi="ar-SA"/>
              </w:rPr>
              <w:t>7</w:t>
            </w:r>
            <w:r>
              <w:rPr>
                <w:rFonts w:hint="eastAsia" w:ascii="Times New Roman" w:hAnsi="Times New Roman" w:eastAsia="宋体" w:cs="宋体"/>
                <w:color w:val="auto"/>
                <w:kern w:val="2"/>
                <w:sz w:val="24"/>
                <w:szCs w:val="24"/>
                <w:lang w:val="en-US" w:eastAsia="zh-CN" w:bidi="ar-SA"/>
              </w:rPr>
              <w:t>）生活污水</w:t>
            </w:r>
          </w:p>
          <w:p w14:paraId="4FFE5D13">
            <w:pPr>
              <w:widowControl w:val="0"/>
              <w:bidi w:val="0"/>
              <w:spacing w:line="360" w:lineRule="auto"/>
              <w:ind w:firstLine="480" w:firstLineChars="200"/>
              <w:jc w:val="both"/>
              <w:rPr>
                <w:rFonts w:hint="eastAsia" w:ascii="Times New Roman" w:hAnsi="Times New Roman" w:eastAsia="宋体" w:cs="宋体"/>
                <w:color w:val="auto"/>
                <w:kern w:val="2"/>
                <w:sz w:val="24"/>
                <w:szCs w:val="24"/>
                <w:highlight w:val="none"/>
                <w:lang w:val="en-US" w:eastAsia="zh-CN" w:bidi="ar-SA"/>
              </w:rPr>
            </w:pPr>
            <w:r>
              <w:rPr>
                <w:rFonts w:hint="default" w:ascii="Times New Roman" w:hAnsi="Times New Roman" w:eastAsia="宋体" w:cs="宋体"/>
                <w:color w:val="auto"/>
                <w:kern w:val="2"/>
                <w:sz w:val="24"/>
                <w:szCs w:val="24"/>
                <w:lang w:val="en-US" w:eastAsia="zh-CN" w:bidi="ar-SA"/>
              </w:rPr>
              <w:t>本项目劳动定员职工</w:t>
            </w:r>
            <w:r>
              <w:rPr>
                <w:rFonts w:hint="eastAsia" w:ascii="Times New Roman" w:hAnsi="Times New Roman" w:eastAsia="宋体" w:cs="宋体"/>
                <w:color w:val="auto"/>
                <w:kern w:val="2"/>
                <w:sz w:val="24"/>
                <w:szCs w:val="24"/>
                <w:lang w:val="en-US" w:eastAsia="zh-CN" w:bidi="ar-SA"/>
              </w:rPr>
              <w:t>60人</w:t>
            </w:r>
            <w:r>
              <w:rPr>
                <w:rFonts w:hint="default"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均无住厂</w:t>
            </w:r>
            <w:r>
              <w:rPr>
                <w:rFonts w:hint="default" w:ascii="Times New Roman" w:hAnsi="Times New Roman" w:eastAsia="宋体" w:cs="宋体"/>
                <w:color w:val="auto"/>
                <w:kern w:val="2"/>
                <w:sz w:val="24"/>
                <w:szCs w:val="24"/>
                <w:lang w:val="en-US" w:eastAsia="zh-CN" w:bidi="ar-SA"/>
              </w:rPr>
              <w:t>，根据《建筑给水排水设计标准》（GB50015-2019），车间工人的生活用水定额应根据车间性质确定，一般宜采用30</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50L/人·班，本项目不住厂职工生活用水定额按50L/人·班计。项目年工作日按</w:t>
            </w:r>
            <w:r>
              <w:rPr>
                <w:rFonts w:hint="eastAsia" w:ascii="Times New Roman" w:hAnsi="Times New Roman" w:eastAsia="宋体" w:cs="宋体"/>
                <w:color w:val="auto"/>
                <w:kern w:val="2"/>
                <w:sz w:val="24"/>
                <w:szCs w:val="24"/>
                <w:lang w:val="en-US" w:eastAsia="zh-CN" w:bidi="ar-SA"/>
              </w:rPr>
              <w:t>300</w:t>
            </w:r>
            <w:r>
              <w:rPr>
                <w:rFonts w:hint="default" w:ascii="Times New Roman" w:hAnsi="Times New Roman" w:eastAsia="宋体" w:cs="宋体"/>
                <w:color w:val="auto"/>
                <w:kern w:val="2"/>
                <w:sz w:val="24"/>
                <w:szCs w:val="24"/>
                <w:lang w:val="en-US" w:eastAsia="zh-CN" w:bidi="ar-SA"/>
              </w:rPr>
              <w:t>天计，则本项目职工生活用水量约为</w:t>
            </w:r>
            <w:r>
              <w:rPr>
                <w:rFonts w:hint="eastAsia" w:ascii="Times New Roman" w:hAnsi="Times New Roman" w:eastAsia="宋体" w:cs="宋体"/>
                <w:color w:val="auto"/>
                <w:kern w:val="2"/>
                <w:sz w:val="24"/>
                <w:szCs w:val="24"/>
                <w:lang w:val="en-US" w:eastAsia="zh-CN" w:bidi="ar-SA"/>
              </w:rPr>
              <w:t>3.0</w:t>
            </w:r>
            <w:r>
              <w:rPr>
                <w:rFonts w:hint="default" w:ascii="Times New Roman" w:hAnsi="Times New Roman" w:eastAsia="宋体" w:cs="宋体"/>
                <w:color w:val="auto"/>
                <w:kern w:val="2"/>
                <w:sz w:val="24"/>
                <w:szCs w:val="24"/>
                <w:lang w:val="en-US" w:eastAsia="zh-CN" w:bidi="ar-SA"/>
              </w:rPr>
              <w:t>t/d（</w:t>
            </w:r>
            <w:r>
              <w:rPr>
                <w:rFonts w:hint="eastAsia" w:ascii="Times New Roman" w:hAnsi="Times New Roman" w:eastAsia="宋体" w:cs="宋体"/>
                <w:color w:val="auto"/>
                <w:kern w:val="2"/>
                <w:sz w:val="24"/>
                <w:szCs w:val="24"/>
                <w:lang w:val="en-US" w:eastAsia="zh-CN" w:bidi="ar-SA"/>
              </w:rPr>
              <w:t>900.0</w:t>
            </w:r>
            <w:r>
              <w:rPr>
                <w:rFonts w:hint="default" w:ascii="Times New Roman" w:hAnsi="Times New Roman" w:eastAsia="宋体" w:cs="宋体"/>
                <w:color w:val="auto"/>
                <w:kern w:val="2"/>
                <w:sz w:val="24"/>
                <w:szCs w:val="24"/>
                <w:lang w:val="en-US" w:eastAsia="zh-CN" w:bidi="ar-SA"/>
              </w:rPr>
              <w:t>t/a），根据《排放源统计调查产排污计算方法和核算手册》中《生活源产排污系数手册》，人均日生活用水量≤150升/人·天时，折污系数取0.8（详见图2.1-1），则项目生活污水产生量约</w:t>
            </w:r>
            <w:r>
              <w:rPr>
                <w:rFonts w:hint="eastAsia" w:ascii="Times New Roman" w:hAnsi="Times New Roman" w:eastAsia="宋体" w:cs="宋体"/>
                <w:color w:val="auto"/>
                <w:kern w:val="2"/>
                <w:sz w:val="24"/>
                <w:szCs w:val="24"/>
                <w:lang w:val="en-US" w:eastAsia="zh-CN" w:bidi="ar-SA"/>
              </w:rPr>
              <w:t>2.4</w:t>
            </w:r>
            <w:r>
              <w:rPr>
                <w:rFonts w:hint="default" w:ascii="Times New Roman" w:hAnsi="Times New Roman" w:eastAsia="宋体" w:cs="宋体"/>
                <w:color w:val="auto"/>
                <w:kern w:val="2"/>
                <w:sz w:val="24"/>
                <w:szCs w:val="24"/>
                <w:lang w:val="en-US" w:eastAsia="zh-CN" w:bidi="ar-SA"/>
              </w:rPr>
              <w:t>t/d（</w:t>
            </w:r>
            <w:r>
              <w:rPr>
                <w:rFonts w:hint="eastAsia" w:ascii="Times New Roman" w:hAnsi="Times New Roman" w:eastAsia="宋体" w:cs="宋体"/>
                <w:color w:val="auto"/>
                <w:kern w:val="2"/>
                <w:sz w:val="24"/>
                <w:szCs w:val="24"/>
                <w:lang w:val="en-US" w:eastAsia="zh-CN" w:bidi="ar-SA"/>
              </w:rPr>
              <w:t>720</w:t>
            </w:r>
            <w:r>
              <w:rPr>
                <w:rFonts w:hint="default" w:ascii="Times New Roman" w:hAnsi="Times New Roman" w:eastAsia="宋体" w:cs="宋体"/>
                <w:color w:val="auto"/>
                <w:kern w:val="2"/>
                <w:sz w:val="24"/>
                <w:szCs w:val="24"/>
                <w:lang w:val="en-US" w:eastAsia="zh-CN" w:bidi="ar-SA"/>
              </w:rPr>
              <w:t>t/a）。</w:t>
            </w:r>
            <w:r>
              <w:rPr>
                <w:rFonts w:hint="default" w:ascii="Times New Roman" w:hAnsi="Times New Roman" w:eastAsia="宋体" w:cs="宋体"/>
                <w:color w:val="auto"/>
                <w:kern w:val="2"/>
                <w:sz w:val="24"/>
                <w:szCs w:val="24"/>
                <w:highlight w:val="none"/>
                <w:lang w:val="en-US" w:eastAsia="zh-CN" w:bidi="ar-SA"/>
              </w:rPr>
              <w:t>参考《给排水设计手册》（第五册城镇排水）典型生活污水水质，确定本项目污水污染物浓度为：CODcr：400mg/L、BOD</w:t>
            </w:r>
            <w:r>
              <w:rPr>
                <w:rFonts w:hint="default" w:ascii="Times New Roman" w:hAnsi="Times New Roman" w:eastAsia="宋体" w:cs="宋体"/>
                <w:color w:val="auto"/>
                <w:kern w:val="2"/>
                <w:sz w:val="24"/>
                <w:szCs w:val="24"/>
                <w:highlight w:val="none"/>
                <w:vertAlign w:val="subscript"/>
                <w:lang w:val="en-US" w:eastAsia="zh-CN" w:bidi="ar-SA"/>
              </w:rPr>
              <w:t>5</w:t>
            </w:r>
            <w:r>
              <w:rPr>
                <w:rFonts w:hint="eastAsia" w:ascii="Times New Roman" w:hAnsi="Times New Roman" w:eastAsia="宋体" w:cs="宋体"/>
                <w:color w:val="auto"/>
                <w:kern w:val="2"/>
                <w:sz w:val="24"/>
                <w:szCs w:val="24"/>
                <w:highlight w:val="none"/>
                <w:vertAlign w:val="subscript"/>
                <w:lang w:val="en-US" w:eastAsia="zh-CN" w:bidi="ar-SA"/>
              </w:rPr>
              <w:t>:</w:t>
            </w:r>
            <w:r>
              <w:rPr>
                <w:rFonts w:hint="default" w:ascii="Times New Roman" w:hAnsi="Times New Roman" w:eastAsia="宋体" w:cs="宋体"/>
                <w:color w:val="auto"/>
                <w:kern w:val="2"/>
                <w:sz w:val="24"/>
                <w:szCs w:val="24"/>
                <w:highlight w:val="none"/>
                <w:lang w:val="en-US" w:eastAsia="zh-CN" w:bidi="ar-SA"/>
              </w:rPr>
              <w:t>200mg/L、氨氮：35mg/L、SS：220mg/L</w:t>
            </w:r>
            <w:r>
              <w:rPr>
                <w:rFonts w:hint="eastAsia" w:ascii="Times New Roman" w:hAnsi="Times New Roman" w:eastAsia="宋体" w:cs="宋体"/>
                <w:color w:val="auto"/>
                <w:kern w:val="2"/>
                <w:sz w:val="24"/>
                <w:szCs w:val="24"/>
                <w:highlight w:val="none"/>
                <w:lang w:val="en-US" w:eastAsia="zh-CN" w:bidi="ar-SA"/>
              </w:rPr>
              <w:t>。生活污水依托化粪池处理达标后排入市政管网，纳入大学城污水处理厂。本项目生活污水经化粪池处理，化粪池对生活污水COD</w:t>
            </w:r>
            <w:r>
              <w:rPr>
                <w:rFonts w:hint="eastAsia" w:ascii="Times New Roman" w:hAnsi="Times New Roman" w:eastAsia="宋体" w:cs="宋体"/>
                <w:color w:val="auto"/>
                <w:kern w:val="2"/>
                <w:sz w:val="24"/>
                <w:szCs w:val="24"/>
                <w:highlight w:val="none"/>
                <w:vertAlign w:val="subscript"/>
                <w:lang w:val="en-US" w:eastAsia="zh-CN" w:bidi="ar-SA"/>
              </w:rPr>
              <w:t>cr</w:t>
            </w:r>
            <w:r>
              <w:rPr>
                <w:rFonts w:hint="eastAsia" w:ascii="Times New Roman" w:hAnsi="Times New Roman" w:eastAsia="宋体" w:cs="宋体"/>
                <w:color w:val="auto"/>
                <w:kern w:val="2"/>
                <w:sz w:val="24"/>
                <w:szCs w:val="24"/>
                <w:highlight w:val="none"/>
                <w:lang w:val="en-US" w:eastAsia="zh-CN" w:bidi="ar-SA"/>
              </w:rPr>
              <w:t>、BOD</w:t>
            </w:r>
            <w:r>
              <w:rPr>
                <w:rFonts w:hint="eastAsia" w:ascii="Times New Roman" w:hAnsi="Times New Roman" w:eastAsia="宋体" w:cs="宋体"/>
                <w:color w:val="auto"/>
                <w:kern w:val="2"/>
                <w:sz w:val="24"/>
                <w:szCs w:val="24"/>
                <w:highlight w:val="none"/>
                <w:vertAlign w:val="subscript"/>
                <w:lang w:val="en-US" w:eastAsia="zh-CN" w:bidi="ar-SA"/>
              </w:rPr>
              <w:t>5</w:t>
            </w:r>
            <w:r>
              <w:rPr>
                <w:rFonts w:hint="eastAsia" w:ascii="Times New Roman" w:hAnsi="Times New Roman" w:eastAsia="宋体" w:cs="宋体"/>
                <w:color w:val="auto"/>
                <w:kern w:val="2"/>
                <w:sz w:val="24"/>
                <w:szCs w:val="24"/>
                <w:highlight w:val="none"/>
                <w:lang w:val="en-US" w:eastAsia="zh-CN" w:bidi="ar-SA"/>
              </w:rPr>
              <w:t>、SS、NH</w:t>
            </w:r>
            <w:r>
              <w:rPr>
                <w:rFonts w:hint="eastAsia" w:ascii="Times New Roman" w:hAnsi="Times New Roman" w:eastAsia="宋体" w:cs="宋体"/>
                <w:color w:val="auto"/>
                <w:kern w:val="2"/>
                <w:sz w:val="24"/>
                <w:szCs w:val="24"/>
                <w:highlight w:val="none"/>
                <w:vertAlign w:val="subscript"/>
                <w:lang w:val="en-US" w:eastAsia="zh-CN" w:bidi="ar-SA"/>
              </w:rPr>
              <w:t>3</w:t>
            </w:r>
            <w:r>
              <w:rPr>
                <w:rFonts w:hint="eastAsia" w:ascii="Times New Roman" w:hAnsi="Times New Roman" w:eastAsia="宋体" w:cs="宋体"/>
                <w:color w:val="auto"/>
                <w:kern w:val="2"/>
                <w:sz w:val="24"/>
                <w:szCs w:val="24"/>
                <w:highlight w:val="none"/>
                <w:lang w:val="en-US" w:eastAsia="zh-CN" w:bidi="ar-SA"/>
              </w:rPr>
              <w:t>-N的设计去除率分别取20%、15%、30%、0%。</w:t>
            </w:r>
          </w:p>
          <w:p w14:paraId="2EFED291">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则生活污水中各污染物</w:t>
            </w:r>
            <w:r>
              <w:rPr>
                <w:rFonts w:hint="eastAsia" w:ascii="Times New Roman" w:hAnsi="Times New Roman" w:eastAsia="宋体" w:cs="宋体"/>
                <w:color w:val="auto"/>
                <w:kern w:val="2"/>
                <w:sz w:val="24"/>
                <w:szCs w:val="24"/>
                <w:lang w:val="en-US" w:eastAsia="zh-CN" w:bidi="ar-SA"/>
              </w:rPr>
              <w:t>产生</w:t>
            </w:r>
            <w:r>
              <w:rPr>
                <w:rFonts w:hint="default" w:ascii="Times New Roman" w:hAnsi="Times New Roman" w:eastAsia="宋体" w:cs="宋体"/>
                <w:color w:val="auto"/>
                <w:kern w:val="2"/>
                <w:sz w:val="24"/>
                <w:szCs w:val="24"/>
                <w:lang w:val="en-US" w:eastAsia="zh-CN" w:bidi="ar-SA"/>
              </w:rPr>
              <w:t>情况见表</w:t>
            </w:r>
            <w:r>
              <w:rPr>
                <w:rFonts w:hint="eastAsia" w:ascii="Times New Roman" w:hAnsi="Times New Roman" w:eastAsia="宋体" w:cs="宋体"/>
                <w:color w:val="auto"/>
                <w:kern w:val="2"/>
                <w:sz w:val="24"/>
                <w:szCs w:val="24"/>
                <w:lang w:val="en-US" w:eastAsia="zh-CN" w:bidi="ar-SA"/>
              </w:rPr>
              <w:t>4.1-1。</w:t>
            </w:r>
          </w:p>
          <w:p w14:paraId="68429257">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本项目废水处理设施的处理工艺为混凝+沉淀，设计处理规模为</w:t>
            </w:r>
            <w:r>
              <w:rPr>
                <w:rFonts w:hint="eastAsia" w:ascii="Times New Roman" w:hAnsi="Times New Roman" w:eastAsia="宋体" w:cs="宋体"/>
                <w:color w:val="auto"/>
                <w:kern w:val="2"/>
                <w:sz w:val="24"/>
                <w:szCs w:val="24"/>
                <w:highlight w:val="none"/>
                <w:lang w:val="en-US" w:eastAsia="zh-CN" w:bidi="ar-SA"/>
              </w:rPr>
              <w:t>10t/d</w:t>
            </w:r>
            <w:r>
              <w:rPr>
                <w:rFonts w:hint="eastAsia" w:ascii="Times New Roman" w:hAnsi="Times New Roman" w:eastAsia="宋体" w:cs="宋体"/>
                <w:color w:val="auto"/>
                <w:kern w:val="2"/>
                <w:sz w:val="24"/>
                <w:szCs w:val="24"/>
                <w:lang w:val="en-US" w:eastAsia="zh-CN" w:bidi="ar-SA"/>
              </w:rPr>
              <w:t>，根据《排放源统计调查产排污核算方法和系数手册》中《电子电气行业系数手册》，对化学需氧量、氨氮的平均处理效率分别为68%、73%。本项目生产废水产排放情况见下表4.1-2，综合废水产排情况</w:t>
            </w:r>
            <w:r>
              <w:rPr>
                <w:rFonts w:hint="eastAsia" w:cs="宋体"/>
                <w:color w:val="auto"/>
                <w:kern w:val="2"/>
                <w:sz w:val="24"/>
                <w:szCs w:val="24"/>
                <w:lang w:val="en-US" w:eastAsia="zh-CN" w:bidi="ar-SA"/>
              </w:rPr>
              <w:t>见下</w:t>
            </w:r>
            <w:r>
              <w:rPr>
                <w:rFonts w:hint="eastAsia" w:ascii="Times New Roman" w:hAnsi="Times New Roman" w:eastAsia="宋体" w:cs="宋体"/>
                <w:color w:val="auto"/>
                <w:kern w:val="2"/>
                <w:sz w:val="24"/>
                <w:szCs w:val="24"/>
                <w:lang w:val="en-US" w:eastAsia="zh-CN" w:bidi="ar-SA"/>
              </w:rPr>
              <w:t>表4.1-3。</w:t>
            </w:r>
          </w:p>
          <w:p w14:paraId="252DCF0A">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表4.1-1  运营期</w:t>
            </w:r>
            <w:r>
              <w:rPr>
                <w:rFonts w:hint="eastAsia" w:ascii="Times New Roman" w:hAnsi="Times New Roman" w:eastAsia="宋体" w:cs="Times New Roman"/>
                <w:b/>
                <w:color w:val="auto"/>
                <w:kern w:val="0"/>
                <w:sz w:val="24"/>
                <w:szCs w:val="20"/>
                <w:highlight w:val="none"/>
                <w:lang w:val="en-US" w:eastAsia="zh-CN" w:bidi="ar-SA"/>
              </w:rPr>
              <w:t>生活污水、纯净水产生排放</w:t>
            </w:r>
            <w:r>
              <w:rPr>
                <w:rFonts w:hint="eastAsia" w:ascii="Times New Roman" w:hAnsi="Times New Roman" w:eastAsia="宋体" w:cs="Times New Roman"/>
                <w:b/>
                <w:color w:val="auto"/>
                <w:kern w:val="0"/>
                <w:sz w:val="24"/>
                <w:szCs w:val="20"/>
                <w:lang w:val="en-US" w:eastAsia="zh-CN" w:bidi="ar-SA"/>
              </w:rPr>
              <w:t>情况</w:t>
            </w:r>
          </w:p>
          <w:tbl>
            <w:tblPr>
              <w:tblStyle w:val="17"/>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1186"/>
              <w:gridCol w:w="1525"/>
              <w:gridCol w:w="8"/>
              <w:gridCol w:w="1352"/>
              <w:gridCol w:w="8"/>
              <w:gridCol w:w="1352"/>
              <w:gridCol w:w="8"/>
              <w:gridCol w:w="1352"/>
              <w:gridCol w:w="8"/>
              <w:gridCol w:w="1371"/>
            </w:tblGrid>
            <w:tr w14:paraId="242818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726" w:type="pct"/>
                  <w:tcBorders>
                    <w:tl2br w:val="nil"/>
                    <w:tr2bl w:val="nil"/>
                  </w:tcBorders>
                  <w:noWrap w:val="0"/>
                  <w:vAlign w:val="center"/>
                </w:tcPr>
                <w:p w14:paraId="6E3E94B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废水量</w:t>
                  </w:r>
                </w:p>
              </w:tc>
              <w:tc>
                <w:tcPr>
                  <w:tcW w:w="933" w:type="pct"/>
                  <w:tcBorders>
                    <w:tl2br w:val="nil"/>
                    <w:tr2bl w:val="nil"/>
                  </w:tcBorders>
                  <w:noWrap w:val="0"/>
                  <w:vAlign w:val="center"/>
                </w:tcPr>
                <w:p w14:paraId="523F18D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项目</w:t>
                  </w:r>
                </w:p>
              </w:tc>
              <w:tc>
                <w:tcPr>
                  <w:tcW w:w="832" w:type="pct"/>
                  <w:gridSpan w:val="2"/>
                  <w:tcBorders>
                    <w:tl2br w:val="nil"/>
                    <w:tr2bl w:val="nil"/>
                  </w:tcBorders>
                  <w:noWrap w:val="0"/>
                  <w:vAlign w:val="center"/>
                </w:tcPr>
                <w:p w14:paraId="588EF79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COD</w:t>
                  </w:r>
                  <w:r>
                    <w:rPr>
                      <w:rFonts w:hint="default" w:ascii="Times New Roman" w:hAnsi="Times New Roman" w:eastAsia="宋体" w:cs="Times New Roman"/>
                      <w:b/>
                      <w:bCs/>
                      <w:color w:val="auto"/>
                      <w:kern w:val="0"/>
                      <w:sz w:val="21"/>
                      <w:szCs w:val="20"/>
                      <w:vertAlign w:val="subscript"/>
                      <w:lang w:val="en-US" w:eastAsia="zh-CN" w:bidi="ar-SA"/>
                    </w:rPr>
                    <w:t>cr</w:t>
                  </w:r>
                </w:p>
              </w:tc>
              <w:tc>
                <w:tcPr>
                  <w:tcW w:w="832" w:type="pct"/>
                  <w:gridSpan w:val="2"/>
                  <w:tcBorders>
                    <w:tl2br w:val="nil"/>
                    <w:tr2bl w:val="nil"/>
                  </w:tcBorders>
                  <w:noWrap w:val="0"/>
                  <w:vAlign w:val="center"/>
                </w:tcPr>
                <w:p w14:paraId="68AA751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BOD</w:t>
                  </w:r>
                  <w:r>
                    <w:rPr>
                      <w:rFonts w:hint="default" w:ascii="Times New Roman" w:hAnsi="Times New Roman" w:eastAsia="宋体" w:cs="Times New Roman"/>
                      <w:b/>
                      <w:bCs/>
                      <w:color w:val="auto"/>
                      <w:kern w:val="0"/>
                      <w:sz w:val="21"/>
                      <w:szCs w:val="20"/>
                      <w:vertAlign w:val="subscript"/>
                      <w:lang w:val="en-US" w:eastAsia="zh-CN" w:bidi="ar-SA"/>
                    </w:rPr>
                    <w:t>5</w:t>
                  </w:r>
                </w:p>
              </w:tc>
              <w:tc>
                <w:tcPr>
                  <w:tcW w:w="832" w:type="pct"/>
                  <w:gridSpan w:val="2"/>
                  <w:tcBorders>
                    <w:tl2br w:val="nil"/>
                    <w:tr2bl w:val="nil"/>
                  </w:tcBorders>
                  <w:noWrap w:val="0"/>
                  <w:vAlign w:val="center"/>
                </w:tcPr>
                <w:p w14:paraId="083315F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SS</w:t>
                  </w:r>
                </w:p>
              </w:tc>
              <w:tc>
                <w:tcPr>
                  <w:tcW w:w="843" w:type="pct"/>
                  <w:gridSpan w:val="2"/>
                  <w:tcBorders>
                    <w:tl2br w:val="nil"/>
                    <w:tr2bl w:val="nil"/>
                  </w:tcBorders>
                  <w:noWrap w:val="0"/>
                  <w:vAlign w:val="center"/>
                </w:tcPr>
                <w:p w14:paraId="79A41CA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NH</w:t>
                  </w:r>
                  <w:r>
                    <w:rPr>
                      <w:rFonts w:hint="default" w:ascii="Times New Roman" w:hAnsi="Times New Roman" w:eastAsia="宋体" w:cs="Times New Roman"/>
                      <w:b/>
                      <w:bCs/>
                      <w:color w:val="auto"/>
                      <w:kern w:val="0"/>
                      <w:sz w:val="21"/>
                      <w:szCs w:val="20"/>
                      <w:vertAlign w:val="subscript"/>
                      <w:lang w:val="en-US" w:eastAsia="zh-CN" w:bidi="ar-SA"/>
                    </w:rPr>
                    <w:t>3</w:t>
                  </w:r>
                  <w:r>
                    <w:rPr>
                      <w:rFonts w:hint="default" w:ascii="Times New Roman" w:hAnsi="Times New Roman" w:eastAsia="宋体" w:cs="Times New Roman"/>
                      <w:b/>
                      <w:bCs/>
                      <w:color w:val="auto"/>
                      <w:kern w:val="0"/>
                      <w:sz w:val="21"/>
                      <w:szCs w:val="20"/>
                      <w:lang w:val="en-US" w:eastAsia="zh-CN" w:bidi="ar-SA"/>
                    </w:rPr>
                    <w:t>-N</w:t>
                  </w:r>
                </w:p>
              </w:tc>
            </w:tr>
            <w:tr w14:paraId="76467F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726" w:type="pct"/>
                  <w:vMerge w:val="restart"/>
                  <w:tcBorders>
                    <w:tl2br w:val="nil"/>
                    <w:tr2bl w:val="nil"/>
                  </w:tcBorders>
                  <w:noWrap w:val="0"/>
                  <w:vAlign w:val="center"/>
                </w:tcPr>
                <w:p w14:paraId="38CF0D1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生活</w:t>
                  </w:r>
                  <w:r>
                    <w:rPr>
                      <w:rFonts w:hint="eastAsia" w:ascii="Times New Roman" w:hAnsi="Times New Roman" w:eastAsia="宋体" w:cs="Times New Roman"/>
                      <w:color w:val="auto"/>
                      <w:kern w:val="0"/>
                      <w:sz w:val="21"/>
                      <w:szCs w:val="20"/>
                      <w:lang w:val="en-US" w:eastAsia="zh-CN" w:bidi="ar-SA"/>
                    </w:rPr>
                    <w:t>污水</w:t>
                  </w:r>
                  <w:r>
                    <w:rPr>
                      <w:rFonts w:hint="default" w:ascii="Times New Roman" w:hAnsi="Times New Roman" w:eastAsia="宋体" w:cs="Times New Roman"/>
                      <w:color w:val="auto"/>
                      <w:kern w:val="0"/>
                      <w:sz w:val="21"/>
                      <w:szCs w:val="20"/>
                      <w:lang w:val="en-US" w:eastAsia="zh-CN" w:bidi="ar-SA"/>
                    </w:rPr>
                    <w:t>（</w:t>
                  </w:r>
                  <w:r>
                    <w:rPr>
                      <w:rFonts w:hint="eastAsia" w:ascii="Times New Roman" w:hAnsi="Times New Roman" w:eastAsia="宋体" w:cs="Times New Roman"/>
                      <w:color w:val="auto"/>
                      <w:kern w:val="0"/>
                      <w:sz w:val="21"/>
                      <w:szCs w:val="20"/>
                      <w:lang w:val="en-US" w:eastAsia="zh-CN" w:bidi="ar-SA"/>
                    </w:rPr>
                    <w:t>720</w:t>
                  </w:r>
                  <w:r>
                    <w:rPr>
                      <w:rFonts w:hint="default" w:ascii="Times New Roman" w:hAnsi="Times New Roman" w:eastAsia="宋体" w:cs="Times New Roman"/>
                      <w:color w:val="auto"/>
                      <w:kern w:val="0"/>
                      <w:sz w:val="21"/>
                      <w:szCs w:val="20"/>
                      <w:lang w:val="en-US" w:eastAsia="zh-CN" w:bidi="ar-SA"/>
                    </w:rPr>
                    <w:t>t/a）</w:t>
                  </w:r>
                </w:p>
              </w:tc>
              <w:tc>
                <w:tcPr>
                  <w:tcW w:w="933" w:type="pct"/>
                  <w:tcBorders>
                    <w:tl2br w:val="nil"/>
                    <w:tr2bl w:val="nil"/>
                  </w:tcBorders>
                  <w:noWrap w:val="0"/>
                  <w:vAlign w:val="center"/>
                </w:tcPr>
                <w:p w14:paraId="691F743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污染物产生浓度（mg/L）</w:t>
                  </w:r>
                </w:p>
              </w:tc>
              <w:tc>
                <w:tcPr>
                  <w:tcW w:w="832" w:type="pct"/>
                  <w:gridSpan w:val="2"/>
                  <w:tcBorders>
                    <w:tl2br w:val="nil"/>
                    <w:tr2bl w:val="nil"/>
                  </w:tcBorders>
                  <w:noWrap w:val="0"/>
                  <w:vAlign w:val="center"/>
                </w:tcPr>
                <w:p w14:paraId="6F49C6F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400</w:t>
                  </w:r>
                </w:p>
              </w:tc>
              <w:tc>
                <w:tcPr>
                  <w:tcW w:w="832" w:type="pct"/>
                  <w:gridSpan w:val="2"/>
                  <w:tcBorders>
                    <w:tl2br w:val="nil"/>
                    <w:tr2bl w:val="nil"/>
                  </w:tcBorders>
                  <w:noWrap w:val="0"/>
                  <w:vAlign w:val="center"/>
                </w:tcPr>
                <w:p w14:paraId="064EB0B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200</w:t>
                  </w:r>
                </w:p>
              </w:tc>
              <w:tc>
                <w:tcPr>
                  <w:tcW w:w="832" w:type="pct"/>
                  <w:gridSpan w:val="2"/>
                  <w:tcBorders>
                    <w:tl2br w:val="nil"/>
                    <w:tr2bl w:val="nil"/>
                  </w:tcBorders>
                  <w:noWrap w:val="0"/>
                  <w:vAlign w:val="center"/>
                </w:tcPr>
                <w:p w14:paraId="437F81E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w:t>
                  </w:r>
                  <w:r>
                    <w:rPr>
                      <w:rFonts w:hint="eastAsia" w:ascii="Times New Roman" w:hAnsi="Times New Roman" w:eastAsia="宋体" w:cs="Times New Roman"/>
                      <w:color w:val="auto"/>
                      <w:kern w:val="0"/>
                      <w:sz w:val="21"/>
                      <w:szCs w:val="20"/>
                      <w:lang w:val="en-US" w:eastAsia="zh-CN" w:bidi="ar-SA"/>
                    </w:rPr>
                    <w:t>2</w:t>
                  </w:r>
                  <w:r>
                    <w:rPr>
                      <w:rFonts w:hint="default" w:ascii="Times New Roman" w:hAnsi="Times New Roman" w:eastAsia="宋体" w:cs="Times New Roman"/>
                      <w:color w:val="auto"/>
                      <w:kern w:val="0"/>
                      <w:sz w:val="21"/>
                      <w:szCs w:val="20"/>
                      <w:lang w:val="en-US" w:eastAsia="zh-CN" w:bidi="ar-SA"/>
                    </w:rPr>
                    <w:t>0</w:t>
                  </w:r>
                </w:p>
              </w:tc>
              <w:tc>
                <w:tcPr>
                  <w:tcW w:w="843" w:type="pct"/>
                  <w:gridSpan w:val="2"/>
                  <w:tcBorders>
                    <w:tl2br w:val="nil"/>
                    <w:tr2bl w:val="nil"/>
                  </w:tcBorders>
                  <w:noWrap w:val="0"/>
                  <w:vAlign w:val="center"/>
                </w:tcPr>
                <w:p w14:paraId="793AA51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35</w:t>
                  </w:r>
                </w:p>
              </w:tc>
            </w:tr>
            <w:tr w14:paraId="73B8B6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726" w:type="pct"/>
                  <w:vMerge w:val="continue"/>
                  <w:tcBorders>
                    <w:tl2br w:val="nil"/>
                    <w:tr2bl w:val="nil"/>
                  </w:tcBorders>
                  <w:noWrap w:val="0"/>
                  <w:vAlign w:val="center"/>
                </w:tcPr>
                <w:p w14:paraId="499A4DF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p>
              </w:tc>
              <w:tc>
                <w:tcPr>
                  <w:tcW w:w="933" w:type="pct"/>
                  <w:tcBorders>
                    <w:tl2br w:val="nil"/>
                    <w:tr2bl w:val="nil"/>
                  </w:tcBorders>
                  <w:noWrap w:val="0"/>
                  <w:vAlign w:val="center"/>
                </w:tcPr>
                <w:p w14:paraId="255BED0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污染物产生量（t/a）</w:t>
                  </w:r>
                </w:p>
              </w:tc>
              <w:tc>
                <w:tcPr>
                  <w:tcW w:w="832" w:type="pct"/>
                  <w:gridSpan w:val="2"/>
                  <w:tcBorders>
                    <w:tl2br w:val="nil"/>
                    <w:tr2bl w:val="nil"/>
                  </w:tcBorders>
                  <w:noWrap w:val="0"/>
                  <w:vAlign w:val="center"/>
                </w:tcPr>
                <w:p w14:paraId="603F0FB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0.288</w:t>
                  </w:r>
                </w:p>
              </w:tc>
              <w:tc>
                <w:tcPr>
                  <w:tcW w:w="832" w:type="pct"/>
                  <w:gridSpan w:val="2"/>
                  <w:tcBorders>
                    <w:tl2br w:val="nil"/>
                    <w:tr2bl w:val="nil"/>
                  </w:tcBorders>
                  <w:noWrap w:val="0"/>
                  <w:vAlign w:val="center"/>
                </w:tcPr>
                <w:p w14:paraId="6202BF3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0.144</w:t>
                  </w:r>
                </w:p>
              </w:tc>
              <w:tc>
                <w:tcPr>
                  <w:tcW w:w="832" w:type="pct"/>
                  <w:gridSpan w:val="2"/>
                  <w:tcBorders>
                    <w:tl2br w:val="nil"/>
                    <w:tr2bl w:val="nil"/>
                  </w:tcBorders>
                  <w:noWrap w:val="0"/>
                  <w:vAlign w:val="center"/>
                </w:tcPr>
                <w:p w14:paraId="08E04BE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0.1584</w:t>
                  </w:r>
                </w:p>
              </w:tc>
              <w:tc>
                <w:tcPr>
                  <w:tcW w:w="843" w:type="pct"/>
                  <w:gridSpan w:val="2"/>
                  <w:tcBorders>
                    <w:tl2br w:val="nil"/>
                    <w:tr2bl w:val="nil"/>
                  </w:tcBorders>
                  <w:noWrap w:val="0"/>
                  <w:vAlign w:val="center"/>
                </w:tcPr>
                <w:p w14:paraId="20411FD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0.0252</w:t>
                  </w:r>
                </w:p>
              </w:tc>
            </w:tr>
            <w:tr w14:paraId="7401056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1664" w:type="pct"/>
                  <w:gridSpan w:val="3"/>
                  <w:tcBorders>
                    <w:tl2br w:val="nil"/>
                    <w:tr2bl w:val="nil"/>
                  </w:tcBorders>
                  <w:noWrap w:val="0"/>
                  <w:vAlign w:val="center"/>
                </w:tcPr>
                <w:p w14:paraId="0B6DCF2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化粪池处理效率</w:t>
                  </w:r>
                </w:p>
              </w:tc>
              <w:tc>
                <w:tcPr>
                  <w:tcW w:w="832" w:type="pct"/>
                  <w:gridSpan w:val="2"/>
                  <w:tcBorders>
                    <w:tl2br w:val="nil"/>
                    <w:tr2bl w:val="nil"/>
                  </w:tcBorders>
                  <w:noWrap w:val="0"/>
                  <w:vAlign w:val="center"/>
                </w:tcPr>
                <w:p w14:paraId="52EB61F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20%</w:t>
                  </w:r>
                </w:p>
              </w:tc>
              <w:tc>
                <w:tcPr>
                  <w:tcW w:w="832" w:type="pct"/>
                  <w:gridSpan w:val="2"/>
                  <w:tcBorders>
                    <w:tl2br w:val="nil"/>
                    <w:tr2bl w:val="nil"/>
                  </w:tcBorders>
                  <w:noWrap w:val="0"/>
                  <w:vAlign w:val="center"/>
                </w:tcPr>
                <w:p w14:paraId="5B8CD14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15%</w:t>
                  </w:r>
                </w:p>
              </w:tc>
              <w:tc>
                <w:tcPr>
                  <w:tcW w:w="832" w:type="pct"/>
                  <w:gridSpan w:val="2"/>
                  <w:tcBorders>
                    <w:tl2br w:val="nil"/>
                    <w:tr2bl w:val="nil"/>
                  </w:tcBorders>
                  <w:noWrap w:val="0"/>
                  <w:vAlign w:val="center"/>
                </w:tcPr>
                <w:p w14:paraId="714778D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30%</w:t>
                  </w:r>
                </w:p>
              </w:tc>
              <w:tc>
                <w:tcPr>
                  <w:tcW w:w="839" w:type="pct"/>
                  <w:tcBorders>
                    <w:tl2br w:val="nil"/>
                    <w:tr2bl w:val="nil"/>
                  </w:tcBorders>
                  <w:noWrap w:val="0"/>
                  <w:vAlign w:val="center"/>
                </w:tcPr>
                <w:p w14:paraId="35D079B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w:t>
                  </w:r>
                </w:p>
              </w:tc>
            </w:tr>
            <w:tr w14:paraId="0C6B69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726" w:type="pct"/>
                  <w:vMerge w:val="restart"/>
                  <w:tcBorders>
                    <w:tl2br w:val="nil"/>
                    <w:tr2bl w:val="nil"/>
                  </w:tcBorders>
                  <w:noWrap w:val="0"/>
                  <w:vAlign w:val="center"/>
                </w:tcPr>
                <w:p w14:paraId="0765148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生活污水+纯净水（2768t/a）</w:t>
                  </w:r>
                </w:p>
              </w:tc>
              <w:tc>
                <w:tcPr>
                  <w:tcW w:w="937" w:type="pct"/>
                  <w:gridSpan w:val="2"/>
                  <w:tcBorders>
                    <w:tl2br w:val="nil"/>
                    <w:tr2bl w:val="nil"/>
                  </w:tcBorders>
                  <w:noWrap w:val="0"/>
                  <w:vAlign w:val="center"/>
                </w:tcPr>
                <w:p w14:paraId="638590E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经化粪池处理后废水排放浓度（mg/L）</w:t>
                  </w:r>
                </w:p>
              </w:tc>
              <w:tc>
                <w:tcPr>
                  <w:tcW w:w="832" w:type="pct"/>
                  <w:gridSpan w:val="2"/>
                  <w:tcBorders>
                    <w:tl2br w:val="nil"/>
                    <w:tr2bl w:val="nil"/>
                  </w:tcBorders>
                  <w:noWrap w:val="0"/>
                  <w:vAlign w:val="center"/>
                </w:tcPr>
                <w:p w14:paraId="7588D0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highlight w:val="none"/>
                      <w:lang w:val="en-US" w:eastAsia="zh-CN" w:bidi="ar-SA"/>
                    </w:rPr>
                    <w:t>83.237</w:t>
                  </w:r>
                </w:p>
              </w:tc>
              <w:tc>
                <w:tcPr>
                  <w:tcW w:w="832" w:type="pct"/>
                  <w:gridSpan w:val="2"/>
                  <w:tcBorders>
                    <w:tl2br w:val="nil"/>
                    <w:tr2bl w:val="nil"/>
                  </w:tcBorders>
                  <w:noWrap w:val="0"/>
                  <w:vAlign w:val="center"/>
                </w:tcPr>
                <w:p w14:paraId="5A30D8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highlight w:val="none"/>
                      <w:lang w:val="en-US" w:eastAsia="zh-CN" w:bidi="ar-SA"/>
                    </w:rPr>
                    <w:t>44.220</w:t>
                  </w:r>
                </w:p>
              </w:tc>
              <w:tc>
                <w:tcPr>
                  <w:tcW w:w="832" w:type="pct"/>
                  <w:gridSpan w:val="2"/>
                  <w:tcBorders>
                    <w:tl2br w:val="nil"/>
                    <w:tr2bl w:val="nil"/>
                  </w:tcBorders>
                  <w:noWrap w:val="0"/>
                  <w:vAlign w:val="center"/>
                </w:tcPr>
                <w:p w14:paraId="5631C1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highlight w:val="none"/>
                      <w:lang w:val="en-US" w:eastAsia="zh-CN" w:bidi="ar-SA"/>
                    </w:rPr>
                    <w:t>40.065</w:t>
                  </w:r>
                </w:p>
              </w:tc>
              <w:tc>
                <w:tcPr>
                  <w:tcW w:w="839" w:type="pct"/>
                  <w:tcBorders>
                    <w:tl2br w:val="nil"/>
                    <w:tr2bl w:val="nil"/>
                  </w:tcBorders>
                  <w:noWrap w:val="0"/>
                  <w:vAlign w:val="center"/>
                </w:tcPr>
                <w:p w14:paraId="0BACBA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highlight w:val="none"/>
                      <w:lang w:val="en-US" w:eastAsia="zh-CN" w:bidi="ar-SA"/>
                    </w:rPr>
                    <w:t>9.104</w:t>
                  </w:r>
                </w:p>
              </w:tc>
            </w:tr>
            <w:tr w14:paraId="3DCF827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726" w:type="pct"/>
                  <w:vMerge w:val="continue"/>
                  <w:tcBorders>
                    <w:tl2br w:val="nil"/>
                    <w:tr2bl w:val="nil"/>
                  </w:tcBorders>
                  <w:noWrap w:val="0"/>
                  <w:vAlign w:val="center"/>
                </w:tcPr>
                <w:p w14:paraId="7D60146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p>
              </w:tc>
              <w:tc>
                <w:tcPr>
                  <w:tcW w:w="937" w:type="pct"/>
                  <w:gridSpan w:val="2"/>
                  <w:tcBorders>
                    <w:tl2br w:val="nil"/>
                    <w:tr2bl w:val="nil"/>
                  </w:tcBorders>
                  <w:noWrap w:val="0"/>
                  <w:vAlign w:val="center"/>
                </w:tcPr>
                <w:p w14:paraId="727AFFD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经化粪池处理后废水排放量（t/a）</w:t>
                  </w:r>
                </w:p>
              </w:tc>
              <w:tc>
                <w:tcPr>
                  <w:tcW w:w="832" w:type="pct"/>
                  <w:gridSpan w:val="2"/>
                  <w:tcBorders>
                    <w:tl2br w:val="nil"/>
                    <w:tr2bl w:val="nil"/>
                  </w:tcBorders>
                  <w:noWrap w:val="0"/>
                  <w:vAlign w:val="center"/>
                </w:tcPr>
                <w:p w14:paraId="243CEB9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0.2304</w:t>
                  </w:r>
                </w:p>
              </w:tc>
              <w:tc>
                <w:tcPr>
                  <w:tcW w:w="832" w:type="pct"/>
                  <w:gridSpan w:val="2"/>
                  <w:tcBorders>
                    <w:tl2br w:val="nil"/>
                    <w:tr2bl w:val="nil"/>
                  </w:tcBorders>
                  <w:noWrap w:val="0"/>
                  <w:vAlign w:val="center"/>
                </w:tcPr>
                <w:p w14:paraId="436CA1D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0.1224</w:t>
                  </w:r>
                </w:p>
              </w:tc>
              <w:tc>
                <w:tcPr>
                  <w:tcW w:w="832" w:type="pct"/>
                  <w:gridSpan w:val="2"/>
                  <w:tcBorders>
                    <w:tl2br w:val="nil"/>
                    <w:tr2bl w:val="nil"/>
                  </w:tcBorders>
                  <w:noWrap w:val="0"/>
                  <w:vAlign w:val="center"/>
                </w:tcPr>
                <w:p w14:paraId="416C424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0.1109</w:t>
                  </w:r>
                </w:p>
              </w:tc>
              <w:tc>
                <w:tcPr>
                  <w:tcW w:w="839" w:type="pct"/>
                  <w:tcBorders>
                    <w:tl2br w:val="nil"/>
                    <w:tr2bl w:val="nil"/>
                  </w:tcBorders>
                  <w:noWrap w:val="0"/>
                  <w:vAlign w:val="center"/>
                </w:tcPr>
                <w:p w14:paraId="5CDA0CB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0.0252</w:t>
                  </w:r>
                </w:p>
              </w:tc>
            </w:tr>
          </w:tbl>
          <w:p w14:paraId="38788F75">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表4.1-2  运营期生产废水产生排放情况</w:t>
            </w:r>
          </w:p>
          <w:tbl>
            <w:tblPr>
              <w:tblStyle w:val="17"/>
              <w:tblW w:w="8168" w:type="dxa"/>
              <w:tblInd w:w="-2"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901"/>
              <w:gridCol w:w="1206"/>
              <w:gridCol w:w="2010"/>
              <w:gridCol w:w="2025"/>
              <w:gridCol w:w="2026"/>
            </w:tblGrid>
            <w:tr w14:paraId="4B94A9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552" w:type="pct"/>
                  <w:tcBorders>
                    <w:tl2br w:val="nil"/>
                    <w:tr2bl w:val="nil"/>
                  </w:tcBorders>
                  <w:noWrap w:val="0"/>
                  <w:vAlign w:val="center"/>
                </w:tcPr>
                <w:p w14:paraId="660664B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废水量</w:t>
                  </w:r>
                </w:p>
              </w:tc>
              <w:tc>
                <w:tcPr>
                  <w:tcW w:w="738" w:type="pct"/>
                  <w:tcBorders>
                    <w:tl2br w:val="nil"/>
                    <w:tr2bl w:val="nil"/>
                  </w:tcBorders>
                  <w:noWrap w:val="0"/>
                  <w:vAlign w:val="center"/>
                </w:tcPr>
                <w:p w14:paraId="1478E65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项目</w:t>
                  </w:r>
                </w:p>
              </w:tc>
              <w:tc>
                <w:tcPr>
                  <w:tcW w:w="1230" w:type="pct"/>
                  <w:tcBorders>
                    <w:tl2br w:val="nil"/>
                    <w:tr2bl w:val="nil"/>
                  </w:tcBorders>
                  <w:noWrap w:val="0"/>
                  <w:vAlign w:val="center"/>
                </w:tcPr>
                <w:p w14:paraId="7C289D7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COD</w:t>
                  </w:r>
                  <w:r>
                    <w:rPr>
                      <w:rFonts w:hint="default" w:ascii="Times New Roman" w:hAnsi="Times New Roman" w:eastAsia="宋体" w:cs="Times New Roman"/>
                      <w:b/>
                      <w:bCs/>
                      <w:color w:val="auto"/>
                      <w:kern w:val="0"/>
                      <w:sz w:val="21"/>
                      <w:szCs w:val="20"/>
                      <w:vertAlign w:val="subscript"/>
                      <w:lang w:val="en-US" w:eastAsia="zh-CN" w:bidi="ar-SA"/>
                    </w:rPr>
                    <w:t>cr</w:t>
                  </w:r>
                </w:p>
              </w:tc>
              <w:tc>
                <w:tcPr>
                  <w:tcW w:w="1239" w:type="pct"/>
                  <w:tcBorders>
                    <w:tl2br w:val="nil"/>
                    <w:tr2bl w:val="nil"/>
                  </w:tcBorders>
                  <w:noWrap w:val="0"/>
                  <w:vAlign w:val="center"/>
                </w:tcPr>
                <w:p w14:paraId="311C487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NH</w:t>
                  </w:r>
                  <w:r>
                    <w:rPr>
                      <w:rFonts w:hint="default" w:ascii="Times New Roman" w:hAnsi="Times New Roman" w:eastAsia="宋体" w:cs="Times New Roman"/>
                      <w:b/>
                      <w:bCs/>
                      <w:color w:val="auto"/>
                      <w:kern w:val="0"/>
                      <w:sz w:val="21"/>
                      <w:szCs w:val="20"/>
                      <w:vertAlign w:val="subscript"/>
                      <w:lang w:val="en-US" w:eastAsia="zh-CN" w:bidi="ar-SA"/>
                    </w:rPr>
                    <w:t>3</w:t>
                  </w:r>
                  <w:r>
                    <w:rPr>
                      <w:rFonts w:hint="default" w:ascii="Times New Roman" w:hAnsi="Times New Roman" w:eastAsia="宋体" w:cs="Times New Roman"/>
                      <w:b/>
                      <w:bCs/>
                      <w:color w:val="auto"/>
                      <w:kern w:val="0"/>
                      <w:sz w:val="21"/>
                      <w:szCs w:val="20"/>
                      <w:lang w:val="en-US" w:eastAsia="zh-CN" w:bidi="ar-SA"/>
                    </w:rPr>
                    <w:t>-N</w:t>
                  </w:r>
                </w:p>
              </w:tc>
              <w:tc>
                <w:tcPr>
                  <w:tcW w:w="1238" w:type="pct"/>
                  <w:tcBorders>
                    <w:tl2br w:val="nil"/>
                    <w:tr2bl w:val="nil"/>
                  </w:tcBorders>
                  <w:noWrap w:val="0"/>
                  <w:vAlign w:val="center"/>
                </w:tcPr>
                <w:p w14:paraId="1CA8B80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SS</w:t>
                  </w:r>
                </w:p>
              </w:tc>
            </w:tr>
            <w:tr w14:paraId="45EA848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552" w:type="pct"/>
                  <w:vMerge w:val="restart"/>
                  <w:tcBorders>
                    <w:tl2br w:val="nil"/>
                    <w:tr2bl w:val="nil"/>
                  </w:tcBorders>
                  <w:noWrap w:val="0"/>
                  <w:vAlign w:val="center"/>
                </w:tcPr>
                <w:p w14:paraId="7F4419D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生产废水2</w:t>
                  </w:r>
                  <w:r>
                    <w:rPr>
                      <w:rFonts w:hint="eastAsia" w:cs="Times New Roman"/>
                      <w:color w:val="auto"/>
                      <w:kern w:val="0"/>
                      <w:sz w:val="21"/>
                      <w:szCs w:val="20"/>
                      <w:lang w:val="en-US" w:eastAsia="zh-CN" w:bidi="ar-SA"/>
                    </w:rPr>
                    <w:t>315.4</w:t>
                  </w:r>
                  <w:r>
                    <w:rPr>
                      <w:rFonts w:hint="eastAsia" w:ascii="Times New Roman" w:hAnsi="Times New Roman" w:eastAsia="宋体" w:cs="Times New Roman"/>
                      <w:color w:val="auto"/>
                      <w:kern w:val="0"/>
                      <w:sz w:val="21"/>
                      <w:szCs w:val="20"/>
                      <w:lang w:val="en-US" w:eastAsia="zh-CN" w:bidi="ar-SA"/>
                    </w:rPr>
                    <w:t>t/a</w:t>
                  </w:r>
                </w:p>
              </w:tc>
              <w:tc>
                <w:tcPr>
                  <w:tcW w:w="738" w:type="pct"/>
                  <w:tcBorders>
                    <w:tl2br w:val="nil"/>
                    <w:tr2bl w:val="nil"/>
                  </w:tcBorders>
                  <w:noWrap w:val="0"/>
                  <w:vAlign w:val="center"/>
                </w:tcPr>
                <w:p w14:paraId="129F555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污染物</w:t>
                  </w:r>
                  <w:r>
                    <w:rPr>
                      <w:rFonts w:hint="eastAsia" w:ascii="Times New Roman" w:hAnsi="Times New Roman" w:eastAsia="宋体" w:cs="Times New Roman"/>
                      <w:color w:val="auto"/>
                      <w:kern w:val="0"/>
                      <w:sz w:val="21"/>
                      <w:szCs w:val="20"/>
                      <w:lang w:val="en-US" w:eastAsia="zh-CN" w:bidi="ar-SA"/>
                    </w:rPr>
                    <w:t>产生</w:t>
                  </w:r>
                  <w:r>
                    <w:rPr>
                      <w:rFonts w:hint="default" w:ascii="Times New Roman" w:hAnsi="Times New Roman" w:eastAsia="宋体" w:cs="Times New Roman"/>
                      <w:color w:val="auto"/>
                      <w:kern w:val="0"/>
                      <w:sz w:val="21"/>
                      <w:szCs w:val="20"/>
                      <w:lang w:val="en-US" w:eastAsia="zh-CN" w:bidi="ar-SA"/>
                    </w:rPr>
                    <w:t>浓度（mg/L）</w:t>
                  </w:r>
                </w:p>
              </w:tc>
              <w:tc>
                <w:tcPr>
                  <w:tcW w:w="1230" w:type="pct"/>
                  <w:tcBorders>
                    <w:tl2br w:val="nil"/>
                    <w:tr2bl w:val="nil"/>
                  </w:tcBorders>
                  <w:noWrap w:val="0"/>
                  <w:vAlign w:val="center"/>
                </w:tcPr>
                <w:p w14:paraId="0C73009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172.26</w:t>
                  </w:r>
                </w:p>
              </w:tc>
              <w:tc>
                <w:tcPr>
                  <w:tcW w:w="1239" w:type="pct"/>
                  <w:tcBorders>
                    <w:tl2br w:val="nil"/>
                    <w:tr2bl w:val="nil"/>
                  </w:tcBorders>
                  <w:noWrap w:val="0"/>
                  <w:vAlign w:val="center"/>
                </w:tcPr>
                <w:p w14:paraId="5B114FD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20.0734</w:t>
                  </w:r>
                </w:p>
              </w:tc>
              <w:tc>
                <w:tcPr>
                  <w:tcW w:w="1238" w:type="pct"/>
                  <w:tcBorders>
                    <w:tl2br w:val="nil"/>
                    <w:tr2bl w:val="nil"/>
                  </w:tcBorders>
                  <w:noWrap w:val="0"/>
                  <w:vAlign w:val="center"/>
                </w:tcPr>
                <w:p w14:paraId="45DDA0F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38</w:t>
                  </w:r>
                </w:p>
              </w:tc>
            </w:tr>
            <w:tr w14:paraId="35F544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552" w:type="pct"/>
                  <w:vMerge w:val="continue"/>
                  <w:tcBorders>
                    <w:tl2br w:val="nil"/>
                    <w:tr2bl w:val="nil"/>
                  </w:tcBorders>
                  <w:noWrap w:val="0"/>
                  <w:vAlign w:val="center"/>
                </w:tcPr>
                <w:p w14:paraId="256F977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p>
              </w:tc>
              <w:tc>
                <w:tcPr>
                  <w:tcW w:w="738" w:type="pct"/>
                  <w:tcBorders>
                    <w:tl2br w:val="nil"/>
                    <w:tr2bl w:val="nil"/>
                  </w:tcBorders>
                  <w:noWrap w:val="0"/>
                  <w:vAlign w:val="center"/>
                </w:tcPr>
                <w:p w14:paraId="2604E15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污染物</w:t>
                  </w:r>
                  <w:r>
                    <w:rPr>
                      <w:rFonts w:hint="eastAsia" w:ascii="Times New Roman" w:hAnsi="Times New Roman" w:eastAsia="宋体" w:cs="Times New Roman"/>
                      <w:color w:val="auto"/>
                      <w:kern w:val="0"/>
                      <w:sz w:val="21"/>
                      <w:szCs w:val="20"/>
                      <w:lang w:val="en-US" w:eastAsia="zh-CN" w:bidi="ar-SA"/>
                    </w:rPr>
                    <w:t>产生</w:t>
                  </w:r>
                  <w:r>
                    <w:rPr>
                      <w:rFonts w:hint="default" w:ascii="Times New Roman" w:hAnsi="Times New Roman" w:eastAsia="宋体" w:cs="Times New Roman"/>
                      <w:color w:val="auto"/>
                      <w:kern w:val="0"/>
                      <w:sz w:val="21"/>
                      <w:szCs w:val="20"/>
                      <w:lang w:val="en-US" w:eastAsia="zh-CN" w:bidi="ar-SA"/>
                    </w:rPr>
                    <w:t>量（t/a）</w:t>
                  </w:r>
                </w:p>
              </w:tc>
              <w:tc>
                <w:tcPr>
                  <w:tcW w:w="1230" w:type="pct"/>
                  <w:tcBorders>
                    <w:tl2br w:val="nil"/>
                    <w:tr2bl w:val="nil"/>
                  </w:tcBorders>
                  <w:noWrap w:val="0"/>
                  <w:vAlign w:val="center"/>
                </w:tcPr>
                <w:p w14:paraId="7206EE6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0.39884</w:t>
                  </w:r>
                </w:p>
              </w:tc>
              <w:tc>
                <w:tcPr>
                  <w:tcW w:w="1239" w:type="pct"/>
                  <w:tcBorders>
                    <w:tl2br w:val="nil"/>
                    <w:tr2bl w:val="nil"/>
                  </w:tcBorders>
                  <w:noWrap w:val="0"/>
                  <w:vAlign w:val="center"/>
                </w:tcPr>
                <w:p w14:paraId="447C128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w:t>
                  </w:r>
                  <w:r>
                    <w:rPr>
                      <w:rFonts w:hint="eastAsia" w:cs="Times New Roman"/>
                      <w:color w:val="auto"/>
                      <w:kern w:val="0"/>
                      <w:sz w:val="21"/>
                      <w:szCs w:val="20"/>
                      <w:lang w:val="en-US" w:eastAsia="zh-CN" w:bidi="ar-SA"/>
                    </w:rPr>
                    <w:t>046478</w:t>
                  </w:r>
                </w:p>
              </w:tc>
              <w:tc>
                <w:tcPr>
                  <w:tcW w:w="1238" w:type="pct"/>
                  <w:tcBorders>
                    <w:tl2br w:val="nil"/>
                    <w:tr2bl w:val="nil"/>
                  </w:tcBorders>
                  <w:noWrap w:val="0"/>
                  <w:vAlign w:val="center"/>
                </w:tcPr>
                <w:p w14:paraId="32A7407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0.0789</w:t>
                  </w:r>
                </w:p>
              </w:tc>
            </w:tr>
            <w:tr w14:paraId="65DF41A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552" w:type="pct"/>
                  <w:tcBorders>
                    <w:tl2br w:val="nil"/>
                    <w:tr2bl w:val="nil"/>
                  </w:tcBorders>
                  <w:noWrap w:val="0"/>
                  <w:vAlign w:val="center"/>
                </w:tcPr>
                <w:p w14:paraId="7162505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处理措施</w:t>
                  </w:r>
                </w:p>
              </w:tc>
              <w:tc>
                <w:tcPr>
                  <w:tcW w:w="4447" w:type="pct"/>
                  <w:gridSpan w:val="4"/>
                  <w:tcBorders>
                    <w:tl2br w:val="nil"/>
                    <w:tr2bl w:val="nil"/>
                  </w:tcBorders>
                  <w:noWrap w:val="0"/>
                  <w:vAlign w:val="center"/>
                </w:tcPr>
                <w:p w14:paraId="7B8E8266">
                  <w:pPr>
                    <w:pStyle w:val="28"/>
                    <w:bidi w:val="0"/>
                    <w:rPr>
                      <w:rFonts w:hint="eastAsia" w:ascii="Times New Roman" w:hAnsi="Times New Roman" w:eastAsia="宋体"/>
                      <w:color w:val="auto"/>
                      <w:sz w:val="21"/>
                      <w:lang w:val="en-US" w:eastAsia="zh-CN"/>
                    </w:rPr>
                  </w:pPr>
                  <w:r>
                    <w:rPr>
                      <w:rFonts w:hint="eastAsia" w:ascii="Times New Roman" w:hAnsi="Times New Roman" w:eastAsia="宋体"/>
                      <w:color w:val="auto"/>
                      <w:sz w:val="21"/>
                      <w:szCs w:val="21"/>
                      <w:lang w:val="en-US" w:eastAsia="zh-CN"/>
                    </w:rPr>
                    <w:t>铣磨、</w:t>
                  </w:r>
                  <w:r>
                    <w:rPr>
                      <w:rFonts w:hint="eastAsia"/>
                      <w:color w:val="auto"/>
                      <w:sz w:val="21"/>
                      <w:szCs w:val="21"/>
                      <w:lang w:val="en-US" w:eastAsia="zh-CN"/>
                    </w:rPr>
                    <w:t>倒边</w:t>
                  </w:r>
                  <w:r>
                    <w:rPr>
                      <w:rFonts w:hint="default" w:ascii="Times New Roman" w:hAnsi="Times New Roman" w:eastAsia="宋体"/>
                      <w:color w:val="auto"/>
                      <w:sz w:val="21"/>
                      <w:szCs w:val="21"/>
                      <w:lang w:val="en-US" w:eastAsia="zh-CN"/>
                    </w:rPr>
                    <w:t>、</w:t>
                  </w:r>
                  <w:r>
                    <w:rPr>
                      <w:rFonts w:hint="eastAsia"/>
                      <w:color w:val="auto"/>
                      <w:sz w:val="21"/>
                      <w:szCs w:val="21"/>
                      <w:lang w:val="en-US" w:eastAsia="zh-CN"/>
                    </w:rPr>
                    <w:t>研磨、</w:t>
                  </w:r>
                  <w:r>
                    <w:rPr>
                      <w:rFonts w:hint="default" w:ascii="Times New Roman" w:hAnsi="Times New Roman" w:eastAsia="宋体"/>
                      <w:color w:val="auto"/>
                      <w:sz w:val="21"/>
                      <w:szCs w:val="21"/>
                      <w:lang w:val="en-US" w:eastAsia="zh-CN"/>
                    </w:rPr>
                    <w:t>抛光</w:t>
                  </w:r>
                  <w:r>
                    <w:rPr>
                      <w:rFonts w:hint="eastAsia" w:ascii="Times New Roman" w:hAnsi="Times New Roman" w:eastAsia="宋体"/>
                      <w:color w:val="auto"/>
                      <w:sz w:val="21"/>
                      <w:szCs w:val="21"/>
                      <w:lang w:val="en-US" w:eastAsia="zh-CN"/>
                    </w:rPr>
                    <w:t>、喷淋塔</w:t>
                  </w:r>
                  <w:r>
                    <w:rPr>
                      <w:rFonts w:hint="eastAsia"/>
                      <w:color w:val="auto"/>
                      <w:sz w:val="21"/>
                      <w:szCs w:val="21"/>
                      <w:lang w:val="en-US" w:eastAsia="zh-CN"/>
                    </w:rPr>
                    <w:t>、晶体生长</w:t>
                  </w:r>
                  <w:r>
                    <w:rPr>
                      <w:rFonts w:hint="default" w:ascii="Times New Roman" w:hAnsi="Times New Roman" w:eastAsia="宋体"/>
                      <w:color w:val="auto"/>
                      <w:sz w:val="21"/>
                      <w:szCs w:val="21"/>
                      <w:lang w:val="en-US" w:eastAsia="zh-CN"/>
                    </w:rPr>
                    <w:t>废水经过</w:t>
                  </w:r>
                  <w:r>
                    <w:rPr>
                      <w:rFonts w:hint="eastAsia" w:ascii="Times New Roman" w:hAnsi="Times New Roman" w:eastAsia="宋体"/>
                      <w:color w:val="auto"/>
                      <w:sz w:val="21"/>
                      <w:szCs w:val="21"/>
                      <w:lang w:val="en-US" w:eastAsia="zh-CN"/>
                    </w:rPr>
                    <w:t>三格</w:t>
                  </w:r>
                  <w:r>
                    <w:rPr>
                      <w:rFonts w:hint="default" w:ascii="Times New Roman" w:hAnsi="Times New Roman" w:eastAsia="宋体"/>
                      <w:color w:val="auto"/>
                      <w:sz w:val="21"/>
                      <w:szCs w:val="21"/>
                      <w:lang w:val="en-US" w:eastAsia="zh-CN"/>
                    </w:rPr>
                    <w:t>沉淀</w:t>
                  </w:r>
                  <w:r>
                    <w:rPr>
                      <w:rFonts w:hint="eastAsia" w:ascii="Times New Roman" w:hAnsi="Times New Roman" w:eastAsia="宋体"/>
                      <w:color w:val="auto"/>
                      <w:sz w:val="21"/>
                      <w:szCs w:val="21"/>
                      <w:lang w:val="en-US" w:eastAsia="zh-CN"/>
                    </w:rPr>
                    <w:t>处理</w:t>
                  </w:r>
                  <w:r>
                    <w:rPr>
                      <w:rFonts w:hint="default" w:ascii="Times New Roman" w:hAnsi="Times New Roman" w:eastAsia="宋体"/>
                      <w:color w:val="auto"/>
                      <w:sz w:val="21"/>
                      <w:szCs w:val="21"/>
                      <w:lang w:val="en-US" w:eastAsia="zh-CN"/>
                    </w:rPr>
                    <w:t>后进入调节池，再经过</w:t>
                  </w:r>
                  <w:r>
                    <w:rPr>
                      <w:rFonts w:hint="eastAsia" w:ascii="Times New Roman" w:hAnsi="Times New Roman" w:eastAsia="宋体"/>
                      <w:color w:val="auto"/>
                      <w:sz w:val="21"/>
                      <w:szCs w:val="21"/>
                      <w:lang w:val="en-US" w:eastAsia="zh-CN"/>
                    </w:rPr>
                    <w:t>混凝沉淀</w:t>
                  </w:r>
                  <w:r>
                    <w:rPr>
                      <w:rFonts w:hint="default" w:ascii="Times New Roman" w:hAnsi="Times New Roman" w:eastAsia="宋体"/>
                      <w:color w:val="auto"/>
                      <w:sz w:val="21"/>
                      <w:szCs w:val="21"/>
                      <w:lang w:val="en-US" w:eastAsia="zh-CN"/>
                    </w:rPr>
                    <w:t>废水处理设施处理达标后排入市政管网，纳入大学城污水处理厂；药水槽</w:t>
                  </w:r>
                  <w:r>
                    <w:rPr>
                      <w:rFonts w:hint="eastAsia" w:ascii="Times New Roman" w:hAnsi="Times New Roman" w:eastAsia="宋体" w:cs="Times New Roman"/>
                      <w:color w:val="auto"/>
                      <w:sz w:val="21"/>
                      <w:szCs w:val="21"/>
                      <w:lang w:val="en-US" w:eastAsia="zh-CN"/>
                    </w:rPr>
                    <w:t>中的清洗剂</w:t>
                  </w:r>
                  <w:r>
                    <w:rPr>
                      <w:rFonts w:hint="default" w:ascii="Times New Roman" w:hAnsi="Times New Roman" w:eastAsia="宋体" w:cs="Times New Roman"/>
                      <w:color w:val="auto"/>
                      <w:sz w:val="21"/>
                      <w:szCs w:val="21"/>
                      <w:lang w:val="en-US" w:eastAsia="zh-CN"/>
                    </w:rPr>
                    <w:t>废水进</w:t>
                  </w:r>
                  <w:r>
                    <w:rPr>
                      <w:rFonts w:hint="default" w:ascii="Times New Roman" w:hAnsi="Times New Roman" w:eastAsia="宋体"/>
                      <w:color w:val="auto"/>
                      <w:sz w:val="21"/>
                      <w:szCs w:val="21"/>
                      <w:lang w:val="en-US" w:eastAsia="zh-CN"/>
                    </w:rPr>
                    <w:t>入</w:t>
                  </w:r>
                  <w:r>
                    <w:rPr>
                      <w:rFonts w:hint="eastAsia" w:ascii="Times New Roman" w:hAnsi="Times New Roman" w:eastAsia="宋体"/>
                      <w:color w:val="auto"/>
                      <w:sz w:val="21"/>
                      <w:szCs w:val="21"/>
                      <w:lang w:val="en-US" w:eastAsia="zh-CN"/>
                    </w:rPr>
                    <w:t>集水</w:t>
                  </w:r>
                  <w:r>
                    <w:rPr>
                      <w:rFonts w:hint="default" w:ascii="Times New Roman" w:hAnsi="Times New Roman" w:eastAsia="宋体"/>
                      <w:color w:val="auto"/>
                      <w:sz w:val="21"/>
                      <w:szCs w:val="21"/>
                      <w:lang w:val="en-US" w:eastAsia="zh-CN"/>
                    </w:rPr>
                    <w:t>调节池，再经过</w:t>
                  </w:r>
                  <w:r>
                    <w:rPr>
                      <w:rFonts w:hint="eastAsia" w:ascii="Times New Roman" w:hAnsi="Times New Roman" w:eastAsia="宋体"/>
                      <w:color w:val="auto"/>
                      <w:sz w:val="21"/>
                      <w:szCs w:val="21"/>
                      <w:lang w:val="en-US" w:eastAsia="zh-CN"/>
                    </w:rPr>
                    <w:t>混凝沉淀</w:t>
                  </w:r>
                  <w:r>
                    <w:rPr>
                      <w:rFonts w:hint="default" w:ascii="Times New Roman" w:hAnsi="Times New Roman" w:eastAsia="宋体"/>
                      <w:color w:val="auto"/>
                      <w:sz w:val="21"/>
                      <w:szCs w:val="21"/>
                      <w:lang w:val="en-US" w:eastAsia="zh-CN"/>
                    </w:rPr>
                    <w:t>废水处理设施处理达标后排入市政管网，纳入大学城污水处理厂</w:t>
                  </w:r>
                  <w:r>
                    <w:rPr>
                      <w:rFonts w:hint="eastAsia" w:ascii="Times New Roman" w:hAnsi="Times New Roman" w:eastAsia="宋体"/>
                      <w:color w:val="auto"/>
                      <w:sz w:val="21"/>
                      <w:szCs w:val="21"/>
                      <w:lang w:val="en-US" w:eastAsia="zh-CN"/>
                    </w:rPr>
                    <w:t>；</w:t>
                  </w:r>
                  <w:r>
                    <w:rPr>
                      <w:rFonts w:hint="default" w:ascii="Times New Roman" w:hAnsi="Times New Roman" w:eastAsia="宋体"/>
                      <w:color w:val="auto"/>
                      <w:sz w:val="21"/>
                      <w:szCs w:val="21"/>
                      <w:highlight w:val="none"/>
                      <w:lang w:val="en-US" w:eastAsia="zh-CN"/>
                    </w:rPr>
                    <w:t>纯水槽的纯</w:t>
                  </w:r>
                  <w:r>
                    <w:rPr>
                      <w:rFonts w:hint="eastAsia"/>
                      <w:color w:val="auto"/>
                      <w:sz w:val="21"/>
                      <w:szCs w:val="21"/>
                      <w:highlight w:val="none"/>
                      <w:lang w:val="en-US" w:eastAsia="zh-CN"/>
                    </w:rPr>
                    <w:t>净废</w:t>
                  </w:r>
                  <w:r>
                    <w:rPr>
                      <w:rFonts w:hint="default" w:ascii="Times New Roman" w:hAnsi="Times New Roman" w:eastAsia="宋体"/>
                      <w:color w:val="auto"/>
                      <w:sz w:val="21"/>
                      <w:szCs w:val="21"/>
                      <w:highlight w:val="none"/>
                      <w:lang w:val="en-US" w:eastAsia="zh-CN"/>
                    </w:rPr>
                    <w:t>水与</w:t>
                  </w:r>
                  <w:r>
                    <w:rPr>
                      <w:rFonts w:hint="eastAsia"/>
                      <w:color w:val="auto"/>
                      <w:sz w:val="21"/>
                      <w:szCs w:val="21"/>
                      <w:highlight w:val="none"/>
                      <w:lang w:val="en-US" w:eastAsia="zh-CN"/>
                    </w:rPr>
                    <w:t>纯水制备的</w:t>
                  </w:r>
                  <w:r>
                    <w:rPr>
                      <w:rFonts w:hint="default" w:ascii="Times New Roman" w:hAnsi="Times New Roman" w:eastAsia="宋体"/>
                      <w:color w:val="auto"/>
                      <w:sz w:val="21"/>
                      <w:szCs w:val="21"/>
                      <w:highlight w:val="none"/>
                      <w:lang w:val="en-US" w:eastAsia="zh-CN"/>
                    </w:rPr>
                    <w:t>非纯净废水排入市政管网，纳入大学城污水处理厂</w:t>
                  </w:r>
                  <w:r>
                    <w:rPr>
                      <w:rFonts w:hint="eastAsia" w:ascii="Times New Roman" w:hAnsi="Times New Roman" w:eastAsia="宋体"/>
                      <w:color w:val="auto"/>
                      <w:sz w:val="21"/>
                      <w:szCs w:val="21"/>
                      <w:highlight w:val="none"/>
                      <w:lang w:val="en-US" w:eastAsia="zh-CN"/>
                    </w:rPr>
                    <w:t>；</w:t>
                  </w:r>
                  <w:r>
                    <w:rPr>
                      <w:rFonts w:hint="eastAsia" w:ascii="Times New Roman" w:hAnsi="Times New Roman" w:eastAsia="宋体"/>
                      <w:color w:val="auto"/>
                      <w:sz w:val="21"/>
                      <w:szCs w:val="21"/>
                      <w:lang w:val="en-US" w:eastAsia="zh-CN"/>
                    </w:rPr>
                    <w:t>生活污水经化粪池处理达标后排入市政管网，纳入大学城污水处理厂</w:t>
                  </w:r>
                </w:p>
              </w:tc>
            </w:tr>
            <w:tr w14:paraId="7157346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552" w:type="pct"/>
                  <w:vMerge w:val="restart"/>
                  <w:tcBorders>
                    <w:tl2br w:val="nil"/>
                    <w:tr2bl w:val="nil"/>
                  </w:tcBorders>
                  <w:noWrap w:val="0"/>
                  <w:vAlign w:val="center"/>
                </w:tcPr>
                <w:p w14:paraId="7628D7B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生产废水2</w:t>
                  </w:r>
                  <w:r>
                    <w:rPr>
                      <w:rFonts w:hint="eastAsia" w:cs="Times New Roman"/>
                      <w:color w:val="auto"/>
                      <w:kern w:val="0"/>
                      <w:sz w:val="21"/>
                      <w:szCs w:val="20"/>
                      <w:lang w:val="en-US" w:eastAsia="zh-CN" w:bidi="ar-SA"/>
                    </w:rPr>
                    <w:t>315.</w:t>
                  </w:r>
                  <w:r>
                    <w:rPr>
                      <w:rFonts w:hint="eastAsia" w:ascii="Times New Roman" w:hAnsi="Times New Roman" w:eastAsia="宋体" w:cs="Times New Roman"/>
                      <w:color w:val="auto"/>
                      <w:kern w:val="0"/>
                      <w:sz w:val="21"/>
                      <w:szCs w:val="20"/>
                      <w:lang w:val="en-US" w:eastAsia="zh-CN" w:bidi="ar-SA"/>
                    </w:rPr>
                    <w:t>.4t/a</w:t>
                  </w:r>
                </w:p>
              </w:tc>
              <w:tc>
                <w:tcPr>
                  <w:tcW w:w="738" w:type="pct"/>
                  <w:tcBorders>
                    <w:tl2br w:val="nil"/>
                    <w:tr2bl w:val="nil"/>
                  </w:tcBorders>
                  <w:noWrap w:val="0"/>
                  <w:vAlign w:val="center"/>
                </w:tcPr>
                <w:p w14:paraId="4C2166FD">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污染物</w:t>
                  </w:r>
                  <w:r>
                    <w:rPr>
                      <w:rFonts w:hint="eastAsia" w:ascii="Times New Roman" w:hAnsi="Times New Roman" w:eastAsia="宋体" w:cs="Times New Roman"/>
                      <w:color w:val="auto"/>
                      <w:kern w:val="0"/>
                      <w:sz w:val="21"/>
                      <w:szCs w:val="20"/>
                      <w:lang w:val="en-US" w:eastAsia="zh-CN" w:bidi="ar-SA"/>
                    </w:rPr>
                    <w:t>排放</w:t>
                  </w:r>
                  <w:r>
                    <w:rPr>
                      <w:rFonts w:hint="default" w:ascii="Times New Roman" w:hAnsi="Times New Roman" w:eastAsia="宋体" w:cs="Times New Roman"/>
                      <w:color w:val="auto"/>
                      <w:kern w:val="0"/>
                      <w:sz w:val="21"/>
                      <w:szCs w:val="20"/>
                      <w:lang w:val="en-US" w:eastAsia="zh-CN" w:bidi="ar-SA"/>
                    </w:rPr>
                    <w:t>浓度（mg/L）</w:t>
                  </w:r>
                </w:p>
              </w:tc>
              <w:tc>
                <w:tcPr>
                  <w:tcW w:w="1230" w:type="pct"/>
                  <w:tcBorders>
                    <w:tl2br w:val="nil"/>
                    <w:tr2bl w:val="nil"/>
                  </w:tcBorders>
                  <w:noWrap w:val="0"/>
                  <w:vAlign w:val="center"/>
                </w:tcPr>
                <w:p w14:paraId="7FFBE2C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55.1232</w:t>
                  </w:r>
                </w:p>
              </w:tc>
              <w:tc>
                <w:tcPr>
                  <w:tcW w:w="1239" w:type="pct"/>
                  <w:tcBorders>
                    <w:tl2br w:val="nil"/>
                    <w:tr2bl w:val="nil"/>
                  </w:tcBorders>
                  <w:noWrap w:val="0"/>
                  <w:vAlign w:val="center"/>
                </w:tcPr>
                <w:p w14:paraId="537977B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5.4198</w:t>
                  </w:r>
                </w:p>
              </w:tc>
              <w:tc>
                <w:tcPr>
                  <w:tcW w:w="1238" w:type="pct"/>
                  <w:tcBorders>
                    <w:tl2br w:val="nil"/>
                    <w:tr2bl w:val="nil"/>
                  </w:tcBorders>
                  <w:noWrap w:val="0"/>
                  <w:vAlign w:val="center"/>
                </w:tcPr>
                <w:p w14:paraId="7169FA8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18.7283</w:t>
                  </w:r>
                </w:p>
              </w:tc>
            </w:tr>
            <w:tr w14:paraId="61659DC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552" w:type="pct"/>
                  <w:vMerge w:val="continue"/>
                  <w:tcBorders>
                    <w:tl2br w:val="nil"/>
                    <w:tr2bl w:val="nil"/>
                  </w:tcBorders>
                  <w:noWrap w:val="0"/>
                  <w:vAlign w:val="center"/>
                </w:tcPr>
                <w:p w14:paraId="4F41A2D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p>
              </w:tc>
              <w:tc>
                <w:tcPr>
                  <w:tcW w:w="738" w:type="pct"/>
                  <w:tcBorders>
                    <w:tl2br w:val="nil"/>
                    <w:tr2bl w:val="nil"/>
                  </w:tcBorders>
                  <w:noWrap w:val="0"/>
                  <w:vAlign w:val="center"/>
                </w:tcPr>
                <w:p w14:paraId="25AE5855">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污染物</w:t>
                  </w:r>
                  <w:r>
                    <w:rPr>
                      <w:rFonts w:hint="eastAsia" w:ascii="Times New Roman" w:hAnsi="Times New Roman" w:eastAsia="宋体" w:cs="Times New Roman"/>
                      <w:color w:val="auto"/>
                      <w:kern w:val="0"/>
                      <w:sz w:val="21"/>
                      <w:szCs w:val="20"/>
                      <w:lang w:val="en-US" w:eastAsia="zh-CN" w:bidi="ar-SA"/>
                    </w:rPr>
                    <w:t>排放</w:t>
                  </w:r>
                  <w:r>
                    <w:rPr>
                      <w:rFonts w:hint="default" w:ascii="Times New Roman" w:hAnsi="Times New Roman" w:eastAsia="宋体" w:cs="Times New Roman"/>
                      <w:color w:val="auto"/>
                      <w:kern w:val="0"/>
                      <w:sz w:val="21"/>
                      <w:szCs w:val="20"/>
                      <w:lang w:val="en-US" w:eastAsia="zh-CN" w:bidi="ar-SA"/>
                    </w:rPr>
                    <w:t>量（t/a）</w:t>
                  </w:r>
                </w:p>
              </w:tc>
              <w:tc>
                <w:tcPr>
                  <w:tcW w:w="1230" w:type="pct"/>
                  <w:tcBorders>
                    <w:tl2br w:val="nil"/>
                    <w:tr2bl w:val="nil"/>
                  </w:tcBorders>
                  <w:noWrap w:val="0"/>
                  <w:vAlign w:val="center"/>
                </w:tcPr>
                <w:p w14:paraId="2A7EC8B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0.1276</w:t>
                  </w:r>
                </w:p>
              </w:tc>
              <w:tc>
                <w:tcPr>
                  <w:tcW w:w="1239" w:type="pct"/>
                  <w:tcBorders>
                    <w:tl2br w:val="nil"/>
                    <w:tr2bl w:val="nil"/>
                  </w:tcBorders>
                  <w:noWrap w:val="0"/>
                  <w:vAlign w:val="center"/>
                </w:tcPr>
                <w:p w14:paraId="2EF5BD9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0.01255</w:t>
                  </w:r>
                </w:p>
              </w:tc>
              <w:tc>
                <w:tcPr>
                  <w:tcW w:w="1238" w:type="pct"/>
                  <w:tcBorders>
                    <w:tl2br w:val="nil"/>
                    <w:tr2bl w:val="nil"/>
                  </w:tcBorders>
                  <w:noWrap w:val="0"/>
                  <w:vAlign w:val="center"/>
                </w:tcPr>
                <w:p w14:paraId="7E286CC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0.03887</w:t>
                  </w:r>
                </w:p>
              </w:tc>
            </w:tr>
          </w:tbl>
          <w:p w14:paraId="623499C1">
            <w:pPr>
              <w:pStyle w:val="24"/>
              <w:bidi w:val="0"/>
              <w:rPr>
                <w:rFonts w:hint="default"/>
                <w:color w:val="auto"/>
                <w:vertAlign w:val="baseline"/>
                <w:lang w:val="en-US" w:eastAsia="zh-CN"/>
              </w:rPr>
            </w:pPr>
            <w:r>
              <w:rPr>
                <w:rFonts w:hint="eastAsia"/>
                <w:color w:val="auto"/>
                <w:lang w:val="en-US" w:eastAsia="zh-CN"/>
              </w:rPr>
              <w:t>表4.1-3  综合废水排放情况</w:t>
            </w:r>
          </w:p>
          <w:tbl>
            <w:tblPr>
              <w:tblStyle w:val="18"/>
              <w:tblW w:w="4999"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201"/>
              <w:gridCol w:w="1522"/>
              <w:gridCol w:w="1362"/>
              <w:gridCol w:w="1362"/>
              <w:gridCol w:w="1362"/>
              <w:gridCol w:w="1362"/>
            </w:tblGrid>
            <w:tr w14:paraId="3E883B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8" w:hRule="atLeast"/>
              </w:trPr>
              <w:tc>
                <w:tcPr>
                  <w:tcW w:w="735" w:type="pct"/>
                  <w:tcBorders>
                    <w:tl2br w:val="nil"/>
                    <w:tr2bl w:val="nil"/>
                  </w:tcBorders>
                  <w:noWrap w:val="0"/>
                  <w:vAlign w:val="center"/>
                </w:tcPr>
                <w:p w14:paraId="4E38B712">
                  <w:pPr>
                    <w:pStyle w:val="28"/>
                    <w:bidi w:val="0"/>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废水量</w:t>
                  </w:r>
                </w:p>
              </w:tc>
              <w:tc>
                <w:tcPr>
                  <w:tcW w:w="931" w:type="pct"/>
                  <w:tcBorders>
                    <w:tl2br w:val="nil"/>
                    <w:tr2bl w:val="nil"/>
                  </w:tcBorders>
                  <w:noWrap w:val="0"/>
                  <w:vAlign w:val="center"/>
                </w:tcPr>
                <w:p w14:paraId="6C7634B5">
                  <w:pPr>
                    <w:pStyle w:val="28"/>
                    <w:bidi w:val="0"/>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项目</w:t>
                  </w:r>
                </w:p>
              </w:tc>
              <w:tc>
                <w:tcPr>
                  <w:tcW w:w="833" w:type="pct"/>
                  <w:tcBorders>
                    <w:tl2br w:val="nil"/>
                    <w:tr2bl w:val="nil"/>
                  </w:tcBorders>
                  <w:noWrap w:val="0"/>
                  <w:vAlign w:val="center"/>
                </w:tcPr>
                <w:p w14:paraId="783FFF2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COD</w:t>
                  </w:r>
                  <w:r>
                    <w:rPr>
                      <w:rFonts w:hint="default" w:ascii="Times New Roman" w:hAnsi="Times New Roman" w:eastAsia="宋体" w:cs="Times New Roman"/>
                      <w:b/>
                      <w:bCs/>
                      <w:color w:val="auto"/>
                      <w:kern w:val="0"/>
                      <w:sz w:val="21"/>
                      <w:szCs w:val="21"/>
                      <w:vertAlign w:val="subscript"/>
                      <w:lang w:val="en-US" w:eastAsia="zh-CN" w:bidi="ar-SA"/>
                    </w:rPr>
                    <w:t>cr</w:t>
                  </w:r>
                </w:p>
              </w:tc>
              <w:tc>
                <w:tcPr>
                  <w:tcW w:w="833" w:type="pct"/>
                  <w:tcBorders>
                    <w:tl2br w:val="nil"/>
                    <w:tr2bl w:val="nil"/>
                  </w:tcBorders>
                  <w:noWrap w:val="0"/>
                  <w:vAlign w:val="center"/>
                </w:tcPr>
                <w:p w14:paraId="056A432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BOD</w:t>
                  </w:r>
                  <w:r>
                    <w:rPr>
                      <w:rFonts w:hint="default" w:ascii="Times New Roman" w:hAnsi="Times New Roman" w:eastAsia="宋体" w:cs="Times New Roman"/>
                      <w:b/>
                      <w:bCs/>
                      <w:color w:val="auto"/>
                      <w:kern w:val="0"/>
                      <w:sz w:val="21"/>
                      <w:szCs w:val="21"/>
                      <w:vertAlign w:val="subscript"/>
                      <w:lang w:val="en-US" w:eastAsia="zh-CN" w:bidi="ar-SA"/>
                    </w:rPr>
                    <w:t>5</w:t>
                  </w:r>
                </w:p>
              </w:tc>
              <w:tc>
                <w:tcPr>
                  <w:tcW w:w="833" w:type="pct"/>
                  <w:tcBorders>
                    <w:tl2br w:val="nil"/>
                    <w:tr2bl w:val="nil"/>
                  </w:tcBorders>
                  <w:noWrap w:val="0"/>
                  <w:vAlign w:val="center"/>
                </w:tcPr>
                <w:p w14:paraId="27957FE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SS</w:t>
                  </w:r>
                </w:p>
              </w:tc>
              <w:tc>
                <w:tcPr>
                  <w:tcW w:w="833" w:type="pct"/>
                  <w:tcBorders>
                    <w:tl2br w:val="nil"/>
                    <w:tr2bl w:val="nil"/>
                  </w:tcBorders>
                  <w:noWrap w:val="0"/>
                  <w:vAlign w:val="center"/>
                </w:tcPr>
                <w:p w14:paraId="7E43720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NH</w:t>
                  </w:r>
                  <w:r>
                    <w:rPr>
                      <w:rFonts w:hint="default" w:ascii="Times New Roman" w:hAnsi="Times New Roman" w:eastAsia="宋体" w:cs="Times New Roman"/>
                      <w:b/>
                      <w:bCs/>
                      <w:color w:val="auto"/>
                      <w:kern w:val="0"/>
                      <w:sz w:val="21"/>
                      <w:szCs w:val="21"/>
                      <w:vertAlign w:val="subscript"/>
                      <w:lang w:val="en-US" w:eastAsia="zh-CN" w:bidi="ar-SA"/>
                    </w:rPr>
                    <w:t>3</w:t>
                  </w:r>
                  <w:r>
                    <w:rPr>
                      <w:rFonts w:hint="default" w:ascii="Times New Roman" w:hAnsi="Times New Roman" w:eastAsia="宋体" w:cs="Times New Roman"/>
                      <w:b/>
                      <w:bCs/>
                      <w:color w:val="auto"/>
                      <w:kern w:val="0"/>
                      <w:sz w:val="21"/>
                      <w:szCs w:val="21"/>
                      <w:lang w:val="en-US" w:eastAsia="zh-CN" w:bidi="ar-SA"/>
                    </w:rPr>
                    <w:t>-N</w:t>
                  </w:r>
                </w:p>
              </w:tc>
            </w:tr>
            <w:tr w14:paraId="11ED2E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9" w:hRule="atLeast"/>
              </w:trPr>
              <w:tc>
                <w:tcPr>
                  <w:tcW w:w="735" w:type="pct"/>
                  <w:vMerge w:val="restart"/>
                  <w:tcBorders>
                    <w:tl2br w:val="nil"/>
                    <w:tr2bl w:val="nil"/>
                  </w:tcBorders>
                  <w:noWrap w:val="0"/>
                  <w:vAlign w:val="center"/>
                </w:tcPr>
                <w:p w14:paraId="1AB5E647">
                  <w:pPr>
                    <w:pStyle w:val="28"/>
                    <w:bidi w:val="0"/>
                    <w:rPr>
                      <w:rFonts w:hint="default" w:ascii="Times New Roman" w:hAnsi="Times New Roman" w:eastAsia="宋体"/>
                      <w:color w:val="auto"/>
                      <w:sz w:val="21"/>
                      <w:szCs w:val="21"/>
                      <w:lang w:val="en-US" w:eastAsia="zh-CN"/>
                    </w:rPr>
                  </w:pPr>
                  <w:r>
                    <w:rPr>
                      <w:rFonts w:hint="eastAsia"/>
                      <w:color w:val="auto"/>
                      <w:sz w:val="21"/>
                      <w:szCs w:val="21"/>
                      <w:lang w:val="en-US" w:eastAsia="zh-CN"/>
                    </w:rPr>
                    <w:t>5083.4</w:t>
                  </w:r>
                  <w:r>
                    <w:rPr>
                      <w:rFonts w:hint="eastAsia" w:ascii="Times New Roman" w:hAnsi="Times New Roman" w:eastAsia="宋体"/>
                      <w:color w:val="auto"/>
                      <w:sz w:val="21"/>
                      <w:szCs w:val="21"/>
                      <w:lang w:val="en-US" w:eastAsia="zh-CN"/>
                    </w:rPr>
                    <w:t>t/a</w:t>
                  </w:r>
                </w:p>
              </w:tc>
              <w:tc>
                <w:tcPr>
                  <w:tcW w:w="931" w:type="pct"/>
                  <w:tcBorders>
                    <w:tl2br w:val="nil"/>
                    <w:tr2bl w:val="nil"/>
                  </w:tcBorders>
                  <w:noWrap w:val="0"/>
                  <w:vAlign w:val="center"/>
                </w:tcPr>
                <w:p w14:paraId="14CA608F">
                  <w:pPr>
                    <w:pStyle w:val="28"/>
                    <w:bidi w:val="0"/>
                    <w:rPr>
                      <w:rFonts w:hint="default" w:ascii="Times New Roman" w:hAnsi="Times New Roman" w:eastAsia="宋体"/>
                      <w:color w:val="auto"/>
                      <w:kern w:val="0"/>
                      <w:sz w:val="21"/>
                      <w:szCs w:val="21"/>
                      <w:lang w:val="en-US" w:eastAsia="zh-CN" w:bidi="ar-SA"/>
                    </w:rPr>
                  </w:pPr>
                  <w:r>
                    <w:rPr>
                      <w:rFonts w:hint="eastAsia" w:ascii="Times New Roman" w:hAnsi="Times New Roman" w:eastAsia="宋体"/>
                      <w:color w:val="auto"/>
                      <w:sz w:val="21"/>
                      <w:szCs w:val="21"/>
                      <w:lang w:val="en-US" w:eastAsia="zh-CN"/>
                    </w:rPr>
                    <w:t>污染物排放量（t/a）</w:t>
                  </w:r>
                </w:p>
              </w:tc>
              <w:tc>
                <w:tcPr>
                  <w:tcW w:w="833" w:type="pct"/>
                  <w:tcBorders>
                    <w:tl2br w:val="nil"/>
                    <w:tr2bl w:val="nil"/>
                  </w:tcBorders>
                  <w:noWrap w:val="0"/>
                  <w:vAlign w:val="center"/>
                </w:tcPr>
                <w:p w14:paraId="1ED50B29">
                  <w:pPr>
                    <w:pStyle w:val="28"/>
                    <w:bidi w:val="0"/>
                    <w:rPr>
                      <w:rFonts w:hint="default" w:ascii="Times New Roman" w:hAnsi="Times New Roman" w:eastAsia="宋体"/>
                      <w:color w:val="auto"/>
                      <w:kern w:val="0"/>
                      <w:sz w:val="21"/>
                      <w:szCs w:val="21"/>
                      <w:lang w:val="en-US" w:eastAsia="zh-CN" w:bidi="ar-SA"/>
                    </w:rPr>
                  </w:pPr>
                  <w:r>
                    <w:rPr>
                      <w:rFonts w:hint="eastAsia"/>
                      <w:color w:val="auto"/>
                      <w:kern w:val="0"/>
                      <w:sz w:val="21"/>
                      <w:szCs w:val="21"/>
                      <w:lang w:val="en-US" w:eastAsia="zh-CN" w:bidi="ar-SA"/>
                    </w:rPr>
                    <w:t>0.358</w:t>
                  </w:r>
                </w:p>
              </w:tc>
              <w:tc>
                <w:tcPr>
                  <w:tcW w:w="833" w:type="pct"/>
                  <w:tcBorders>
                    <w:tl2br w:val="nil"/>
                    <w:tr2bl w:val="nil"/>
                  </w:tcBorders>
                  <w:noWrap w:val="0"/>
                  <w:vAlign w:val="center"/>
                </w:tcPr>
                <w:p w14:paraId="35E4576F">
                  <w:pPr>
                    <w:pStyle w:val="28"/>
                    <w:bidi w:val="0"/>
                    <w:rPr>
                      <w:rFonts w:hint="default" w:ascii="Times New Roman" w:hAnsi="Times New Roman" w:eastAsia="宋体"/>
                      <w:color w:val="auto"/>
                      <w:kern w:val="0"/>
                      <w:sz w:val="21"/>
                      <w:szCs w:val="21"/>
                      <w:lang w:val="en-US" w:eastAsia="zh-CN" w:bidi="ar-SA"/>
                    </w:rPr>
                  </w:pPr>
                  <w:r>
                    <w:rPr>
                      <w:rFonts w:hint="eastAsia"/>
                      <w:color w:val="auto"/>
                      <w:kern w:val="0"/>
                      <w:sz w:val="21"/>
                      <w:szCs w:val="21"/>
                      <w:lang w:val="en-US" w:eastAsia="zh-CN" w:bidi="ar-SA"/>
                    </w:rPr>
                    <w:t>0.1224</w:t>
                  </w:r>
                </w:p>
              </w:tc>
              <w:tc>
                <w:tcPr>
                  <w:tcW w:w="833" w:type="pct"/>
                  <w:tcBorders>
                    <w:tl2br w:val="nil"/>
                    <w:tr2bl w:val="nil"/>
                  </w:tcBorders>
                  <w:noWrap w:val="0"/>
                  <w:vAlign w:val="center"/>
                </w:tcPr>
                <w:p w14:paraId="301F16D9">
                  <w:pPr>
                    <w:pStyle w:val="28"/>
                    <w:bidi w:val="0"/>
                    <w:rPr>
                      <w:rFonts w:hint="default" w:ascii="Times New Roman" w:hAnsi="Times New Roman" w:eastAsia="宋体"/>
                      <w:color w:val="auto"/>
                      <w:kern w:val="0"/>
                      <w:sz w:val="21"/>
                      <w:szCs w:val="21"/>
                      <w:lang w:val="en-US" w:eastAsia="zh-CN" w:bidi="ar-SA"/>
                    </w:rPr>
                  </w:pPr>
                  <w:r>
                    <w:rPr>
                      <w:rFonts w:hint="eastAsia"/>
                      <w:color w:val="auto"/>
                      <w:kern w:val="0"/>
                      <w:sz w:val="21"/>
                      <w:szCs w:val="21"/>
                      <w:lang w:val="en-US" w:eastAsia="zh-CN" w:bidi="ar-SA"/>
                    </w:rPr>
                    <w:t>0.1142</w:t>
                  </w:r>
                </w:p>
              </w:tc>
              <w:tc>
                <w:tcPr>
                  <w:tcW w:w="833" w:type="pct"/>
                  <w:tcBorders>
                    <w:tl2br w:val="nil"/>
                    <w:tr2bl w:val="nil"/>
                  </w:tcBorders>
                  <w:noWrap w:val="0"/>
                  <w:vAlign w:val="center"/>
                </w:tcPr>
                <w:p w14:paraId="2381C5AB">
                  <w:pPr>
                    <w:pStyle w:val="28"/>
                    <w:bidi w:val="0"/>
                    <w:rPr>
                      <w:rFonts w:hint="default" w:ascii="Times New Roman" w:hAnsi="Times New Roman" w:eastAsia="宋体"/>
                      <w:color w:val="auto"/>
                      <w:kern w:val="0"/>
                      <w:sz w:val="21"/>
                      <w:szCs w:val="21"/>
                      <w:lang w:val="en-US" w:eastAsia="zh-CN" w:bidi="ar-SA"/>
                    </w:rPr>
                  </w:pPr>
                  <w:r>
                    <w:rPr>
                      <w:rFonts w:hint="eastAsia"/>
                      <w:color w:val="auto"/>
                      <w:kern w:val="0"/>
                      <w:sz w:val="21"/>
                      <w:szCs w:val="21"/>
                      <w:lang w:val="en-US" w:eastAsia="zh-CN" w:bidi="ar-SA"/>
                    </w:rPr>
                    <w:t>0.03775</w:t>
                  </w:r>
                </w:p>
              </w:tc>
            </w:tr>
            <w:tr w14:paraId="65C398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89" w:hRule="atLeast"/>
              </w:trPr>
              <w:tc>
                <w:tcPr>
                  <w:tcW w:w="735" w:type="pct"/>
                  <w:vMerge w:val="continue"/>
                  <w:tcBorders>
                    <w:tl2br w:val="nil"/>
                    <w:tr2bl w:val="nil"/>
                  </w:tcBorders>
                  <w:noWrap w:val="0"/>
                  <w:vAlign w:val="center"/>
                </w:tcPr>
                <w:p w14:paraId="0881CF3C">
                  <w:pPr>
                    <w:pStyle w:val="28"/>
                    <w:bidi w:val="0"/>
                    <w:rPr>
                      <w:rFonts w:hint="default" w:ascii="Times New Roman" w:hAnsi="Times New Roman" w:eastAsia="宋体"/>
                      <w:color w:val="auto"/>
                      <w:sz w:val="21"/>
                      <w:szCs w:val="21"/>
                      <w:lang w:val="en-US" w:eastAsia="zh-CN"/>
                    </w:rPr>
                  </w:pPr>
                </w:p>
              </w:tc>
              <w:tc>
                <w:tcPr>
                  <w:tcW w:w="931" w:type="pct"/>
                  <w:tcBorders>
                    <w:tl2br w:val="nil"/>
                    <w:tr2bl w:val="nil"/>
                  </w:tcBorders>
                  <w:noWrap w:val="0"/>
                  <w:vAlign w:val="center"/>
                </w:tcPr>
                <w:p w14:paraId="3DD3C9F2">
                  <w:pPr>
                    <w:pStyle w:val="28"/>
                    <w:bidi w:val="0"/>
                    <w:rPr>
                      <w:rFonts w:hint="default" w:ascii="Times New Roman" w:hAnsi="Times New Roman" w:eastAsia="宋体"/>
                      <w:color w:val="auto"/>
                      <w:kern w:val="0"/>
                      <w:sz w:val="21"/>
                      <w:szCs w:val="21"/>
                      <w:lang w:val="en-US" w:eastAsia="zh-CN" w:bidi="ar-SA"/>
                    </w:rPr>
                  </w:pPr>
                  <w:r>
                    <w:rPr>
                      <w:rFonts w:hint="eastAsia" w:ascii="Times New Roman" w:hAnsi="Times New Roman" w:eastAsia="宋体"/>
                      <w:color w:val="auto"/>
                      <w:sz w:val="21"/>
                      <w:szCs w:val="21"/>
                      <w:lang w:val="en-US" w:eastAsia="zh-CN"/>
                    </w:rPr>
                    <w:t>污染物排放浓度（mg/L）</w:t>
                  </w:r>
                </w:p>
              </w:tc>
              <w:tc>
                <w:tcPr>
                  <w:tcW w:w="833" w:type="pct"/>
                  <w:tcBorders>
                    <w:tl2br w:val="nil"/>
                    <w:tr2bl w:val="nil"/>
                  </w:tcBorders>
                  <w:noWrap w:val="0"/>
                  <w:vAlign w:val="center"/>
                </w:tcPr>
                <w:p w14:paraId="0561ACE0">
                  <w:pPr>
                    <w:pStyle w:val="28"/>
                    <w:bidi w:val="0"/>
                    <w:rPr>
                      <w:rFonts w:hint="default" w:ascii="Times New Roman" w:hAnsi="Times New Roman" w:eastAsia="宋体"/>
                      <w:color w:val="auto"/>
                      <w:sz w:val="21"/>
                      <w:szCs w:val="21"/>
                      <w:lang w:val="en-US" w:eastAsia="zh-CN"/>
                    </w:rPr>
                  </w:pPr>
                  <w:r>
                    <w:rPr>
                      <w:rFonts w:hint="eastAsia"/>
                      <w:color w:val="auto"/>
                      <w:sz w:val="21"/>
                      <w:szCs w:val="21"/>
                      <w:lang w:val="en-US" w:eastAsia="zh-CN"/>
                    </w:rPr>
                    <w:t>70.4253</w:t>
                  </w:r>
                </w:p>
              </w:tc>
              <w:tc>
                <w:tcPr>
                  <w:tcW w:w="833" w:type="pct"/>
                  <w:tcBorders>
                    <w:tl2br w:val="nil"/>
                    <w:tr2bl w:val="nil"/>
                  </w:tcBorders>
                  <w:noWrap w:val="0"/>
                  <w:vAlign w:val="center"/>
                </w:tcPr>
                <w:p w14:paraId="3F197D11">
                  <w:pPr>
                    <w:pStyle w:val="28"/>
                    <w:bidi w:val="0"/>
                    <w:rPr>
                      <w:rFonts w:hint="default" w:ascii="Times New Roman" w:hAnsi="Times New Roman" w:eastAsia="宋体"/>
                      <w:color w:val="auto"/>
                      <w:sz w:val="21"/>
                      <w:szCs w:val="21"/>
                      <w:lang w:val="en-US" w:eastAsia="zh-CN"/>
                    </w:rPr>
                  </w:pPr>
                  <w:r>
                    <w:rPr>
                      <w:rFonts w:hint="eastAsia"/>
                      <w:color w:val="auto"/>
                      <w:sz w:val="21"/>
                      <w:szCs w:val="21"/>
                      <w:lang w:val="en-US" w:eastAsia="zh-CN"/>
                    </w:rPr>
                    <w:t>24.0741</w:t>
                  </w:r>
                </w:p>
              </w:tc>
              <w:tc>
                <w:tcPr>
                  <w:tcW w:w="833" w:type="pct"/>
                  <w:tcBorders>
                    <w:tl2br w:val="nil"/>
                    <w:tr2bl w:val="nil"/>
                  </w:tcBorders>
                  <w:noWrap w:val="0"/>
                  <w:vAlign w:val="center"/>
                </w:tcPr>
                <w:p w14:paraId="1FAB941A">
                  <w:pPr>
                    <w:pStyle w:val="28"/>
                    <w:bidi w:val="0"/>
                    <w:rPr>
                      <w:rFonts w:hint="default" w:ascii="Times New Roman" w:hAnsi="Times New Roman" w:eastAsia="宋体"/>
                      <w:color w:val="auto"/>
                      <w:sz w:val="21"/>
                      <w:szCs w:val="21"/>
                      <w:lang w:val="en-US" w:eastAsia="zh-CN"/>
                    </w:rPr>
                  </w:pPr>
                  <w:r>
                    <w:rPr>
                      <w:rFonts w:hint="eastAsia"/>
                      <w:color w:val="auto"/>
                      <w:sz w:val="21"/>
                      <w:szCs w:val="21"/>
                      <w:lang w:val="en-US" w:eastAsia="zh-CN"/>
                    </w:rPr>
                    <w:t>22.4653</w:t>
                  </w:r>
                </w:p>
              </w:tc>
              <w:tc>
                <w:tcPr>
                  <w:tcW w:w="833" w:type="pct"/>
                  <w:tcBorders>
                    <w:tl2br w:val="nil"/>
                    <w:tr2bl w:val="nil"/>
                  </w:tcBorders>
                  <w:noWrap w:val="0"/>
                  <w:vAlign w:val="center"/>
                </w:tcPr>
                <w:p w14:paraId="7854C648">
                  <w:pPr>
                    <w:pStyle w:val="28"/>
                    <w:bidi w:val="0"/>
                    <w:rPr>
                      <w:rFonts w:hint="default" w:ascii="Times New Roman" w:hAnsi="Times New Roman" w:eastAsia="宋体"/>
                      <w:color w:val="auto"/>
                      <w:sz w:val="21"/>
                      <w:szCs w:val="21"/>
                      <w:lang w:val="en-US" w:eastAsia="zh-CN"/>
                    </w:rPr>
                  </w:pPr>
                  <w:r>
                    <w:rPr>
                      <w:rFonts w:hint="eastAsia"/>
                      <w:color w:val="auto"/>
                      <w:sz w:val="21"/>
                      <w:szCs w:val="21"/>
                      <w:lang w:val="en-US" w:eastAsia="zh-CN"/>
                    </w:rPr>
                    <w:t>7.4261</w:t>
                  </w:r>
                </w:p>
              </w:tc>
            </w:tr>
          </w:tbl>
          <w:p w14:paraId="7E40A619">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60" w:name="_Toc21499"/>
            <w:r>
              <w:rPr>
                <w:rFonts w:hint="eastAsia" w:ascii="Times New Roman" w:hAnsi="Times New Roman" w:eastAsia="宋体" w:cs="Times New Roman"/>
                <w:b/>
                <w:color w:val="auto"/>
                <w:kern w:val="2"/>
                <w:sz w:val="24"/>
                <w:szCs w:val="24"/>
                <w:lang w:val="en-US" w:eastAsia="zh-CN" w:bidi="ar-SA"/>
              </w:rPr>
              <w:t>4.1.2运营期水环境影响及污染防治措施可行性分析</w:t>
            </w:r>
            <w:bookmarkEnd w:id="60"/>
          </w:p>
          <w:p w14:paraId="58811A30">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（1）化粪池治理措施可行性分析</w:t>
            </w:r>
          </w:p>
          <w:p w14:paraId="37903CFC">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三级化粪池是化粪池的一种，由一级池中部通过管道上弯转入下一级池中进行二次净化，再由二次净化后的粪水再导入下一级再次净化，这样经过三次</w:t>
            </w:r>
            <w:r>
              <w:rPr>
                <w:rFonts w:hint="eastAsia" w:ascii="Times New Roman" w:hAnsi="Times New Roman" w:eastAsia="宋体" w:cs="宋体"/>
                <w:color w:val="auto"/>
                <w:kern w:val="2"/>
                <w:sz w:val="24"/>
                <w:szCs w:val="24"/>
                <w:lang w:val="en-US" w:eastAsia="zh-CN" w:bidi="ar-SA"/>
              </w:rPr>
              <w:t>净</w:t>
            </w:r>
            <w:r>
              <w:rPr>
                <w:rFonts w:hint="default" w:ascii="Times New Roman" w:hAnsi="Times New Roman" w:eastAsia="宋体" w:cs="宋体"/>
                <w:color w:val="auto"/>
                <w:kern w:val="2"/>
                <w:sz w:val="24"/>
                <w:szCs w:val="24"/>
                <w:lang w:val="en-US" w:eastAsia="zh-CN" w:bidi="ar-SA"/>
              </w:rPr>
              <w:t>化后就</w:t>
            </w:r>
            <w:r>
              <w:rPr>
                <w:rFonts w:hint="eastAsia" w:ascii="Times New Roman" w:hAnsi="Times New Roman" w:eastAsia="宋体" w:cs="宋体"/>
                <w:color w:val="auto"/>
                <w:kern w:val="2"/>
                <w:sz w:val="24"/>
                <w:szCs w:val="24"/>
                <w:lang w:val="en-US" w:eastAsia="zh-CN" w:bidi="ar-SA"/>
              </w:rPr>
              <w:t>已全部</w:t>
            </w:r>
            <w:r>
              <w:rPr>
                <w:rFonts w:hint="default" w:ascii="Times New Roman" w:hAnsi="Times New Roman" w:eastAsia="宋体" w:cs="宋体"/>
                <w:color w:val="auto"/>
                <w:kern w:val="2"/>
                <w:sz w:val="24"/>
                <w:szCs w:val="24"/>
                <w:lang w:val="en-US" w:eastAsia="zh-CN" w:bidi="ar-SA"/>
              </w:rPr>
              <w:t>化尽为水。</w:t>
            </w:r>
          </w:p>
          <w:p w14:paraId="06364882">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三级化粪池原理：新鲜粪便由进粪口进入第一池，池内粪便开始发酵分解、因比重不同粪液可自然分为三层，上层为糊状粪皮，下层为块状或颗状粪渣，中层为比较澄清的粪液。在上层粪皮和下层粪渣中含细菌和寄生虫卵最多，中层含虫卵最少，初步发酵的中层粪液经过粪管溢流至第二池，而将大部分未经充分发酵的粪皮和粪渣阻留在第一池内继续发酵。流入第二池的粪液进一步发酵分解，虫卵继续下沉，病原体逐渐死亡，粪液得到进一步无害化，产生的粪皮和粪厚度比第一池显著减少。流入第三池的粪液一般已经腐熟，其中病菌和寄生虫卵已基本杀灭。第三池功能主要起储存已基本无害化的粪液作用。</w:t>
            </w:r>
          </w:p>
          <w:p w14:paraId="73E25A3B">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（2）废水处理设施可行性分析</w:t>
            </w:r>
          </w:p>
          <w:p w14:paraId="6A23C972">
            <w:pPr>
              <w:pStyle w:val="25"/>
              <w:bidi w:val="0"/>
              <w:rPr>
                <w:rFonts w:hint="default"/>
                <w:color w:val="auto"/>
                <w:lang w:val="en-US" w:eastAsia="zh-CN"/>
              </w:rPr>
            </w:pPr>
            <w:r>
              <w:rPr>
                <w:rFonts w:hint="default"/>
                <w:color w:val="auto"/>
                <w:lang w:val="en-US" w:eastAsia="zh-CN"/>
              </w:rPr>
              <w:t>混凝沉淀原理：在混凝剂的作用下，使废水中的胶体和细微悬浮物凝聚成絮凝体，然后予以分离除去的水处理法。</w:t>
            </w:r>
          </w:p>
          <w:p w14:paraId="48D58770">
            <w:pPr>
              <w:pStyle w:val="25"/>
              <w:bidi w:val="0"/>
              <w:rPr>
                <w:rFonts w:hint="default"/>
                <w:color w:val="auto"/>
                <w:lang w:val="en-US" w:eastAsia="zh-CN"/>
              </w:rPr>
            </w:pPr>
            <w:r>
              <w:rPr>
                <w:rFonts w:hint="default"/>
                <w:color w:val="auto"/>
                <w:lang w:val="en-US" w:eastAsia="zh-CN"/>
              </w:rPr>
              <w:t>混凝法的基本原理是在废水中投入混凝剂，因混凝剂为电解质，在废水里形成胶团，与废水中的胶体物质发生电中和，形成绒粒沉降。混凝沉淀不但可以去除废水中的粒径为10</w:t>
            </w:r>
            <w:r>
              <w:rPr>
                <w:rFonts w:hint="default"/>
                <w:color w:val="auto"/>
                <w:vertAlign w:val="superscript"/>
                <w:lang w:val="en-US" w:eastAsia="zh-CN"/>
              </w:rPr>
              <w:t>-3</w:t>
            </w:r>
            <w:r>
              <w:rPr>
                <w:rFonts w:hint="default"/>
                <w:color w:val="auto"/>
                <w:lang w:val="en-US" w:eastAsia="zh-CN"/>
              </w:rPr>
              <w:t>~10</w:t>
            </w:r>
            <w:r>
              <w:rPr>
                <w:rFonts w:hint="default"/>
                <w:color w:val="auto"/>
                <w:vertAlign w:val="superscript"/>
                <w:lang w:val="en-US" w:eastAsia="zh-CN"/>
              </w:rPr>
              <w:t>-6</w:t>
            </w:r>
            <w:r>
              <w:rPr>
                <w:rFonts w:hint="default"/>
                <w:color w:val="auto"/>
                <w:lang w:val="en-US" w:eastAsia="zh-CN"/>
              </w:rPr>
              <w:t xml:space="preserve"> mm的细小悬浮颗粒，而且还能够去除色度、油分、微生物、氮和磷等富营养物质、重金属以及有机物等。</w:t>
            </w:r>
          </w:p>
          <w:p w14:paraId="21E26AFD">
            <w:pPr>
              <w:pStyle w:val="25"/>
              <w:bidi w:val="0"/>
              <w:rPr>
                <w:rFonts w:hint="default"/>
                <w:color w:val="auto"/>
                <w:lang w:val="en-US" w:eastAsia="zh-CN"/>
              </w:rPr>
            </w:pPr>
            <w:r>
              <w:rPr>
                <w:rFonts w:hint="default"/>
                <w:color w:val="auto"/>
                <w:lang w:val="en-US" w:eastAsia="zh-CN"/>
              </w:rPr>
              <w:t>废水在未加混凝剂之前，水中的胶体和细小悬浮颗粒的本身质量很轻，受水的分子热运动的碰撞而</w:t>
            </w:r>
            <w:r>
              <w:rPr>
                <w:rFonts w:hint="eastAsia"/>
                <w:color w:val="auto"/>
                <w:lang w:val="en-US" w:eastAsia="zh-CN"/>
              </w:rPr>
              <w:t>做</w:t>
            </w:r>
            <w:r>
              <w:rPr>
                <w:rFonts w:hint="default"/>
                <w:color w:val="auto"/>
                <w:lang w:val="en-US" w:eastAsia="zh-CN"/>
              </w:rPr>
              <w:t>无规则的布朗运动。颗粒都带有同性电荷，它们之间的静电斥力阻止微粒间彼此接近而聚合成较大的颗粒；其次，带电荷的胶粒和反离子都能与周围的水分子发生水化作用，形成一层水化壳，有阻碍各胶体的聚合。一种胶体的胶粒带电越多，其电位就越大；扩散层中反离子越多，水化作用也越大，水化层也越厚，因此扩散层也越厚，稳定性越强。</w:t>
            </w:r>
          </w:p>
          <w:p w14:paraId="26034B04">
            <w:pPr>
              <w:pStyle w:val="25"/>
              <w:bidi w:val="0"/>
              <w:rPr>
                <w:rFonts w:hint="default"/>
                <w:color w:val="auto"/>
                <w:lang w:val="en-US" w:eastAsia="zh-CN"/>
              </w:rPr>
            </w:pPr>
            <w:r>
              <w:rPr>
                <w:rFonts w:hint="default"/>
                <w:color w:val="auto"/>
                <w:lang w:val="en-US" w:eastAsia="zh-CN"/>
              </w:rPr>
              <w:t>废水中投入混凝剂后，胶体因电位降低或消除，破坏了颗粒的稳定状态（称脱稳）。脱稳的颗粒相互聚集为较大颗粒的过程称为凝聚。未经脱稳的胶体也可形成大</w:t>
            </w:r>
            <w:r>
              <w:rPr>
                <w:rFonts w:hint="eastAsia"/>
                <w:color w:val="auto"/>
                <w:lang w:val="en-US" w:eastAsia="zh-CN"/>
              </w:rPr>
              <w:t>的</w:t>
            </w:r>
            <w:r>
              <w:rPr>
                <w:rFonts w:hint="default"/>
                <w:color w:val="auto"/>
                <w:lang w:val="en-US" w:eastAsia="zh-CN"/>
              </w:rPr>
              <w:t>颗粒，这种现象称为絮凝。不同的化学药剂能使胶体以不同的方式脱稳、凝聚或絮凝。按机理，混凝可分为压缩双电层、吸附电中和、吸附架桥、沉淀物网铺四种。</w:t>
            </w:r>
          </w:p>
          <w:p w14:paraId="6524F4AD">
            <w:pPr>
              <w:pStyle w:val="25"/>
              <w:bidi w:val="0"/>
              <w:rPr>
                <w:rFonts w:hint="default"/>
                <w:color w:val="auto"/>
                <w:lang w:val="en-US" w:eastAsia="zh-CN"/>
              </w:rPr>
            </w:pPr>
            <w:r>
              <w:rPr>
                <w:rFonts w:hint="default"/>
                <w:color w:val="auto"/>
                <w:lang w:val="en-US" w:eastAsia="zh-CN"/>
              </w:rPr>
              <w:t>在废水的混凝沉淀处理过程中，影响混凝效果的因素比较多。其中有水样的影响：对不同水样，</w:t>
            </w:r>
            <w:r>
              <w:rPr>
                <w:rFonts w:hint="eastAsia"/>
                <w:color w:val="auto"/>
                <w:lang w:val="en-US" w:eastAsia="zh-CN"/>
              </w:rPr>
              <w:t>由于</w:t>
            </w:r>
            <w:r>
              <w:rPr>
                <w:rFonts w:hint="default"/>
                <w:color w:val="auto"/>
                <w:lang w:val="en-US" w:eastAsia="zh-CN"/>
              </w:rPr>
              <w:t>废水中的成分不同，同一种混凝剂的处理效果可能会相差很大。还有水温的影响，其影响主要表现在：a影响药剂在水中碱度起化学反应的速度，对金属盐类混凝影响很大，因其水解是吸热反应；b影响矾花地形成和质量。水温较低时，絮凝体</w:t>
            </w:r>
            <w:r>
              <w:rPr>
                <w:rFonts w:hint="eastAsia"/>
                <w:color w:val="auto"/>
                <w:lang w:val="en-US" w:eastAsia="zh-CN"/>
              </w:rPr>
              <w:t>形成</w:t>
            </w:r>
            <w:r>
              <w:rPr>
                <w:rFonts w:hint="default"/>
                <w:color w:val="auto"/>
                <w:lang w:val="en-US" w:eastAsia="zh-CN"/>
              </w:rPr>
              <w:t>缓慢，结构松散，颗粒细小；c水温低时水的</w:t>
            </w:r>
            <w:r>
              <w:rPr>
                <w:rFonts w:hint="eastAsia"/>
                <w:color w:val="auto"/>
                <w:lang w:val="en-US" w:eastAsia="zh-CN"/>
              </w:rPr>
              <w:t>黏度大</w:t>
            </w:r>
            <w:r>
              <w:rPr>
                <w:rFonts w:hint="default"/>
                <w:color w:val="auto"/>
                <w:lang w:val="en-US" w:eastAsia="zh-CN"/>
              </w:rPr>
              <w:t>，布朗运动强度减弱，不利于脱稳胶粒相互凝聚，水流剪力也增大，影响絮凝体的成长。该因素主要影响金属盐类的混凝，对高分子混凝剂影响较小。</w:t>
            </w:r>
          </w:p>
          <w:p w14:paraId="262E3592">
            <w:pPr>
              <w:pStyle w:val="25"/>
              <w:bidi w:val="0"/>
              <w:rPr>
                <w:rFonts w:hint="default"/>
                <w:color w:val="auto"/>
                <w:lang w:val="en-US" w:eastAsia="zh-CN"/>
              </w:rPr>
            </w:pPr>
            <w:r>
              <w:rPr>
                <w:rFonts w:hint="default"/>
                <w:color w:val="auto"/>
                <w:lang w:val="en-US" w:eastAsia="zh-CN"/>
              </w:rPr>
              <w:t>混凝工艺混凝去除的对象</w:t>
            </w:r>
            <w:r>
              <w:rPr>
                <w:rFonts w:hint="eastAsia"/>
                <w:color w:val="auto"/>
                <w:lang w:val="en-US" w:eastAsia="zh-CN"/>
              </w:rPr>
              <w:t>：</w:t>
            </w:r>
          </w:p>
          <w:p w14:paraId="4DAF3209">
            <w:pPr>
              <w:pStyle w:val="25"/>
              <w:bidi w:val="0"/>
              <w:rPr>
                <w:rFonts w:hint="default"/>
                <w:color w:val="auto"/>
                <w:lang w:val="en-US" w:eastAsia="zh-CN"/>
              </w:rPr>
            </w:pPr>
            <w:r>
              <w:rPr>
                <w:rFonts w:hint="default"/>
                <w:color w:val="auto"/>
                <w:lang w:val="en-US" w:eastAsia="zh-CN"/>
              </w:rPr>
              <w:t>以地表水为例，水中含有的无机颗粒一般有粘土、粉砂、细砂；有机物有腐殖酸、蛋白质等，生物体物质一般有细菌，病毒等。虽然性质各有不同，但从尺寸大小可分为悬浮物、胶体和溶解物。</w:t>
            </w:r>
          </w:p>
          <w:p w14:paraId="6B0F6E75">
            <w:pPr>
              <w:pStyle w:val="25"/>
              <w:bidi w:val="0"/>
              <w:rPr>
                <w:rFonts w:hint="default"/>
                <w:color w:val="auto"/>
                <w:lang w:val="en-US" w:eastAsia="zh-CN"/>
              </w:rPr>
            </w:pPr>
            <w:r>
              <w:rPr>
                <w:rFonts w:hint="default"/>
                <w:color w:val="auto"/>
                <w:lang w:val="en-US" w:eastAsia="zh-CN"/>
              </w:rPr>
              <w:t>其中粒径大于100μm以上的颗粒，通过自然沉淀就可以从水中去除，但是一般不能通过沉淀去除胶体和悬浮物，这里就需要用到混凝工艺进行去除。</w:t>
            </w:r>
          </w:p>
          <w:p w14:paraId="4FB8961A">
            <w:pPr>
              <w:pStyle w:val="25"/>
              <w:bidi w:val="0"/>
              <w:rPr>
                <w:rFonts w:hint="default"/>
                <w:color w:val="auto"/>
                <w:lang w:val="en-US" w:eastAsia="zh-CN"/>
              </w:rPr>
            </w:pPr>
            <w:r>
              <w:rPr>
                <w:rFonts w:hint="default"/>
                <w:color w:val="auto"/>
                <w:lang w:val="en-US" w:eastAsia="zh-CN"/>
              </w:rPr>
              <w:t>从而得出混凝的定义，混凝就是在水中投加混凝剂，使水中胶体粒子和微小悬浮物凝聚成具有可分离性的絮凝体（即矾花，英文Floc），以便在后续工艺（如沉淀）中能够被分离去除。</w:t>
            </w:r>
          </w:p>
          <w:p w14:paraId="73522B91">
            <w:pPr>
              <w:pStyle w:val="25"/>
              <w:bidi w:val="0"/>
              <w:rPr>
                <w:rFonts w:hint="default"/>
                <w:color w:val="auto"/>
                <w:lang w:val="en-US" w:eastAsia="zh-CN"/>
              </w:rPr>
            </w:pPr>
            <w:r>
              <w:rPr>
                <w:rFonts w:hint="default"/>
                <w:color w:val="auto"/>
                <w:lang w:val="en-US" w:eastAsia="zh-CN"/>
              </w:rPr>
              <w:t>以上，混凝去除的主要对象是水中的胶体和部分细小悬浮物。</w:t>
            </w:r>
          </w:p>
          <w:p w14:paraId="6E077303">
            <w:pPr>
              <w:pStyle w:val="25"/>
              <w:bidi w:val="0"/>
              <w:rPr>
                <w:rFonts w:hint="default"/>
                <w:color w:val="auto"/>
                <w:lang w:val="en-US" w:eastAsia="zh-CN"/>
              </w:rPr>
            </w:pPr>
            <w:r>
              <w:rPr>
                <w:rFonts w:hint="default"/>
                <w:color w:val="auto"/>
                <w:lang w:val="en-US" w:eastAsia="zh-CN"/>
              </w:rPr>
              <w:t>混凝沉淀工艺特点</w:t>
            </w:r>
            <w:r>
              <w:rPr>
                <w:rFonts w:hint="eastAsia"/>
                <w:color w:val="auto"/>
                <w:lang w:val="en-US" w:eastAsia="zh-CN"/>
              </w:rPr>
              <w:t>：</w:t>
            </w:r>
          </w:p>
          <w:p w14:paraId="07026E6D">
            <w:pPr>
              <w:pStyle w:val="25"/>
              <w:bidi w:val="0"/>
              <w:rPr>
                <w:rFonts w:hint="default"/>
                <w:color w:val="auto"/>
                <w:lang w:val="en-US" w:eastAsia="zh-CN"/>
              </w:rPr>
            </w:pPr>
            <w:r>
              <w:rPr>
                <w:rFonts w:hint="eastAsia"/>
                <w:color w:val="auto"/>
                <w:lang w:val="en-US" w:eastAsia="zh-CN"/>
              </w:rPr>
              <w:t>①</w:t>
            </w:r>
            <w:r>
              <w:rPr>
                <w:rFonts w:hint="default"/>
                <w:color w:val="auto"/>
                <w:lang w:val="en-US" w:eastAsia="zh-CN"/>
              </w:rPr>
              <w:t>处理效率高、占地面积小、经济效益显著。</w:t>
            </w:r>
          </w:p>
          <w:p w14:paraId="1CE00626">
            <w:pPr>
              <w:pStyle w:val="25"/>
              <w:bidi w:val="0"/>
              <w:rPr>
                <w:rFonts w:hint="default"/>
                <w:color w:val="auto"/>
                <w:lang w:val="en-US" w:eastAsia="zh-CN"/>
              </w:rPr>
            </w:pPr>
            <w:r>
              <w:rPr>
                <w:rFonts w:hint="default"/>
                <w:color w:val="auto"/>
                <w:lang w:val="en-US" w:eastAsia="zh-CN"/>
              </w:rPr>
              <w:t>混合迅速（3～30秒），反应时间短（5～10分钟），沉淀池上升流速度高（2.5～3.5mm/s），因此可大为缩短水在处理构筑物中的停留时间，大幅度提高处理效率，因而也就节省了构筑物的基建投资。工程实践证实：与传统工艺相比，采用新技术对旧</w:t>
            </w:r>
            <w:r>
              <w:rPr>
                <w:rFonts w:hint="eastAsia"/>
                <w:color w:val="auto"/>
                <w:lang w:val="en-US" w:eastAsia="zh-CN"/>
              </w:rPr>
              <w:t>废水处理设施</w:t>
            </w:r>
            <w:r>
              <w:rPr>
                <w:rFonts w:hint="default"/>
                <w:color w:val="auto"/>
                <w:lang w:val="en-US" w:eastAsia="zh-CN"/>
              </w:rPr>
              <w:t>挖潜改造，在构筑物容积不增加的情况下，可使处理水量净增75%，而改造投资仅相当于新建同等规模新</w:t>
            </w:r>
            <w:r>
              <w:rPr>
                <w:rFonts w:hint="eastAsia"/>
                <w:color w:val="auto"/>
                <w:lang w:val="en-US" w:eastAsia="zh-CN"/>
              </w:rPr>
              <w:t>废水处理设施</w:t>
            </w:r>
            <w:r>
              <w:rPr>
                <w:rFonts w:hint="default"/>
                <w:color w:val="auto"/>
                <w:lang w:val="en-US" w:eastAsia="zh-CN"/>
              </w:rPr>
              <w:t>投资的30%；用于新建</w:t>
            </w:r>
            <w:r>
              <w:rPr>
                <w:rFonts w:hint="eastAsia"/>
                <w:color w:val="auto"/>
                <w:lang w:val="en-US" w:eastAsia="zh-CN"/>
              </w:rPr>
              <w:t>废水处理设施</w:t>
            </w:r>
            <w:r>
              <w:rPr>
                <w:rFonts w:hint="default"/>
                <w:color w:val="auto"/>
                <w:lang w:val="en-US" w:eastAsia="zh-CN"/>
              </w:rPr>
              <w:t>，主体工艺构筑物可节省投资20%～30%，并可大幅度减少主体构筑物占地面积。与平流沉淀池比较可节省80%，比斜管沉淀池可节省40%。</w:t>
            </w:r>
          </w:p>
          <w:p w14:paraId="6147AE2E">
            <w:pPr>
              <w:pStyle w:val="25"/>
              <w:bidi w:val="0"/>
              <w:rPr>
                <w:rFonts w:hint="default"/>
                <w:color w:val="auto"/>
                <w:lang w:val="en-US" w:eastAsia="zh-CN"/>
              </w:rPr>
            </w:pPr>
            <w:r>
              <w:rPr>
                <w:rFonts w:hint="eastAsia"/>
                <w:color w:val="auto"/>
                <w:lang w:val="en-US" w:eastAsia="zh-CN"/>
              </w:rPr>
              <w:t>②</w:t>
            </w:r>
            <w:r>
              <w:rPr>
                <w:rFonts w:hint="default"/>
                <w:color w:val="auto"/>
                <w:lang w:val="en-US" w:eastAsia="zh-CN"/>
              </w:rPr>
              <w:t>处理水质优，社会效益好，水质效益可观。</w:t>
            </w:r>
          </w:p>
          <w:p w14:paraId="38073D6C">
            <w:pPr>
              <w:pStyle w:val="25"/>
              <w:bidi w:val="0"/>
              <w:rPr>
                <w:rFonts w:hint="default"/>
                <w:color w:val="auto"/>
                <w:lang w:val="en-US" w:eastAsia="zh-CN"/>
              </w:rPr>
            </w:pPr>
            <w:r>
              <w:rPr>
                <w:rFonts w:hint="default"/>
                <w:color w:val="auto"/>
                <w:lang w:val="en-US" w:eastAsia="zh-CN"/>
              </w:rPr>
              <w:t>几年运行实践证明，这项工艺可使沉后水浊度稳定在3NTU以下，滤后水接近0度，这就形成了水质效益。水质效益一方面</w:t>
            </w:r>
            <w:r>
              <w:rPr>
                <w:rFonts w:hint="eastAsia"/>
                <w:color w:val="auto"/>
                <w:lang w:val="en-US" w:eastAsia="zh-CN"/>
              </w:rPr>
              <w:t>是</w:t>
            </w:r>
            <w:r>
              <w:rPr>
                <w:rFonts w:hint="default"/>
                <w:color w:val="auto"/>
                <w:lang w:val="en-US" w:eastAsia="zh-CN"/>
              </w:rPr>
              <w:t>社会效益，另一方面是潜在的经济效益。随着我国生活饮用水标准</w:t>
            </w:r>
            <w:r>
              <w:rPr>
                <w:rFonts w:hint="eastAsia"/>
                <w:color w:val="auto"/>
                <w:lang w:val="en-US" w:eastAsia="zh-CN"/>
              </w:rPr>
              <w:t>的</w:t>
            </w:r>
            <w:r>
              <w:rPr>
                <w:rFonts w:hint="default"/>
                <w:color w:val="auto"/>
                <w:lang w:val="en-US" w:eastAsia="zh-CN"/>
              </w:rPr>
              <w:t>进一步提高，已逐渐要求出厂水达到1NTU，那么大部分城市现有处理设备和工艺是难以达到的，只有通过大幅度投资扩建新</w:t>
            </w:r>
            <w:r>
              <w:rPr>
                <w:rFonts w:hint="eastAsia"/>
                <w:color w:val="auto"/>
                <w:lang w:val="en-US" w:eastAsia="zh-CN"/>
              </w:rPr>
              <w:t>废水处理设施</w:t>
            </w:r>
            <w:r>
              <w:rPr>
                <w:rFonts w:hint="default"/>
                <w:color w:val="auto"/>
                <w:lang w:val="en-US" w:eastAsia="zh-CN"/>
              </w:rPr>
              <w:t>，才能解决水质和水量的矛盾。而采用此工艺可稳定保持出水浊度</w:t>
            </w:r>
            <w:r>
              <w:rPr>
                <w:rFonts w:hint="eastAsia"/>
                <w:color w:val="auto"/>
                <w:lang w:val="en-US" w:eastAsia="zh-CN"/>
              </w:rPr>
              <w:t>低于</w:t>
            </w:r>
            <w:r>
              <w:rPr>
                <w:rFonts w:hint="default"/>
                <w:color w:val="auto"/>
                <w:lang w:val="en-US" w:eastAsia="zh-CN"/>
              </w:rPr>
              <w:t>1NTU。由此可见，其水质效益是相当可观的。</w:t>
            </w:r>
          </w:p>
          <w:p w14:paraId="2A7D5328">
            <w:pPr>
              <w:pStyle w:val="25"/>
              <w:bidi w:val="0"/>
              <w:rPr>
                <w:rFonts w:hint="default"/>
                <w:color w:val="auto"/>
                <w:lang w:val="en-US" w:eastAsia="zh-CN"/>
              </w:rPr>
            </w:pPr>
            <w:r>
              <w:rPr>
                <w:rFonts w:hint="eastAsia"/>
                <w:color w:val="auto"/>
                <w:lang w:val="en-US" w:eastAsia="zh-CN"/>
              </w:rPr>
              <w:t>③</w:t>
            </w:r>
            <w:r>
              <w:rPr>
                <w:rFonts w:hint="default"/>
                <w:color w:val="auto"/>
                <w:lang w:val="en-US" w:eastAsia="zh-CN"/>
              </w:rPr>
              <w:t>抗冲击能力强，适用水质广泛。</w:t>
            </w:r>
          </w:p>
          <w:p w14:paraId="3A26BCC9">
            <w:pPr>
              <w:pStyle w:val="25"/>
              <w:bidi w:val="0"/>
              <w:rPr>
                <w:rFonts w:hint="default"/>
                <w:color w:val="auto"/>
                <w:lang w:val="en-US" w:eastAsia="zh-CN"/>
              </w:rPr>
            </w:pPr>
            <w:r>
              <w:rPr>
                <w:rFonts w:hint="default"/>
                <w:color w:val="auto"/>
                <w:lang w:val="en-US" w:eastAsia="zh-CN"/>
              </w:rPr>
              <w:t>实践证明，此项技术抗冲击能力较强，当原水浊度、进水流量、投加药量发生一些变化时，沉淀池出水浊度不</w:t>
            </w:r>
            <w:r>
              <w:rPr>
                <w:rFonts w:hint="eastAsia"/>
                <w:color w:val="auto"/>
                <w:lang w:val="en-US" w:eastAsia="zh-CN"/>
              </w:rPr>
              <w:t>像</w:t>
            </w:r>
            <w:r>
              <w:rPr>
                <w:rFonts w:hint="default"/>
                <w:color w:val="auto"/>
                <w:lang w:val="en-US" w:eastAsia="zh-CN"/>
              </w:rPr>
              <w:t>传统工艺那样敏感。其原因是，这项工艺的沉淀池上升流速按3.5mm/s设计时尚有很大潜力。运行实践表明，这项工艺对低温低浊、汛期高浊以及微污染等特殊原水水质的处理均非常有效。</w:t>
            </w:r>
          </w:p>
          <w:p w14:paraId="6568CC05">
            <w:pPr>
              <w:pStyle w:val="25"/>
              <w:bidi w:val="0"/>
              <w:rPr>
                <w:rFonts w:hint="default"/>
                <w:color w:val="auto"/>
                <w:lang w:val="en-US" w:eastAsia="zh-CN"/>
              </w:rPr>
            </w:pPr>
            <w:r>
              <w:rPr>
                <w:rFonts w:hint="eastAsia"/>
                <w:color w:val="auto"/>
                <w:lang w:val="en-US" w:eastAsia="zh-CN"/>
              </w:rPr>
              <w:t>④</w:t>
            </w:r>
            <w:r>
              <w:rPr>
                <w:rFonts w:hint="default"/>
                <w:color w:val="auto"/>
                <w:lang w:val="en-US" w:eastAsia="zh-CN"/>
              </w:rPr>
              <w:t>制水成本降低。</w:t>
            </w:r>
          </w:p>
          <w:p w14:paraId="275A52A5">
            <w:pPr>
              <w:pStyle w:val="25"/>
              <w:bidi w:val="0"/>
              <w:rPr>
                <w:rFonts w:hint="default"/>
                <w:color w:val="auto"/>
                <w:lang w:val="en-US" w:eastAsia="zh-CN"/>
              </w:rPr>
            </w:pPr>
            <w:r>
              <w:rPr>
                <w:rFonts w:hint="eastAsia"/>
                <w:color w:val="auto"/>
                <w:lang w:val="en-US" w:eastAsia="zh-CN"/>
              </w:rPr>
              <w:t>I</w:t>
            </w:r>
            <w:r>
              <w:rPr>
                <w:rFonts w:hint="default"/>
                <w:color w:val="auto"/>
                <w:lang w:val="en-US" w:eastAsia="zh-CN"/>
              </w:rPr>
              <w:t>．由于新技术采用的混合及反应设备，可节省投药量</w:t>
            </w:r>
          </w:p>
          <w:p w14:paraId="3368C570">
            <w:pPr>
              <w:pStyle w:val="25"/>
              <w:bidi w:val="0"/>
              <w:rPr>
                <w:rFonts w:hint="default"/>
                <w:color w:val="auto"/>
                <w:lang w:val="en-US" w:eastAsia="zh-CN"/>
              </w:rPr>
            </w:pPr>
            <w:r>
              <w:rPr>
                <w:rFonts w:hint="eastAsia"/>
                <w:color w:val="auto"/>
                <w:lang w:val="en-US" w:eastAsia="zh-CN"/>
              </w:rPr>
              <w:t>Ⅱ。</w:t>
            </w:r>
            <w:r>
              <w:rPr>
                <w:rFonts w:hint="default"/>
                <w:color w:val="auto"/>
                <w:lang w:val="en-US" w:eastAsia="zh-CN"/>
              </w:rPr>
              <w:t>由于新技术沉后水浊度在3度以下，减轻了滤池负担，因此滤池反冲洗水可节省左右，并可延长滤料更换周期；</w:t>
            </w:r>
          </w:p>
          <w:p w14:paraId="43D96997">
            <w:pPr>
              <w:pStyle w:val="25"/>
              <w:bidi w:val="0"/>
              <w:rPr>
                <w:rFonts w:hint="default"/>
                <w:color w:val="auto"/>
                <w:lang w:val="en-US" w:eastAsia="zh-CN"/>
              </w:rPr>
            </w:pPr>
            <w:r>
              <w:rPr>
                <w:rFonts w:hint="eastAsia"/>
                <w:color w:val="auto"/>
                <w:lang w:val="en-US" w:eastAsia="zh-CN"/>
              </w:rPr>
              <w:t>Ⅲ。</w:t>
            </w:r>
            <w:r>
              <w:rPr>
                <w:rFonts w:hint="default"/>
                <w:color w:val="auto"/>
                <w:lang w:val="en-US" w:eastAsia="zh-CN"/>
              </w:rPr>
              <w:t>对改造旧</w:t>
            </w:r>
            <w:r>
              <w:rPr>
                <w:rFonts w:hint="eastAsia"/>
                <w:color w:val="auto"/>
                <w:lang w:val="en-US" w:eastAsia="zh-CN"/>
              </w:rPr>
              <w:t>废水处理设施</w:t>
            </w:r>
            <w:r>
              <w:rPr>
                <w:rFonts w:hint="default"/>
                <w:color w:val="auto"/>
                <w:lang w:val="en-US" w:eastAsia="zh-CN"/>
              </w:rPr>
              <w:t>，水量增加而管理人员无需增加，运行管理费用大为降低；</w:t>
            </w:r>
          </w:p>
          <w:p w14:paraId="36CD9284">
            <w:pPr>
              <w:pStyle w:val="25"/>
              <w:bidi w:val="0"/>
              <w:rPr>
                <w:rFonts w:hint="default"/>
                <w:color w:val="auto"/>
                <w:lang w:val="en-US" w:eastAsia="zh-CN"/>
              </w:rPr>
            </w:pPr>
            <w:r>
              <w:rPr>
                <w:rFonts w:hint="eastAsia"/>
                <w:color w:val="auto"/>
                <w:lang w:val="en-US" w:eastAsia="zh-CN"/>
              </w:rPr>
              <w:t>Ⅳ。</w:t>
            </w:r>
            <w:r>
              <w:rPr>
                <w:rFonts w:hint="default"/>
                <w:color w:val="auto"/>
                <w:lang w:val="en-US" w:eastAsia="zh-CN"/>
              </w:rPr>
              <w:t>基建费用的大幅度节省，可较大程度</w:t>
            </w:r>
            <w:r>
              <w:rPr>
                <w:rFonts w:hint="eastAsia"/>
                <w:color w:val="auto"/>
                <w:lang w:val="en-US" w:eastAsia="zh-CN"/>
              </w:rPr>
              <w:t>降低</w:t>
            </w:r>
            <w:r>
              <w:rPr>
                <w:rFonts w:hint="default"/>
                <w:color w:val="auto"/>
                <w:lang w:val="en-US" w:eastAsia="zh-CN"/>
              </w:rPr>
              <w:t>投资折旧率。</w:t>
            </w:r>
          </w:p>
          <w:p w14:paraId="4691D03D">
            <w:pPr>
              <w:pStyle w:val="25"/>
              <w:bidi w:val="0"/>
              <w:rPr>
                <w:rFonts w:hint="default"/>
                <w:color w:val="auto"/>
                <w:lang w:val="en-US" w:eastAsia="zh-CN"/>
              </w:rPr>
            </w:pPr>
            <w:r>
              <w:rPr>
                <w:rFonts w:hint="default"/>
                <w:color w:val="auto"/>
                <w:lang w:val="en-US" w:eastAsia="zh-CN"/>
              </w:rPr>
              <w:t>从以上四个方面来看，新技术的使用可使制水成本显著降低。</w:t>
            </w:r>
          </w:p>
          <w:p w14:paraId="4CED0D2D">
            <w:pPr>
              <w:pStyle w:val="25"/>
              <w:bidi w:val="0"/>
              <w:rPr>
                <w:rFonts w:hint="eastAsia"/>
                <w:color w:val="auto"/>
                <w:lang w:val="en-US" w:eastAsia="zh-CN"/>
              </w:rPr>
            </w:pPr>
            <w:r>
              <w:rPr>
                <w:rFonts w:hint="eastAsia"/>
                <w:color w:val="auto"/>
                <w:lang w:val="en-US" w:eastAsia="zh-CN"/>
              </w:rPr>
              <w:t>根据本项目废水污染物产生分析，本项目废水主要来源于切割铣磨废水、抛光废水等，抛光工序使用的抛光粉、玻璃表面抛光下来的废渣，以及切割铣磨的废渣会成为抛光废水中的沉淀物，采用混凝沉淀的处理工艺处理本项目的废水，对沉淀物的分离效果显著。</w:t>
            </w:r>
          </w:p>
          <w:p w14:paraId="5445A79B">
            <w:pPr>
              <w:pStyle w:val="25"/>
              <w:bidi w:val="0"/>
              <w:rPr>
                <w:rFonts w:hint="default"/>
                <w:color w:val="auto"/>
                <w:lang w:val="en-US" w:eastAsia="zh-CN"/>
              </w:rPr>
            </w:pPr>
            <w:r>
              <w:rPr>
                <w:rFonts w:hint="eastAsia"/>
                <w:color w:val="auto"/>
                <w:lang w:val="en-US" w:eastAsia="zh-CN"/>
              </w:rPr>
              <w:t>综上所述，本项目采用混凝沉淀的处理工艺对本项目的生产废水的沉淀有处理针对性，处理效率高，经济效益显著，在厂内占地面积小，成本低，作为本项目的废水处理措施是可行的。</w:t>
            </w:r>
          </w:p>
          <w:p w14:paraId="3C04301F">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（3）废除油剂委外处理必要可行性分析</w:t>
            </w:r>
          </w:p>
          <w:p w14:paraId="6F8F8025">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项目产品经除油后产生的废除油剂污染物因子包含化学需氧量、石油类、氨氮、总磷、总氮等，本项目废除油剂产生量为0.05t/a，产生量较小，本项目采用的“沉淀+调节+混凝沉淀”处理设施对石油类、总磷、总氮的处理效率低，</w:t>
            </w:r>
            <w:r>
              <w:rPr>
                <w:rFonts w:hint="eastAsia" w:cs="宋体"/>
                <w:color w:val="auto"/>
                <w:kern w:val="2"/>
                <w:sz w:val="24"/>
                <w:szCs w:val="24"/>
                <w:lang w:val="en-US" w:eastAsia="zh-CN" w:bidi="ar-SA"/>
              </w:rPr>
              <w:t>本评价建议</w:t>
            </w:r>
            <w:r>
              <w:rPr>
                <w:rFonts w:ascii="宋体" w:hAnsi="宋体" w:eastAsia="宋体" w:cs="宋体"/>
                <w:color w:val="auto"/>
                <w:kern w:val="0"/>
                <w:sz w:val="24"/>
                <w:szCs w:val="24"/>
                <w:lang w:val="en-US" w:eastAsia="zh-CN" w:bidi="ar"/>
              </w:rPr>
              <w:t>在除油剂添加环节，操作人员根据除油槽有效容积、工作浓度标准及生产损耗情况，定量称量除油剂原液，通过密闭投料口缓慢投加至除油槽内，同步开启槽体循环搅拌装置。生产运行过程中，定期检测除油槽内药液浓度、pH值及除油效果，根据油污消耗、水体挥发损耗情况微量补加除油剂，维持槽内药液稳定工作状态。整个除油剂使用过程无原料洒落、无无组织挥发损耗，除油工序全程在密闭槽体设备内完成，作业区域无除油剂原液及含油废</w:t>
            </w:r>
            <w:r>
              <w:rPr>
                <w:rFonts w:hint="eastAsia" w:ascii="宋体" w:hAnsi="宋体" w:eastAsia="宋体" w:cs="宋体"/>
                <w:color w:val="auto"/>
                <w:kern w:val="0"/>
                <w:sz w:val="24"/>
                <w:szCs w:val="24"/>
                <w:lang w:val="en-US" w:eastAsia="zh-CN" w:bidi="ar"/>
              </w:rPr>
              <w:t>液</w:t>
            </w:r>
            <w:r>
              <w:rPr>
                <w:rFonts w:ascii="宋体" w:hAnsi="宋体" w:eastAsia="宋体" w:cs="宋体"/>
                <w:color w:val="auto"/>
                <w:kern w:val="0"/>
                <w:sz w:val="24"/>
                <w:szCs w:val="24"/>
                <w:lang w:val="en-US" w:eastAsia="zh-CN" w:bidi="ar"/>
              </w:rPr>
              <w:t>漫流、渗漏情况，从源头控制污染物无组织产生及排放，除油剂使用工序工艺稳定、管控规范。</w:t>
            </w:r>
            <w:r>
              <w:rPr>
                <w:rFonts w:hint="eastAsia" w:ascii="Times New Roman" w:hAnsi="Times New Roman" w:eastAsia="宋体" w:cs="宋体"/>
                <w:color w:val="auto"/>
                <w:kern w:val="2"/>
                <w:sz w:val="24"/>
                <w:szCs w:val="24"/>
                <w:lang w:val="en-US" w:eastAsia="zh-CN" w:bidi="ar-SA"/>
              </w:rPr>
              <w:t>采用定期将废除油剂当作危险废物交给有资质的单位处理，可减少项目的污染物排放。</w:t>
            </w:r>
          </w:p>
          <w:p w14:paraId="5E8578BA">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（4）依托集中污水处理厂可行性</w:t>
            </w:r>
          </w:p>
          <w:p w14:paraId="2FEF27CF">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 xml:space="preserve">项目废水经处理达标后排入市政污水管网，送往大学城污水处理厂集中处理，属于间接排放，根据《建设项目环境影响报告表编制技术指南（污染影响类）（试行）》（环办环评〔2020〕33 号）要求，废水间接排放的建设项目应从处理能力、处理工艺、设计进出水水质等方面，分析依托集中污水处理厂的可行性。 </w:t>
            </w:r>
          </w:p>
          <w:p w14:paraId="0ABEB955">
            <w:pPr>
              <w:pStyle w:val="25"/>
              <w:bidi w:val="0"/>
              <w:rPr>
                <w:rFonts w:hint="eastAsia" w:ascii="Times New Roman" w:hAnsi="Times New Roman"/>
                <w:color w:val="auto"/>
                <w:lang w:val="en-US" w:eastAsia="zh-CN"/>
              </w:rPr>
            </w:pPr>
            <w:r>
              <w:rPr>
                <w:rFonts w:hint="eastAsia" w:ascii="Times New Roman" w:hAnsi="Times New Roman"/>
                <w:color w:val="auto"/>
                <w:lang w:val="en-US" w:eastAsia="zh-CN"/>
              </w:rPr>
              <w:t>①大学城污水处理厂基本情况</w:t>
            </w:r>
          </w:p>
          <w:p w14:paraId="4FA06C49">
            <w:pPr>
              <w:pStyle w:val="25"/>
              <w:bidi w:val="0"/>
              <w:rPr>
                <w:rFonts w:hint="eastAsia" w:ascii="Times New Roman" w:hAnsi="Times New Roman"/>
                <w:color w:val="auto"/>
                <w:lang w:val="en-US" w:eastAsia="zh-CN"/>
              </w:rPr>
            </w:pPr>
            <w:r>
              <w:rPr>
                <w:rFonts w:hint="eastAsia" w:ascii="Times New Roman" w:hAnsi="Times New Roman"/>
                <w:color w:val="auto"/>
                <w:lang w:val="en-US" w:eastAsia="zh-CN"/>
              </w:rPr>
              <w:t>I</w:t>
            </w:r>
            <w:r>
              <w:rPr>
                <w:rFonts w:hint="eastAsia"/>
                <w:color w:val="auto"/>
                <w:lang w:val="en-US" w:eastAsia="zh-CN"/>
              </w:rPr>
              <w:t>.</w:t>
            </w:r>
            <w:r>
              <w:rPr>
                <w:rFonts w:hint="eastAsia" w:ascii="Times New Roman" w:hAnsi="Times New Roman"/>
                <w:color w:val="auto"/>
                <w:lang w:val="en-US" w:eastAsia="zh-CN"/>
              </w:rPr>
              <w:t>设计进出水水质</w:t>
            </w:r>
          </w:p>
          <w:p w14:paraId="6273EB3B">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根据《福州市闽侯县大学城污水处理厂四期工程（厂内工程第一阶段）项目》可知，大学城污水处理厂进出水水质见表4.1-4。</w:t>
            </w:r>
          </w:p>
          <w:p w14:paraId="586ED877">
            <w:pPr>
              <w:pStyle w:val="24"/>
              <w:bidi w:val="0"/>
              <w:rPr>
                <w:rFonts w:hint="eastAsia" w:ascii="Times New Roman" w:hAnsi="Times New Roman"/>
                <w:color w:val="auto"/>
                <w:lang w:val="en-US" w:eastAsia="zh-CN"/>
              </w:rPr>
            </w:pPr>
            <w:r>
              <w:rPr>
                <w:rFonts w:hint="eastAsia" w:ascii="Times New Roman" w:hAnsi="Times New Roman"/>
                <w:color w:val="auto"/>
                <w:lang w:val="en-US" w:eastAsia="zh-CN"/>
              </w:rPr>
              <w:t>表4.1-</w:t>
            </w:r>
            <w:r>
              <w:rPr>
                <w:rFonts w:hint="eastAsia"/>
                <w:color w:val="auto"/>
                <w:lang w:val="en-US" w:eastAsia="zh-CN"/>
              </w:rPr>
              <w:t xml:space="preserve">4  </w:t>
            </w:r>
            <w:r>
              <w:rPr>
                <w:rFonts w:hint="eastAsia" w:ascii="Times New Roman" w:hAnsi="Times New Roman"/>
                <w:color w:val="auto"/>
                <w:lang w:val="en-US" w:eastAsia="zh-CN"/>
              </w:rPr>
              <w:t>大学城污水处理厂进水水质标准（单位：mg/L，pH值除外）</w:t>
            </w:r>
          </w:p>
          <w:tbl>
            <w:tblPr>
              <w:tblStyle w:val="17"/>
              <w:tblW w:w="8016"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911"/>
              <w:gridCol w:w="1114"/>
              <w:gridCol w:w="871"/>
              <w:gridCol w:w="1071"/>
              <w:gridCol w:w="1071"/>
              <w:gridCol w:w="975"/>
              <w:gridCol w:w="975"/>
              <w:gridCol w:w="1028"/>
            </w:tblGrid>
            <w:tr w14:paraId="08926C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69" w:type="pct"/>
                  <w:tcBorders>
                    <w:tl2br w:val="nil"/>
                    <w:tr2bl w:val="nil"/>
                  </w:tcBorders>
                  <w:noWrap w:val="0"/>
                  <w:vAlign w:val="center"/>
                </w:tcPr>
                <w:p w14:paraId="05B50913">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b/>
                      <w:bCs/>
                      <w:color w:val="auto"/>
                      <w:lang w:val="en-US" w:eastAsia="zh-CN"/>
                    </w:rPr>
                  </w:pPr>
                  <w:r>
                    <w:rPr>
                      <w:rFonts w:hint="default" w:ascii="Times New Roman" w:hAnsi="Times New Roman"/>
                      <w:b/>
                      <w:bCs/>
                      <w:color w:val="auto"/>
                      <w:lang w:val="en-US" w:eastAsia="zh-CN"/>
                    </w:rPr>
                    <w:t>水质指标</w:t>
                  </w:r>
                </w:p>
              </w:tc>
              <w:tc>
                <w:tcPr>
                  <w:tcW w:w="695" w:type="pct"/>
                  <w:tcBorders>
                    <w:tl2br w:val="nil"/>
                    <w:tr2bl w:val="nil"/>
                  </w:tcBorders>
                  <w:noWrap w:val="0"/>
                  <w:vAlign w:val="center"/>
                </w:tcPr>
                <w:p w14:paraId="48D731A5">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b/>
                      <w:bCs/>
                      <w:color w:val="auto"/>
                      <w:lang w:val="en-US" w:eastAsia="zh-CN"/>
                    </w:rPr>
                  </w:pPr>
                  <w:r>
                    <w:rPr>
                      <w:rFonts w:hint="default" w:ascii="Times New Roman" w:hAnsi="Times New Roman"/>
                      <w:b/>
                      <w:bCs/>
                      <w:color w:val="auto"/>
                      <w:lang w:val="en-US" w:eastAsia="zh-CN"/>
                    </w:rPr>
                    <w:t>pH</w:t>
                  </w:r>
                </w:p>
              </w:tc>
              <w:tc>
                <w:tcPr>
                  <w:tcW w:w="543" w:type="pct"/>
                  <w:tcBorders>
                    <w:tl2br w:val="nil"/>
                    <w:tr2bl w:val="nil"/>
                  </w:tcBorders>
                  <w:noWrap w:val="0"/>
                  <w:vAlign w:val="center"/>
                </w:tcPr>
                <w:p w14:paraId="70497C92">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b/>
                      <w:bCs/>
                      <w:color w:val="auto"/>
                      <w:lang w:val="en-US" w:eastAsia="zh-CN"/>
                    </w:rPr>
                  </w:pPr>
                  <w:r>
                    <w:rPr>
                      <w:rFonts w:hint="default" w:ascii="Times New Roman" w:hAnsi="Times New Roman"/>
                      <w:b/>
                      <w:bCs/>
                      <w:color w:val="auto"/>
                      <w:lang w:val="en-US" w:eastAsia="zh-CN"/>
                    </w:rPr>
                    <w:t>COD</w:t>
                  </w:r>
                </w:p>
              </w:tc>
              <w:tc>
                <w:tcPr>
                  <w:tcW w:w="668" w:type="pct"/>
                  <w:tcBorders>
                    <w:tl2br w:val="nil"/>
                    <w:tr2bl w:val="nil"/>
                  </w:tcBorders>
                  <w:noWrap w:val="0"/>
                  <w:vAlign w:val="center"/>
                </w:tcPr>
                <w:p w14:paraId="0AFF2873">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b/>
                      <w:bCs/>
                      <w:color w:val="auto"/>
                    </w:rPr>
                  </w:pPr>
                  <w:r>
                    <w:rPr>
                      <w:rFonts w:hint="default" w:ascii="Times New Roman" w:hAnsi="Times New Roman"/>
                      <w:b/>
                      <w:bCs/>
                      <w:color w:val="auto"/>
                      <w:lang w:val="en-US" w:eastAsia="zh-CN"/>
                    </w:rPr>
                    <w:t>BOD</w:t>
                  </w:r>
                  <w:r>
                    <w:rPr>
                      <w:rFonts w:hint="default" w:ascii="Times New Roman" w:hAnsi="Times New Roman"/>
                      <w:b/>
                      <w:bCs/>
                      <w:color w:val="auto"/>
                      <w:vertAlign w:val="subscript"/>
                      <w:lang w:val="en-US" w:eastAsia="zh-CN"/>
                    </w:rPr>
                    <w:t>5</w:t>
                  </w:r>
                </w:p>
              </w:tc>
              <w:tc>
                <w:tcPr>
                  <w:tcW w:w="668" w:type="pct"/>
                  <w:tcBorders>
                    <w:tl2br w:val="nil"/>
                    <w:tr2bl w:val="nil"/>
                  </w:tcBorders>
                  <w:noWrap w:val="0"/>
                  <w:vAlign w:val="center"/>
                </w:tcPr>
                <w:p w14:paraId="0FE71766">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b/>
                      <w:bCs/>
                      <w:color w:val="auto"/>
                    </w:rPr>
                  </w:pPr>
                  <w:r>
                    <w:rPr>
                      <w:rFonts w:hint="default" w:ascii="Times New Roman" w:hAnsi="Times New Roman"/>
                      <w:b/>
                      <w:bCs/>
                      <w:color w:val="auto"/>
                      <w:lang w:val="en-US" w:eastAsia="zh-CN"/>
                    </w:rPr>
                    <w:t>SS</w:t>
                  </w:r>
                </w:p>
              </w:tc>
              <w:tc>
                <w:tcPr>
                  <w:tcW w:w="608" w:type="pct"/>
                  <w:tcBorders>
                    <w:tl2br w:val="nil"/>
                    <w:tr2bl w:val="nil"/>
                  </w:tcBorders>
                  <w:noWrap w:val="0"/>
                  <w:vAlign w:val="center"/>
                </w:tcPr>
                <w:p w14:paraId="7EE6AA95">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b/>
                      <w:bCs/>
                      <w:color w:val="auto"/>
                    </w:rPr>
                  </w:pPr>
                  <w:r>
                    <w:rPr>
                      <w:rFonts w:hint="default" w:ascii="Times New Roman" w:hAnsi="Times New Roman"/>
                      <w:b/>
                      <w:bCs/>
                      <w:color w:val="auto"/>
                      <w:lang w:val="en-US" w:eastAsia="zh-CN"/>
                    </w:rPr>
                    <w:t>NH</w:t>
                  </w:r>
                  <w:r>
                    <w:rPr>
                      <w:rFonts w:hint="default" w:ascii="Times New Roman" w:hAnsi="Times New Roman"/>
                      <w:b/>
                      <w:bCs/>
                      <w:color w:val="auto"/>
                      <w:vertAlign w:val="subscript"/>
                      <w:lang w:val="en-US" w:eastAsia="zh-CN"/>
                    </w:rPr>
                    <w:t>3</w:t>
                  </w:r>
                  <w:r>
                    <w:rPr>
                      <w:rFonts w:hint="default" w:ascii="Times New Roman" w:hAnsi="Times New Roman"/>
                      <w:b/>
                      <w:bCs/>
                      <w:color w:val="auto"/>
                      <w:lang w:val="en-US" w:eastAsia="zh-CN"/>
                    </w:rPr>
                    <w:t>-N</w:t>
                  </w:r>
                </w:p>
              </w:tc>
              <w:tc>
                <w:tcPr>
                  <w:tcW w:w="608" w:type="pct"/>
                  <w:tcBorders>
                    <w:tl2br w:val="nil"/>
                    <w:tr2bl w:val="nil"/>
                  </w:tcBorders>
                  <w:noWrap w:val="0"/>
                  <w:vAlign w:val="center"/>
                </w:tcPr>
                <w:p w14:paraId="5BACA041">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b/>
                      <w:bCs/>
                      <w:color w:val="auto"/>
                      <w:lang w:val="en-US" w:eastAsia="zh-CN"/>
                    </w:rPr>
                  </w:pPr>
                  <w:r>
                    <w:rPr>
                      <w:rFonts w:hint="default" w:ascii="Times New Roman" w:hAnsi="Times New Roman"/>
                      <w:b/>
                      <w:bCs/>
                      <w:color w:val="auto"/>
                      <w:lang w:val="en-US" w:eastAsia="zh-CN"/>
                    </w:rPr>
                    <w:t>TN</w:t>
                  </w:r>
                </w:p>
              </w:tc>
              <w:tc>
                <w:tcPr>
                  <w:tcW w:w="639" w:type="pct"/>
                  <w:tcBorders>
                    <w:tl2br w:val="nil"/>
                    <w:tr2bl w:val="nil"/>
                  </w:tcBorders>
                  <w:noWrap w:val="0"/>
                  <w:vAlign w:val="center"/>
                </w:tcPr>
                <w:p w14:paraId="34CB8C3E">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b/>
                      <w:bCs/>
                      <w:color w:val="auto"/>
                      <w:lang w:val="en-US" w:eastAsia="zh-CN"/>
                    </w:rPr>
                  </w:pPr>
                  <w:r>
                    <w:rPr>
                      <w:rFonts w:hint="default" w:ascii="Times New Roman" w:hAnsi="Times New Roman"/>
                      <w:b/>
                      <w:bCs/>
                      <w:color w:val="auto"/>
                      <w:lang w:val="en-US" w:eastAsia="zh-CN"/>
                    </w:rPr>
                    <w:t>TP</w:t>
                  </w:r>
                </w:p>
              </w:tc>
            </w:tr>
            <w:tr w14:paraId="337B95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69" w:type="pct"/>
                  <w:tcBorders>
                    <w:tl2br w:val="nil"/>
                    <w:tr2bl w:val="nil"/>
                  </w:tcBorders>
                  <w:noWrap w:val="0"/>
                  <w:vAlign w:val="center"/>
                </w:tcPr>
                <w:p w14:paraId="603B3593">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default" w:ascii="Times New Roman" w:hAnsi="Times New Roman"/>
                      <w:color w:val="auto"/>
                      <w:lang w:val="en-US" w:eastAsia="zh-CN"/>
                    </w:rPr>
                    <w:t>进水水质</w:t>
                  </w:r>
                </w:p>
              </w:tc>
              <w:tc>
                <w:tcPr>
                  <w:tcW w:w="695" w:type="pct"/>
                  <w:tcBorders>
                    <w:tl2br w:val="nil"/>
                    <w:tr2bl w:val="nil"/>
                  </w:tcBorders>
                  <w:noWrap w:val="0"/>
                  <w:vAlign w:val="center"/>
                </w:tcPr>
                <w:p w14:paraId="36148CB0">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default" w:ascii="Times New Roman" w:hAnsi="Times New Roman"/>
                      <w:color w:val="auto"/>
                      <w:lang w:val="en-US" w:eastAsia="zh-CN"/>
                    </w:rPr>
                    <w:t>6~9</w:t>
                  </w:r>
                  <w:r>
                    <w:rPr>
                      <w:rFonts w:hint="eastAsia" w:ascii="Times New Roman" w:hAnsi="Times New Roman"/>
                      <w:color w:val="auto"/>
                      <w:lang w:val="en-US" w:eastAsia="zh-CN"/>
                    </w:rPr>
                    <w:t>（</w:t>
                  </w:r>
                  <w:r>
                    <w:rPr>
                      <w:rFonts w:hint="default" w:ascii="Times New Roman" w:hAnsi="Times New Roman"/>
                      <w:color w:val="auto"/>
                      <w:lang w:val="en-US" w:eastAsia="zh-CN"/>
                    </w:rPr>
                    <w:t>无量纲</w:t>
                  </w:r>
                  <w:r>
                    <w:rPr>
                      <w:rFonts w:hint="eastAsia" w:ascii="Times New Roman" w:hAnsi="Times New Roman"/>
                      <w:color w:val="auto"/>
                      <w:lang w:val="en-US" w:eastAsia="zh-CN"/>
                    </w:rPr>
                    <w:t>）</w:t>
                  </w:r>
                </w:p>
              </w:tc>
              <w:tc>
                <w:tcPr>
                  <w:tcW w:w="543" w:type="pct"/>
                  <w:tcBorders>
                    <w:tl2br w:val="nil"/>
                    <w:tr2bl w:val="nil"/>
                  </w:tcBorders>
                  <w:noWrap w:val="0"/>
                  <w:vAlign w:val="center"/>
                </w:tcPr>
                <w:p w14:paraId="27D79290">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eastAsia" w:ascii="Times New Roman" w:hAnsi="Times New Roman"/>
                      <w:color w:val="auto"/>
                      <w:lang w:val="en-US" w:eastAsia="zh-CN"/>
                    </w:rPr>
                    <w:t>24</w:t>
                  </w:r>
                  <w:r>
                    <w:rPr>
                      <w:rFonts w:hint="default" w:ascii="Times New Roman" w:hAnsi="Times New Roman"/>
                      <w:color w:val="auto"/>
                      <w:lang w:val="en-US" w:eastAsia="zh-CN"/>
                    </w:rPr>
                    <w:t>0</w:t>
                  </w:r>
                </w:p>
              </w:tc>
              <w:tc>
                <w:tcPr>
                  <w:tcW w:w="668" w:type="pct"/>
                  <w:tcBorders>
                    <w:tl2br w:val="nil"/>
                    <w:tr2bl w:val="nil"/>
                  </w:tcBorders>
                  <w:noWrap w:val="0"/>
                  <w:vAlign w:val="center"/>
                </w:tcPr>
                <w:p w14:paraId="5CC47803">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default" w:ascii="Times New Roman" w:hAnsi="Times New Roman"/>
                      <w:color w:val="auto"/>
                      <w:lang w:val="en-US" w:eastAsia="zh-CN"/>
                    </w:rPr>
                    <w:t>1</w:t>
                  </w:r>
                  <w:r>
                    <w:rPr>
                      <w:rFonts w:hint="eastAsia" w:ascii="Times New Roman" w:hAnsi="Times New Roman"/>
                      <w:color w:val="auto"/>
                      <w:lang w:val="en-US" w:eastAsia="zh-CN"/>
                    </w:rPr>
                    <w:t>2</w:t>
                  </w:r>
                  <w:r>
                    <w:rPr>
                      <w:rFonts w:hint="default" w:ascii="Times New Roman" w:hAnsi="Times New Roman"/>
                      <w:color w:val="auto"/>
                      <w:lang w:val="en-US" w:eastAsia="zh-CN"/>
                    </w:rPr>
                    <w:t>0</w:t>
                  </w:r>
                </w:p>
              </w:tc>
              <w:tc>
                <w:tcPr>
                  <w:tcW w:w="668" w:type="pct"/>
                  <w:tcBorders>
                    <w:tl2br w:val="nil"/>
                    <w:tr2bl w:val="nil"/>
                  </w:tcBorders>
                  <w:noWrap w:val="0"/>
                  <w:vAlign w:val="center"/>
                </w:tcPr>
                <w:p w14:paraId="4B58E129">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eastAsia" w:ascii="Times New Roman" w:hAnsi="Times New Roman"/>
                      <w:color w:val="auto"/>
                      <w:lang w:val="en-US" w:eastAsia="zh-CN"/>
                    </w:rPr>
                    <w:t>18</w:t>
                  </w:r>
                  <w:r>
                    <w:rPr>
                      <w:rFonts w:hint="default" w:ascii="Times New Roman" w:hAnsi="Times New Roman"/>
                      <w:color w:val="auto"/>
                      <w:lang w:val="en-US" w:eastAsia="zh-CN"/>
                    </w:rPr>
                    <w:t>0</w:t>
                  </w:r>
                </w:p>
              </w:tc>
              <w:tc>
                <w:tcPr>
                  <w:tcW w:w="608" w:type="pct"/>
                  <w:tcBorders>
                    <w:tl2br w:val="nil"/>
                    <w:tr2bl w:val="nil"/>
                  </w:tcBorders>
                  <w:noWrap w:val="0"/>
                  <w:vAlign w:val="center"/>
                </w:tcPr>
                <w:p w14:paraId="5AE1EFFF">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eastAsia" w:ascii="Times New Roman" w:hAnsi="Times New Roman"/>
                      <w:color w:val="auto"/>
                      <w:lang w:val="en-US" w:eastAsia="zh-CN"/>
                    </w:rPr>
                    <w:t>30</w:t>
                  </w:r>
                </w:p>
              </w:tc>
              <w:tc>
                <w:tcPr>
                  <w:tcW w:w="608" w:type="pct"/>
                  <w:tcBorders>
                    <w:tl2br w:val="nil"/>
                    <w:tr2bl w:val="nil"/>
                  </w:tcBorders>
                  <w:noWrap w:val="0"/>
                  <w:vAlign w:val="center"/>
                </w:tcPr>
                <w:p w14:paraId="08A20DE0">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default" w:ascii="Times New Roman" w:hAnsi="Times New Roman"/>
                      <w:color w:val="auto"/>
                      <w:lang w:val="en-US" w:eastAsia="zh-CN"/>
                    </w:rPr>
                    <w:t>40</w:t>
                  </w:r>
                </w:p>
              </w:tc>
              <w:tc>
                <w:tcPr>
                  <w:tcW w:w="639" w:type="pct"/>
                  <w:tcBorders>
                    <w:tl2br w:val="nil"/>
                    <w:tr2bl w:val="nil"/>
                  </w:tcBorders>
                  <w:noWrap w:val="0"/>
                  <w:vAlign w:val="center"/>
                </w:tcPr>
                <w:p w14:paraId="6FBB4BEC">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eastAsia" w:ascii="Times New Roman" w:hAnsi="Times New Roman"/>
                      <w:color w:val="auto"/>
                      <w:lang w:val="en-US" w:eastAsia="zh-CN"/>
                    </w:rPr>
                    <w:t>4</w:t>
                  </w:r>
                </w:p>
              </w:tc>
            </w:tr>
            <w:tr w14:paraId="0C694A8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69" w:type="pct"/>
                  <w:tcBorders>
                    <w:tl2br w:val="nil"/>
                    <w:tr2bl w:val="nil"/>
                  </w:tcBorders>
                  <w:noWrap w:val="0"/>
                  <w:vAlign w:val="center"/>
                </w:tcPr>
                <w:p w14:paraId="3B4897C1">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default" w:ascii="Times New Roman" w:hAnsi="Times New Roman"/>
                      <w:color w:val="auto"/>
                      <w:lang w:val="en-US" w:eastAsia="zh-CN"/>
                    </w:rPr>
                    <w:t>出水标准</w:t>
                  </w:r>
                </w:p>
              </w:tc>
              <w:tc>
                <w:tcPr>
                  <w:tcW w:w="695" w:type="pct"/>
                  <w:tcBorders>
                    <w:tl2br w:val="nil"/>
                    <w:tr2bl w:val="nil"/>
                  </w:tcBorders>
                  <w:noWrap w:val="0"/>
                  <w:vAlign w:val="center"/>
                </w:tcPr>
                <w:p w14:paraId="5DD92B07">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default" w:ascii="Times New Roman" w:hAnsi="Times New Roman"/>
                      <w:color w:val="auto"/>
                      <w:lang w:val="en-US" w:eastAsia="zh-CN"/>
                    </w:rPr>
                    <w:t>6~9</w:t>
                  </w:r>
                  <w:r>
                    <w:rPr>
                      <w:rFonts w:hint="eastAsia" w:ascii="Times New Roman" w:hAnsi="Times New Roman"/>
                      <w:color w:val="auto"/>
                      <w:lang w:val="en-US" w:eastAsia="zh-CN"/>
                    </w:rPr>
                    <w:t>（</w:t>
                  </w:r>
                  <w:r>
                    <w:rPr>
                      <w:rFonts w:hint="default" w:ascii="Times New Roman" w:hAnsi="Times New Roman"/>
                      <w:color w:val="auto"/>
                      <w:lang w:val="en-US" w:eastAsia="zh-CN"/>
                    </w:rPr>
                    <w:t>无量纲</w:t>
                  </w:r>
                  <w:r>
                    <w:rPr>
                      <w:rFonts w:hint="eastAsia" w:ascii="Times New Roman" w:hAnsi="Times New Roman"/>
                      <w:color w:val="auto"/>
                      <w:lang w:val="en-US" w:eastAsia="zh-CN"/>
                    </w:rPr>
                    <w:t>）</w:t>
                  </w:r>
                </w:p>
              </w:tc>
              <w:tc>
                <w:tcPr>
                  <w:tcW w:w="543" w:type="pct"/>
                  <w:tcBorders>
                    <w:tl2br w:val="nil"/>
                    <w:tr2bl w:val="nil"/>
                  </w:tcBorders>
                  <w:noWrap w:val="0"/>
                  <w:vAlign w:val="center"/>
                </w:tcPr>
                <w:p w14:paraId="715CD4D4">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eastAsia" w:ascii="Times New Roman" w:hAnsi="Times New Roman"/>
                      <w:color w:val="auto"/>
                      <w:lang w:val="en-US" w:eastAsia="zh-CN"/>
                    </w:rPr>
                    <w:t>5</w:t>
                  </w:r>
                  <w:r>
                    <w:rPr>
                      <w:rFonts w:hint="default" w:ascii="Times New Roman" w:hAnsi="Times New Roman"/>
                      <w:color w:val="auto"/>
                      <w:lang w:val="en-US" w:eastAsia="zh-CN"/>
                    </w:rPr>
                    <w:t>0</w:t>
                  </w:r>
                </w:p>
              </w:tc>
              <w:tc>
                <w:tcPr>
                  <w:tcW w:w="668" w:type="pct"/>
                  <w:tcBorders>
                    <w:tl2br w:val="nil"/>
                    <w:tr2bl w:val="nil"/>
                  </w:tcBorders>
                  <w:noWrap w:val="0"/>
                  <w:vAlign w:val="center"/>
                </w:tcPr>
                <w:p w14:paraId="14063FBA">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eastAsia" w:ascii="Times New Roman" w:hAnsi="Times New Roman"/>
                      <w:color w:val="auto"/>
                      <w:lang w:val="en-US" w:eastAsia="zh-CN"/>
                    </w:rPr>
                    <w:t>1</w:t>
                  </w:r>
                  <w:r>
                    <w:rPr>
                      <w:rFonts w:hint="default" w:ascii="Times New Roman" w:hAnsi="Times New Roman"/>
                      <w:color w:val="auto"/>
                      <w:lang w:val="en-US" w:eastAsia="zh-CN"/>
                    </w:rPr>
                    <w:t>0</w:t>
                  </w:r>
                </w:p>
              </w:tc>
              <w:tc>
                <w:tcPr>
                  <w:tcW w:w="668" w:type="pct"/>
                  <w:tcBorders>
                    <w:tl2br w:val="nil"/>
                    <w:tr2bl w:val="nil"/>
                  </w:tcBorders>
                  <w:noWrap w:val="0"/>
                  <w:vAlign w:val="center"/>
                </w:tcPr>
                <w:p w14:paraId="7C62D3A1">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eastAsia" w:ascii="Times New Roman" w:hAnsi="Times New Roman"/>
                      <w:color w:val="auto"/>
                      <w:lang w:val="en-US" w:eastAsia="zh-CN"/>
                    </w:rPr>
                    <w:t>1</w:t>
                  </w:r>
                  <w:r>
                    <w:rPr>
                      <w:rFonts w:hint="default" w:ascii="Times New Roman" w:hAnsi="Times New Roman"/>
                      <w:color w:val="auto"/>
                      <w:lang w:val="en-US" w:eastAsia="zh-CN"/>
                    </w:rPr>
                    <w:t>0</w:t>
                  </w:r>
                </w:p>
              </w:tc>
              <w:tc>
                <w:tcPr>
                  <w:tcW w:w="608" w:type="pct"/>
                  <w:tcBorders>
                    <w:tl2br w:val="nil"/>
                    <w:tr2bl w:val="nil"/>
                  </w:tcBorders>
                  <w:noWrap w:val="0"/>
                  <w:vAlign w:val="center"/>
                </w:tcPr>
                <w:p w14:paraId="46FC3A79">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eastAsia" w:ascii="Times New Roman" w:hAnsi="Times New Roman"/>
                      <w:color w:val="auto"/>
                      <w:lang w:val="en-US" w:eastAsia="zh-CN"/>
                    </w:rPr>
                    <w:t>5</w:t>
                  </w:r>
                  <w:r>
                    <w:rPr>
                      <w:rFonts w:hint="eastAsia"/>
                      <w:color w:val="auto"/>
                      <w:lang w:val="en-US" w:eastAsia="zh-CN"/>
                    </w:rPr>
                    <w:t>(</w:t>
                  </w:r>
                  <w:r>
                    <w:rPr>
                      <w:rFonts w:hint="eastAsia" w:ascii="Times New Roman" w:hAnsi="Times New Roman"/>
                      <w:color w:val="auto"/>
                      <w:lang w:val="en-US" w:eastAsia="zh-CN"/>
                    </w:rPr>
                    <w:t>8</w:t>
                  </w:r>
                  <w:r>
                    <w:rPr>
                      <w:rFonts w:hint="eastAsia"/>
                      <w:color w:val="auto"/>
                      <w:lang w:val="en-US" w:eastAsia="zh-CN"/>
                    </w:rPr>
                    <w:t>)</w:t>
                  </w:r>
                </w:p>
              </w:tc>
              <w:tc>
                <w:tcPr>
                  <w:tcW w:w="608" w:type="pct"/>
                  <w:tcBorders>
                    <w:tl2br w:val="nil"/>
                    <w:tr2bl w:val="nil"/>
                  </w:tcBorders>
                  <w:noWrap w:val="0"/>
                  <w:vAlign w:val="center"/>
                </w:tcPr>
                <w:p w14:paraId="147C1CF5">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eastAsia" w:ascii="Times New Roman" w:hAnsi="Times New Roman"/>
                      <w:color w:val="auto"/>
                      <w:lang w:val="en-US" w:eastAsia="zh-CN"/>
                    </w:rPr>
                    <w:t>15</w:t>
                  </w:r>
                </w:p>
              </w:tc>
              <w:tc>
                <w:tcPr>
                  <w:tcW w:w="639" w:type="pct"/>
                  <w:tcBorders>
                    <w:tl2br w:val="nil"/>
                    <w:tr2bl w:val="nil"/>
                  </w:tcBorders>
                  <w:noWrap w:val="0"/>
                  <w:vAlign w:val="center"/>
                </w:tcPr>
                <w:p w14:paraId="36E1AC5B">
                  <w:pPr>
                    <w:pStyle w:val="28"/>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eastAsia" w:ascii="Times New Roman" w:hAnsi="Times New Roman"/>
                      <w:color w:val="auto"/>
                      <w:lang w:val="en-US" w:eastAsia="zh-CN"/>
                    </w:rPr>
                    <w:t>0.5</w:t>
                  </w:r>
                </w:p>
              </w:tc>
            </w:tr>
            <w:tr w14:paraId="458179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000" w:type="pct"/>
                  <w:gridSpan w:val="8"/>
                  <w:tcBorders>
                    <w:tl2br w:val="nil"/>
                    <w:tr2bl w:val="nil"/>
                  </w:tcBorders>
                  <w:noWrap w:val="0"/>
                  <w:vAlign w:val="center"/>
                </w:tcPr>
                <w:p w14:paraId="3237EDF9">
                  <w:pPr>
                    <w:keepNext w:val="0"/>
                    <w:keepLines w:val="0"/>
                    <w:pageBreakBefore w:val="0"/>
                    <w:widowControl/>
                    <w:suppressLineNumbers w:val="0"/>
                    <w:kinsoku/>
                    <w:wordWrap/>
                    <w:overflowPunct/>
                    <w:topLinePunct w:val="0"/>
                    <w:autoSpaceDE/>
                    <w:autoSpaceDN/>
                    <w:bidi w:val="0"/>
                    <w:jc w:val="left"/>
                    <w:textAlignment w:val="auto"/>
                    <w:rPr>
                      <w:rFonts w:hint="eastAsia" w:ascii="Times New Roman" w:hAnsi="Times New Roman"/>
                      <w:color w:val="auto"/>
                      <w:lang w:val="en-US" w:eastAsia="zh-CN"/>
                    </w:rPr>
                  </w:pPr>
                  <w:r>
                    <w:rPr>
                      <w:rFonts w:hint="eastAsia" w:ascii="宋体" w:hAnsi="宋体" w:eastAsia="宋体" w:cs="宋体"/>
                      <w:color w:val="auto"/>
                      <w:kern w:val="0"/>
                      <w:sz w:val="19"/>
                      <w:szCs w:val="19"/>
                      <w:lang w:val="en-US" w:eastAsia="zh-CN" w:bidi="ar"/>
                    </w:rPr>
                    <w:t>注：括号外数值为水温＞</w:t>
                  </w:r>
                  <w:r>
                    <w:rPr>
                      <w:rFonts w:hint="default" w:ascii="Times New Roman" w:hAnsi="Times New Roman" w:eastAsia="宋体" w:cs="Times New Roman"/>
                      <w:color w:val="auto"/>
                      <w:kern w:val="0"/>
                      <w:sz w:val="19"/>
                      <w:szCs w:val="19"/>
                      <w:lang w:val="en-US" w:eastAsia="zh-CN" w:bidi="ar"/>
                    </w:rPr>
                    <w:t>12℃</w:t>
                  </w:r>
                  <w:r>
                    <w:rPr>
                      <w:rFonts w:hint="eastAsia" w:ascii="宋体" w:hAnsi="宋体" w:eastAsia="宋体" w:cs="宋体"/>
                      <w:color w:val="auto"/>
                      <w:kern w:val="0"/>
                      <w:sz w:val="19"/>
                      <w:szCs w:val="19"/>
                      <w:lang w:val="en-US" w:eastAsia="zh-CN" w:bidi="ar"/>
                    </w:rPr>
                    <w:t>时的控制指标，括号内数值为水温</w:t>
                  </w:r>
                  <w:r>
                    <w:rPr>
                      <w:rFonts w:hint="default" w:ascii="Times New Roman" w:hAnsi="Times New Roman" w:eastAsia="宋体" w:cs="Times New Roman"/>
                      <w:color w:val="auto"/>
                      <w:kern w:val="0"/>
                      <w:sz w:val="19"/>
                      <w:szCs w:val="19"/>
                      <w:lang w:val="en-US" w:eastAsia="zh-CN" w:bidi="ar"/>
                    </w:rPr>
                    <w:t>≤12℃</w:t>
                  </w:r>
                  <w:r>
                    <w:rPr>
                      <w:rFonts w:hint="eastAsia" w:ascii="宋体" w:hAnsi="宋体" w:eastAsia="宋体" w:cs="宋体"/>
                      <w:color w:val="auto"/>
                      <w:kern w:val="0"/>
                      <w:sz w:val="19"/>
                      <w:szCs w:val="19"/>
                      <w:lang w:val="en-US" w:eastAsia="zh-CN" w:bidi="ar"/>
                    </w:rPr>
                    <w:t>时的控制指标</w:t>
                  </w:r>
                </w:p>
              </w:tc>
            </w:tr>
          </w:tbl>
          <w:p w14:paraId="587EA652">
            <w:pPr>
              <w:pStyle w:val="25"/>
              <w:bidi w:val="0"/>
              <w:rPr>
                <w:rFonts w:hint="eastAsia" w:ascii="Times New Roman" w:hAnsi="Times New Roman"/>
                <w:color w:val="auto"/>
                <w:lang w:val="en-US" w:eastAsia="zh-CN"/>
              </w:rPr>
            </w:pPr>
            <w:r>
              <w:rPr>
                <w:rFonts w:hint="eastAsia"/>
                <w:color w:val="auto"/>
                <w:lang w:val="en-US" w:eastAsia="zh-CN"/>
              </w:rPr>
              <w:t>Ⅱ</w:t>
            </w:r>
            <w:r>
              <w:rPr>
                <w:rFonts w:hint="eastAsia" w:ascii="Times New Roman" w:hAnsi="Times New Roman"/>
                <w:color w:val="auto"/>
                <w:lang w:val="en-US" w:eastAsia="zh-CN"/>
              </w:rPr>
              <w:t>、处理工艺</w:t>
            </w:r>
          </w:p>
          <w:p w14:paraId="51D04879">
            <w:pPr>
              <w:pStyle w:val="25"/>
              <w:bidi w:val="0"/>
              <w:rPr>
                <w:rFonts w:hint="default" w:ascii="Times New Roman" w:hAnsi="Times New Roman"/>
                <w:color w:val="auto"/>
                <w:lang w:val="en-US" w:eastAsia="zh-CN"/>
              </w:rPr>
            </w:pPr>
            <w:r>
              <w:rPr>
                <w:rFonts w:hint="eastAsia" w:ascii="Times New Roman" w:hAnsi="Times New Roman"/>
                <w:color w:val="auto"/>
                <w:lang w:val="en-US" w:eastAsia="zh-CN"/>
              </w:rPr>
              <w:t>大学城污水处理厂废水处理工艺采用“污水→粗格栅→进水泵房→细格栅→旋流沉砂池→AAO生物反应池→二沉池→高效沉淀池→滤布滤池→紫外线消毒渠”，项目污水处理工艺流程图详见图4.1-1。</w:t>
            </w:r>
          </w:p>
          <w:p w14:paraId="57DE9FE3">
            <w:pPr>
              <w:pStyle w:val="25"/>
              <w:bidi w:val="0"/>
              <w:spacing w:line="240" w:lineRule="auto"/>
              <w:ind w:firstLine="0" w:firstLineChars="0"/>
              <w:rPr>
                <w:rFonts w:hint="default" w:ascii="Times New Roman" w:hAnsi="Times New Roman"/>
                <w:color w:val="auto"/>
                <w:lang w:val="en-US" w:eastAsia="zh-CN"/>
              </w:rPr>
            </w:pPr>
            <w:r>
              <w:rPr>
                <w:rFonts w:hint="default" w:ascii="Times New Roman" w:hAnsi="Times New Roman"/>
                <w:color w:val="auto"/>
                <w:lang w:val="en-US" w:eastAsia="zh-CN"/>
              </w:rPr>
              <w:drawing>
                <wp:inline distT="0" distB="0" distL="114300" distR="114300">
                  <wp:extent cx="5189855" cy="2268855"/>
                  <wp:effectExtent l="0" t="0" r="0" b="0"/>
                  <wp:docPr id="46" name="图片 1" descr="污水处理工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 descr="污水处理工艺"/>
                          <pic:cNvPicPr>
                            <a:picLocks noChangeAspect="1"/>
                          </pic:cNvPicPr>
                        </pic:nvPicPr>
                        <pic:blipFill>
                          <a:blip r:embed="rId39"/>
                          <a:stretch>
                            <a:fillRect/>
                          </a:stretch>
                        </pic:blipFill>
                        <pic:spPr>
                          <a:xfrm>
                            <a:off x="0" y="0"/>
                            <a:ext cx="5189855" cy="2268855"/>
                          </a:xfrm>
                          <a:prstGeom prst="rect">
                            <a:avLst/>
                          </a:prstGeom>
                          <a:noFill/>
                          <a:ln>
                            <a:noFill/>
                          </a:ln>
                        </pic:spPr>
                      </pic:pic>
                    </a:graphicData>
                  </a:graphic>
                </wp:inline>
              </w:drawing>
            </w:r>
          </w:p>
          <w:p w14:paraId="338B8A01">
            <w:pPr>
              <w:pStyle w:val="24"/>
              <w:bidi w:val="0"/>
              <w:rPr>
                <w:rFonts w:hint="eastAsia" w:ascii="Times New Roman" w:hAnsi="Times New Roman"/>
                <w:color w:val="auto"/>
                <w:lang w:val="en-US" w:eastAsia="zh-CN"/>
              </w:rPr>
            </w:pPr>
            <w:r>
              <w:rPr>
                <w:rFonts w:hint="eastAsia" w:ascii="Times New Roman" w:hAnsi="Times New Roman"/>
                <w:color w:val="auto"/>
                <w:lang w:val="en-US" w:eastAsia="zh-CN"/>
              </w:rPr>
              <w:t>图4.1-1</w:t>
            </w:r>
            <w:r>
              <w:rPr>
                <w:rFonts w:hint="eastAsia"/>
                <w:color w:val="auto"/>
                <w:lang w:val="en-US" w:eastAsia="zh-CN"/>
              </w:rPr>
              <w:t xml:space="preserve">  </w:t>
            </w:r>
            <w:r>
              <w:rPr>
                <w:rFonts w:hint="eastAsia" w:ascii="Times New Roman" w:hAnsi="Times New Roman"/>
                <w:color w:val="auto"/>
                <w:lang w:val="en-US" w:eastAsia="zh-CN"/>
              </w:rPr>
              <w:t>大学城污水处理厂废水处理工艺</w:t>
            </w:r>
          </w:p>
          <w:p w14:paraId="71E0C686">
            <w:pPr>
              <w:pStyle w:val="25"/>
              <w:bidi w:val="0"/>
              <w:rPr>
                <w:rFonts w:hint="eastAsia" w:ascii="Times New Roman" w:hAnsi="Times New Roman"/>
                <w:color w:val="auto"/>
                <w:lang w:val="en-US" w:eastAsia="zh-CN"/>
              </w:rPr>
            </w:pPr>
            <w:r>
              <w:rPr>
                <w:rFonts w:hint="eastAsia" w:ascii="Times New Roman" w:hAnsi="Times New Roman"/>
                <w:color w:val="auto"/>
                <w:lang w:val="en-US" w:eastAsia="zh-CN"/>
              </w:rPr>
              <w:t>②依托可行性分析</w:t>
            </w:r>
          </w:p>
          <w:p w14:paraId="1E7ABCB3">
            <w:pPr>
              <w:pStyle w:val="25"/>
              <w:bidi w:val="0"/>
              <w:rPr>
                <w:rFonts w:hint="eastAsia" w:ascii="Times New Roman" w:hAnsi="Times New Roman"/>
                <w:color w:val="auto"/>
                <w:lang w:val="en-US" w:eastAsia="zh-CN"/>
              </w:rPr>
            </w:pPr>
            <w:r>
              <w:rPr>
                <w:rFonts w:hint="eastAsia" w:ascii="Times New Roman" w:hAnsi="Times New Roman"/>
                <w:color w:val="auto"/>
                <w:lang w:val="en-US" w:eastAsia="zh-CN"/>
              </w:rPr>
              <w:t>I</w:t>
            </w:r>
            <w:r>
              <w:rPr>
                <w:rFonts w:hint="eastAsia"/>
                <w:color w:val="auto"/>
                <w:lang w:val="en-US" w:eastAsia="zh-CN"/>
              </w:rPr>
              <w:t>.</w:t>
            </w:r>
            <w:r>
              <w:rPr>
                <w:rFonts w:hint="eastAsia" w:ascii="Times New Roman" w:hAnsi="Times New Roman"/>
                <w:color w:val="auto"/>
                <w:lang w:val="en-US" w:eastAsia="zh-CN"/>
              </w:rPr>
              <w:t>接管可行性</w:t>
            </w:r>
          </w:p>
          <w:p w14:paraId="2D0F7710">
            <w:pPr>
              <w:pStyle w:val="25"/>
              <w:bidi w:val="0"/>
              <w:rPr>
                <w:rFonts w:hint="default" w:ascii="Times New Roman" w:hAnsi="Times New Roman"/>
                <w:color w:val="auto"/>
                <w:lang w:val="en-US" w:eastAsia="zh-CN"/>
              </w:rPr>
            </w:pPr>
            <w:r>
              <w:rPr>
                <w:rFonts w:hint="default" w:ascii="Times New Roman" w:hAnsi="Times New Roman"/>
                <w:color w:val="auto"/>
                <w:lang w:val="en-US" w:eastAsia="zh-CN"/>
              </w:rPr>
              <w:t>根据《</w:t>
            </w:r>
            <w:r>
              <w:rPr>
                <w:rFonts w:hint="eastAsia"/>
                <w:color w:val="auto"/>
                <w:lang w:val="en-US" w:eastAsia="zh-CN"/>
              </w:rPr>
              <w:t>福州市闽侯县大学城污水处理厂四期工程（厂内工程第一阶段）项目</w:t>
            </w:r>
            <w:r>
              <w:rPr>
                <w:rFonts w:hint="default" w:ascii="Times New Roman" w:hAnsi="Times New Roman"/>
                <w:color w:val="auto"/>
                <w:lang w:val="en-US" w:eastAsia="zh-CN"/>
              </w:rPr>
              <w:t>》可知</w:t>
            </w:r>
            <w:r>
              <w:rPr>
                <w:rFonts w:hint="eastAsia" w:ascii="Times New Roman" w:hAnsi="Times New Roman"/>
                <w:color w:val="auto"/>
                <w:lang w:val="en-US" w:eastAsia="zh-CN"/>
              </w:rPr>
              <w:t>，大学城污水处理厂服务范围包括上街镇区、大学城和南屿片区等，总服务面积为88km</w:t>
            </w:r>
            <w:r>
              <w:rPr>
                <w:rFonts w:hint="eastAsia" w:ascii="Times New Roman" w:hAnsi="Times New Roman"/>
                <w:color w:val="auto"/>
                <w:vertAlign w:val="superscript"/>
                <w:lang w:val="en-US" w:eastAsia="zh-CN"/>
              </w:rPr>
              <w:t>2</w:t>
            </w:r>
            <w:r>
              <w:rPr>
                <w:rFonts w:hint="eastAsia" w:ascii="Times New Roman" w:hAnsi="Times New Roman"/>
                <w:color w:val="auto"/>
                <w:lang w:val="en-US" w:eastAsia="zh-CN"/>
              </w:rPr>
              <w:t>，服务范围内人口预测为近期55万人、远期72万人。本项目位于南屿片区，在大学城污水处理厂的服务范围内，目前项目周边污水管网已经接到项目所在区域，污水汇集后通过厂区外敷设的污水干管进入污水处理厂处理。</w:t>
            </w:r>
          </w:p>
          <w:p w14:paraId="1D4607EB">
            <w:pPr>
              <w:pStyle w:val="25"/>
              <w:bidi w:val="0"/>
              <w:rPr>
                <w:rFonts w:hint="eastAsia" w:ascii="Times New Roman" w:hAnsi="Times New Roman"/>
                <w:color w:val="auto"/>
                <w:lang w:val="en-US" w:eastAsia="zh-CN"/>
              </w:rPr>
            </w:pPr>
            <w:r>
              <w:rPr>
                <w:rFonts w:hint="eastAsia"/>
                <w:color w:val="auto"/>
                <w:lang w:val="en-US" w:eastAsia="zh-CN"/>
              </w:rPr>
              <w:t>Ⅱ</w:t>
            </w:r>
            <w:r>
              <w:rPr>
                <w:rFonts w:hint="eastAsia" w:ascii="Times New Roman" w:hAnsi="Times New Roman"/>
                <w:color w:val="auto"/>
                <w:lang w:val="en-US" w:eastAsia="zh-CN"/>
              </w:rPr>
              <w:t>、水质负荷</w:t>
            </w:r>
          </w:p>
          <w:p w14:paraId="47B4D044">
            <w:pPr>
              <w:pStyle w:val="25"/>
              <w:bidi w:val="0"/>
              <w:rPr>
                <w:rFonts w:hint="default" w:ascii="Times New Roman" w:hAnsi="Times New Roman" w:eastAsia="宋体" w:cs="宋体"/>
                <w:color w:val="auto"/>
                <w:lang w:val="en-US" w:eastAsia="zh-CN"/>
              </w:rPr>
            </w:pPr>
            <w:r>
              <w:rPr>
                <w:rFonts w:hint="default" w:ascii="Times New Roman" w:hAnsi="Times New Roman"/>
                <w:color w:val="auto"/>
                <w:lang w:val="en-US" w:eastAsia="zh-CN"/>
              </w:rPr>
              <w:t>生活污水经化粪池处理达标后排入市政管网，纳入大学城污水处理厂；抛光、</w:t>
            </w:r>
            <w:r>
              <w:rPr>
                <w:rFonts w:hint="eastAsia"/>
                <w:color w:val="auto"/>
                <w:lang w:val="en-US" w:eastAsia="zh-CN"/>
              </w:rPr>
              <w:t>铣磨</w:t>
            </w:r>
            <w:r>
              <w:rPr>
                <w:rFonts w:hint="default" w:ascii="Times New Roman" w:hAnsi="Times New Roman"/>
                <w:color w:val="auto"/>
                <w:lang w:val="en-US" w:eastAsia="zh-CN"/>
              </w:rPr>
              <w:t>废水经过</w:t>
            </w:r>
            <w:r>
              <w:rPr>
                <w:rFonts w:hint="eastAsia" w:ascii="Times New Roman" w:hAnsi="Times New Roman"/>
                <w:color w:val="auto"/>
                <w:lang w:val="en-US" w:eastAsia="zh-CN"/>
              </w:rPr>
              <w:t>沉淀池</w:t>
            </w:r>
            <w:r>
              <w:rPr>
                <w:rFonts w:hint="default" w:ascii="Times New Roman" w:hAnsi="Times New Roman"/>
                <w:color w:val="auto"/>
                <w:lang w:val="en-US" w:eastAsia="zh-CN"/>
              </w:rPr>
              <w:t>二次沉淀后进入调节池，再经过废水处理设施处理达标后排入市政管网，纳入大学城污水处理厂；药水槽废水进入调节池，再经过废水处理设施处理达标后排入市政管网，纳入大学城污水处理厂；纯水槽的</w:t>
            </w:r>
            <w:r>
              <w:rPr>
                <w:rFonts w:hint="eastAsia" w:ascii="Times New Roman" w:hAnsi="Times New Roman"/>
                <w:color w:val="auto"/>
                <w:lang w:val="en-US" w:eastAsia="zh-CN"/>
              </w:rPr>
              <w:t>纯净废</w:t>
            </w:r>
            <w:r>
              <w:rPr>
                <w:rFonts w:hint="default" w:ascii="Times New Roman" w:hAnsi="Times New Roman"/>
                <w:color w:val="auto"/>
                <w:lang w:val="en-US" w:eastAsia="zh-CN"/>
              </w:rPr>
              <w:t>水与</w:t>
            </w:r>
            <w:r>
              <w:rPr>
                <w:rFonts w:hint="eastAsia" w:ascii="Times New Roman" w:hAnsi="Times New Roman"/>
                <w:color w:val="auto"/>
                <w:lang w:val="en-US" w:eastAsia="zh-CN"/>
              </w:rPr>
              <w:t>纯水制备的非纯净</w:t>
            </w:r>
            <w:r>
              <w:rPr>
                <w:rFonts w:hint="default" w:ascii="Times New Roman" w:hAnsi="Times New Roman"/>
                <w:color w:val="auto"/>
                <w:lang w:val="en-US" w:eastAsia="zh-CN"/>
              </w:rPr>
              <w:t>废水直接排入市政管网，纳入大学城污水处理厂</w:t>
            </w:r>
            <w:r>
              <w:rPr>
                <w:rFonts w:hint="eastAsia" w:ascii="Times New Roman" w:hAnsi="Times New Roman"/>
                <w:color w:val="auto"/>
                <w:lang w:val="en-US" w:eastAsia="zh-CN"/>
              </w:rPr>
              <w:t>。</w:t>
            </w:r>
            <w:r>
              <w:rPr>
                <w:rFonts w:hint="default" w:ascii="Times New Roman" w:hAnsi="Times New Roman" w:eastAsia="宋体" w:cs="宋体"/>
                <w:color w:val="auto"/>
                <w:lang w:val="en-US" w:eastAsia="zh-CN"/>
              </w:rPr>
              <w:t>根据</w:t>
            </w:r>
            <w:r>
              <w:rPr>
                <w:rFonts w:hint="eastAsia" w:ascii="Times New Roman" w:hAnsi="Times New Roman" w:eastAsia="宋体" w:cs="宋体"/>
                <w:color w:val="auto"/>
                <w:lang w:val="en-US" w:eastAsia="zh-CN"/>
              </w:rPr>
              <w:t>前文</w:t>
            </w:r>
            <w:r>
              <w:rPr>
                <w:rFonts w:hint="default" w:ascii="Times New Roman" w:hAnsi="Times New Roman" w:eastAsia="宋体" w:cs="宋体"/>
                <w:color w:val="auto"/>
                <w:lang w:val="en-US" w:eastAsia="zh-CN"/>
              </w:rPr>
              <w:t>工程分析预测可知，项目综合废水排入市政污水管网内污染物排放浓度情况表4.</w:t>
            </w:r>
            <w:r>
              <w:rPr>
                <w:rFonts w:hint="eastAsia" w:ascii="Times New Roman" w:hAnsi="Times New Roman" w:eastAsia="宋体" w:cs="宋体"/>
                <w:color w:val="auto"/>
                <w:lang w:val="en-US" w:eastAsia="zh-CN"/>
              </w:rPr>
              <w:t>1</w:t>
            </w:r>
            <w:r>
              <w:rPr>
                <w:rFonts w:hint="default" w:ascii="Times New Roman" w:hAnsi="Times New Roman" w:eastAsia="宋体" w:cs="宋体"/>
                <w:color w:val="auto"/>
                <w:lang w:val="en-US" w:eastAsia="zh-CN"/>
              </w:rPr>
              <w:t>-</w:t>
            </w:r>
            <w:r>
              <w:rPr>
                <w:rFonts w:hint="eastAsia" w:cs="宋体"/>
                <w:color w:val="auto"/>
                <w:lang w:val="en-US" w:eastAsia="zh-CN"/>
              </w:rPr>
              <w:t>5</w:t>
            </w:r>
            <w:r>
              <w:rPr>
                <w:rFonts w:hint="default" w:ascii="Times New Roman" w:hAnsi="Times New Roman" w:eastAsia="宋体" w:cs="宋体"/>
                <w:color w:val="auto"/>
                <w:lang w:val="en-US" w:eastAsia="zh-CN"/>
              </w:rPr>
              <w:t>。</w:t>
            </w:r>
          </w:p>
          <w:p w14:paraId="0D96EE00">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表4.1-</w:t>
            </w:r>
            <w:r>
              <w:rPr>
                <w:rFonts w:hint="eastAsia" w:cs="Times New Roman"/>
                <w:b/>
                <w:color w:val="auto"/>
                <w:kern w:val="0"/>
                <w:sz w:val="24"/>
                <w:szCs w:val="20"/>
                <w:lang w:val="en-US" w:eastAsia="zh-CN" w:bidi="ar-SA"/>
              </w:rPr>
              <w:t xml:space="preserve">5  </w:t>
            </w:r>
            <w:r>
              <w:rPr>
                <w:rFonts w:hint="eastAsia" w:ascii="Times New Roman" w:hAnsi="Times New Roman" w:eastAsia="宋体" w:cs="Times New Roman"/>
                <w:b/>
                <w:color w:val="auto"/>
                <w:kern w:val="0"/>
                <w:sz w:val="24"/>
                <w:szCs w:val="20"/>
                <w:lang w:val="en-US" w:eastAsia="zh-CN" w:bidi="ar-SA"/>
              </w:rPr>
              <w:t>本项目废水总排口排放情况一览表</w:t>
            </w:r>
          </w:p>
          <w:tbl>
            <w:tblPr>
              <w:tblStyle w:val="1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32"/>
              <w:gridCol w:w="1633"/>
              <w:gridCol w:w="1635"/>
              <w:gridCol w:w="1635"/>
              <w:gridCol w:w="1635"/>
            </w:tblGrid>
            <w:tr w14:paraId="32E0AA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8" w:type="pct"/>
                  <w:tcBorders>
                    <w:tl2br w:val="nil"/>
                    <w:tr2bl w:val="nil"/>
                  </w:tcBorders>
                  <w:noWrap w:val="0"/>
                  <w:vAlign w:val="center"/>
                </w:tcPr>
                <w:p w14:paraId="590F724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污染物种类</w:t>
                  </w:r>
                </w:p>
              </w:tc>
              <w:tc>
                <w:tcPr>
                  <w:tcW w:w="999" w:type="pct"/>
                  <w:tcBorders>
                    <w:tl2br w:val="nil"/>
                    <w:tr2bl w:val="nil"/>
                  </w:tcBorders>
                  <w:noWrap w:val="0"/>
                  <w:vAlign w:val="center"/>
                </w:tcPr>
                <w:p w14:paraId="6A26E0F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排放浓度</w:t>
                  </w:r>
                  <w:r>
                    <w:rPr>
                      <w:rFonts w:hint="eastAsia" w:cs="Times New Roman"/>
                      <w:color w:val="auto"/>
                      <w:kern w:val="0"/>
                      <w:sz w:val="21"/>
                      <w:szCs w:val="20"/>
                      <w:lang w:val="en-US" w:eastAsia="zh-CN" w:bidi="ar-SA"/>
                    </w:rPr>
                    <w:t>（</w:t>
                  </w:r>
                  <w:r>
                    <w:rPr>
                      <w:rFonts w:hint="default" w:ascii="Times New Roman" w:hAnsi="Times New Roman" w:eastAsia="宋体" w:cs="Times New Roman"/>
                      <w:color w:val="auto"/>
                      <w:kern w:val="0"/>
                      <w:sz w:val="21"/>
                      <w:szCs w:val="20"/>
                      <w:lang w:val="en-US" w:eastAsia="zh-CN" w:bidi="ar-SA"/>
                    </w:rPr>
                    <w:t>mg/L</w:t>
                  </w:r>
                  <w:r>
                    <w:rPr>
                      <w:rFonts w:hint="eastAsia" w:cs="Times New Roman"/>
                      <w:color w:val="auto"/>
                      <w:kern w:val="0"/>
                      <w:sz w:val="21"/>
                      <w:szCs w:val="20"/>
                      <w:lang w:val="en-US" w:eastAsia="zh-CN" w:bidi="ar-SA"/>
                    </w:rPr>
                    <w:t>）</w:t>
                  </w:r>
                </w:p>
              </w:tc>
              <w:tc>
                <w:tcPr>
                  <w:tcW w:w="1000" w:type="pct"/>
                  <w:tcBorders>
                    <w:tl2br w:val="nil"/>
                    <w:tr2bl w:val="nil"/>
                  </w:tcBorders>
                  <w:noWrap w:val="0"/>
                  <w:vAlign w:val="center"/>
                </w:tcPr>
                <w:p w14:paraId="276AE41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允许排放标准</w:t>
                  </w:r>
                  <w:r>
                    <w:rPr>
                      <w:rFonts w:hint="eastAsia" w:cs="Times New Roman"/>
                      <w:color w:val="auto"/>
                      <w:kern w:val="0"/>
                      <w:sz w:val="21"/>
                      <w:szCs w:val="20"/>
                      <w:lang w:val="en-US" w:eastAsia="zh-CN" w:bidi="ar-SA"/>
                    </w:rPr>
                    <w:t>（</w:t>
                  </w:r>
                  <w:r>
                    <w:rPr>
                      <w:rFonts w:hint="default" w:ascii="Times New Roman" w:hAnsi="Times New Roman" w:eastAsia="宋体" w:cs="Times New Roman"/>
                      <w:color w:val="auto"/>
                      <w:kern w:val="0"/>
                      <w:sz w:val="21"/>
                      <w:szCs w:val="20"/>
                      <w:lang w:val="en-US" w:eastAsia="zh-CN" w:bidi="ar-SA"/>
                    </w:rPr>
                    <w:t>mg/L</w:t>
                  </w:r>
                  <w:r>
                    <w:rPr>
                      <w:rFonts w:hint="eastAsia" w:cs="Times New Roman"/>
                      <w:color w:val="auto"/>
                      <w:kern w:val="0"/>
                      <w:sz w:val="21"/>
                      <w:szCs w:val="20"/>
                      <w:lang w:val="en-US" w:eastAsia="zh-CN" w:bidi="ar-SA"/>
                    </w:rPr>
                    <w:t>）</w:t>
                  </w:r>
                </w:p>
              </w:tc>
              <w:tc>
                <w:tcPr>
                  <w:tcW w:w="1000" w:type="pct"/>
                  <w:tcBorders>
                    <w:tl2br w:val="nil"/>
                    <w:tr2bl w:val="nil"/>
                  </w:tcBorders>
                  <w:noWrap w:val="0"/>
                  <w:vAlign w:val="center"/>
                </w:tcPr>
                <w:p w14:paraId="144407A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污水处理厂</w:t>
                  </w:r>
                  <w:r>
                    <w:rPr>
                      <w:rFonts w:hint="default" w:ascii="Times New Roman" w:hAnsi="Times New Roman" w:eastAsia="宋体" w:cs="Times New Roman"/>
                      <w:color w:val="auto"/>
                      <w:kern w:val="0"/>
                      <w:sz w:val="21"/>
                      <w:szCs w:val="20"/>
                      <w:lang w:val="en-US" w:eastAsia="zh-CN" w:bidi="ar-SA"/>
                    </w:rPr>
                    <w:t>进水水质</w:t>
                  </w:r>
                  <w:r>
                    <w:rPr>
                      <w:rFonts w:hint="eastAsia" w:cs="Times New Roman"/>
                      <w:color w:val="auto"/>
                      <w:kern w:val="0"/>
                      <w:sz w:val="21"/>
                      <w:szCs w:val="20"/>
                      <w:lang w:val="en-US" w:eastAsia="zh-CN" w:bidi="ar-SA"/>
                    </w:rPr>
                    <w:t>（</w:t>
                  </w:r>
                  <w:r>
                    <w:rPr>
                      <w:rFonts w:hint="default" w:ascii="Times New Roman" w:hAnsi="Times New Roman" w:eastAsia="宋体" w:cs="Times New Roman"/>
                      <w:color w:val="auto"/>
                      <w:kern w:val="0"/>
                      <w:sz w:val="21"/>
                      <w:szCs w:val="20"/>
                      <w:lang w:val="en-US" w:eastAsia="zh-CN" w:bidi="ar-SA"/>
                    </w:rPr>
                    <w:t>mg/L</w:t>
                  </w:r>
                  <w:r>
                    <w:rPr>
                      <w:rFonts w:hint="eastAsia" w:cs="Times New Roman"/>
                      <w:color w:val="auto"/>
                      <w:kern w:val="0"/>
                      <w:sz w:val="21"/>
                      <w:szCs w:val="20"/>
                      <w:lang w:val="en-US" w:eastAsia="zh-CN" w:bidi="ar-SA"/>
                    </w:rPr>
                    <w:t>）</w:t>
                  </w:r>
                </w:p>
              </w:tc>
              <w:tc>
                <w:tcPr>
                  <w:tcW w:w="1000" w:type="pct"/>
                  <w:tcBorders>
                    <w:tl2br w:val="nil"/>
                    <w:tr2bl w:val="nil"/>
                  </w:tcBorders>
                  <w:noWrap w:val="0"/>
                  <w:vAlign w:val="center"/>
                </w:tcPr>
                <w:p w14:paraId="2E61687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达标情况</w:t>
                  </w:r>
                </w:p>
              </w:tc>
            </w:tr>
            <w:tr w14:paraId="62D08C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8" w:type="pct"/>
                  <w:tcBorders>
                    <w:tl2br w:val="nil"/>
                    <w:tr2bl w:val="nil"/>
                  </w:tcBorders>
                  <w:noWrap w:val="0"/>
                  <w:vAlign w:val="center"/>
                </w:tcPr>
                <w:p w14:paraId="0875287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pH</w:t>
                  </w:r>
                </w:p>
              </w:tc>
              <w:tc>
                <w:tcPr>
                  <w:tcW w:w="999" w:type="pct"/>
                  <w:tcBorders>
                    <w:tl2br w:val="nil"/>
                    <w:tr2bl w:val="nil"/>
                  </w:tcBorders>
                  <w:noWrap w:val="0"/>
                  <w:vAlign w:val="center"/>
                </w:tcPr>
                <w:p w14:paraId="200F61A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6-9</w:t>
                  </w:r>
                </w:p>
              </w:tc>
              <w:tc>
                <w:tcPr>
                  <w:tcW w:w="1000" w:type="pct"/>
                  <w:tcBorders>
                    <w:tl2br w:val="nil"/>
                    <w:tr2bl w:val="nil"/>
                  </w:tcBorders>
                  <w:noWrap w:val="0"/>
                  <w:vAlign w:val="center"/>
                </w:tcPr>
                <w:p w14:paraId="0D8F99C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6-9</w:t>
                  </w:r>
                  <w:r>
                    <w:rPr>
                      <w:rFonts w:hint="eastAsia" w:cs="Times New Roman"/>
                      <w:color w:val="auto"/>
                      <w:kern w:val="0"/>
                      <w:sz w:val="21"/>
                      <w:szCs w:val="20"/>
                      <w:lang w:val="en-US" w:eastAsia="zh-CN" w:bidi="ar-SA"/>
                    </w:rPr>
                    <w:t>（</w:t>
                  </w:r>
                  <w:r>
                    <w:rPr>
                      <w:rFonts w:hint="eastAsia" w:ascii="Times New Roman" w:hAnsi="Times New Roman" w:eastAsia="宋体" w:cs="宋体"/>
                      <w:color w:val="auto"/>
                      <w:kern w:val="0"/>
                      <w:sz w:val="21"/>
                      <w:szCs w:val="20"/>
                      <w:lang w:val="en-US" w:eastAsia="zh-CN" w:bidi="ar-SA"/>
                    </w:rPr>
                    <w:t>无量纲</w:t>
                  </w:r>
                  <w:r>
                    <w:rPr>
                      <w:rFonts w:hint="eastAsia" w:cs="宋体"/>
                      <w:color w:val="auto"/>
                      <w:kern w:val="0"/>
                      <w:sz w:val="21"/>
                      <w:szCs w:val="20"/>
                      <w:lang w:val="en-US" w:eastAsia="zh-CN" w:bidi="ar-SA"/>
                    </w:rPr>
                    <w:t>）</w:t>
                  </w:r>
                </w:p>
              </w:tc>
              <w:tc>
                <w:tcPr>
                  <w:tcW w:w="1000" w:type="pct"/>
                  <w:tcBorders>
                    <w:tl2br w:val="nil"/>
                    <w:tr2bl w:val="nil"/>
                  </w:tcBorders>
                  <w:noWrap w:val="0"/>
                  <w:vAlign w:val="center"/>
                </w:tcPr>
                <w:p w14:paraId="084072E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6-9</w:t>
                  </w:r>
                  <w:r>
                    <w:rPr>
                      <w:rFonts w:hint="eastAsia" w:cs="Times New Roman"/>
                      <w:color w:val="auto"/>
                      <w:kern w:val="0"/>
                      <w:sz w:val="21"/>
                      <w:szCs w:val="20"/>
                      <w:lang w:val="en-US" w:eastAsia="zh-CN" w:bidi="ar-SA"/>
                    </w:rPr>
                    <w:t>（</w:t>
                  </w:r>
                  <w:r>
                    <w:rPr>
                      <w:rFonts w:hint="eastAsia" w:ascii="Times New Roman" w:hAnsi="Times New Roman" w:eastAsia="宋体" w:cs="宋体"/>
                      <w:color w:val="auto"/>
                      <w:kern w:val="0"/>
                      <w:sz w:val="21"/>
                      <w:szCs w:val="20"/>
                      <w:lang w:val="en-US" w:eastAsia="zh-CN" w:bidi="ar-SA"/>
                    </w:rPr>
                    <w:t>无量纲</w:t>
                  </w:r>
                  <w:r>
                    <w:rPr>
                      <w:rFonts w:hint="eastAsia" w:cs="宋体"/>
                      <w:color w:val="auto"/>
                      <w:kern w:val="0"/>
                      <w:sz w:val="21"/>
                      <w:szCs w:val="20"/>
                      <w:lang w:val="en-US" w:eastAsia="zh-CN" w:bidi="ar-SA"/>
                    </w:rPr>
                    <w:t>）</w:t>
                  </w:r>
                </w:p>
              </w:tc>
              <w:tc>
                <w:tcPr>
                  <w:tcW w:w="1000" w:type="pct"/>
                  <w:tcBorders>
                    <w:tl2br w:val="nil"/>
                    <w:tr2bl w:val="nil"/>
                  </w:tcBorders>
                  <w:noWrap w:val="0"/>
                  <w:vAlign w:val="center"/>
                </w:tcPr>
                <w:p w14:paraId="2D630B8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达标</w:t>
                  </w:r>
                </w:p>
              </w:tc>
            </w:tr>
            <w:tr w14:paraId="587902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8" w:type="pct"/>
                  <w:tcBorders>
                    <w:tl2br w:val="nil"/>
                    <w:tr2bl w:val="nil"/>
                  </w:tcBorders>
                  <w:noWrap w:val="0"/>
                  <w:vAlign w:val="center"/>
                </w:tcPr>
                <w:p w14:paraId="59291F6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COD</w:t>
                  </w:r>
                  <w:r>
                    <w:rPr>
                      <w:rFonts w:hint="eastAsia" w:ascii="Times New Roman" w:hAnsi="Times New Roman" w:eastAsia="宋体" w:cs="Times New Roman"/>
                      <w:color w:val="auto"/>
                      <w:kern w:val="0"/>
                      <w:sz w:val="21"/>
                      <w:szCs w:val="20"/>
                      <w:vertAlign w:val="subscript"/>
                      <w:lang w:val="en-US" w:eastAsia="zh-CN" w:bidi="ar-SA"/>
                    </w:rPr>
                    <w:t>cr</w:t>
                  </w:r>
                </w:p>
              </w:tc>
              <w:tc>
                <w:tcPr>
                  <w:tcW w:w="999" w:type="pct"/>
                  <w:tcBorders>
                    <w:tl2br w:val="nil"/>
                    <w:tr2bl w:val="nil"/>
                  </w:tcBorders>
                  <w:noWrap w:val="0"/>
                  <w:vAlign w:val="center"/>
                </w:tcPr>
                <w:p w14:paraId="3502699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72.6556</w:t>
                  </w:r>
                </w:p>
              </w:tc>
              <w:tc>
                <w:tcPr>
                  <w:tcW w:w="1000" w:type="pct"/>
                  <w:tcBorders>
                    <w:tl2br w:val="nil"/>
                    <w:tr2bl w:val="nil"/>
                  </w:tcBorders>
                  <w:noWrap w:val="0"/>
                  <w:vAlign w:val="center"/>
                </w:tcPr>
                <w:p w14:paraId="12421F6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500</w:t>
                  </w:r>
                </w:p>
              </w:tc>
              <w:tc>
                <w:tcPr>
                  <w:tcW w:w="1000" w:type="pct"/>
                  <w:tcBorders>
                    <w:tl2br w:val="nil"/>
                    <w:tr2bl w:val="nil"/>
                  </w:tcBorders>
                  <w:noWrap w:val="0"/>
                  <w:vAlign w:val="center"/>
                </w:tcPr>
                <w:p w14:paraId="2AC9771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240</w:t>
                  </w:r>
                </w:p>
              </w:tc>
              <w:tc>
                <w:tcPr>
                  <w:tcW w:w="1000" w:type="pct"/>
                  <w:tcBorders>
                    <w:tl2br w:val="nil"/>
                    <w:tr2bl w:val="nil"/>
                  </w:tcBorders>
                  <w:noWrap w:val="0"/>
                  <w:vAlign w:val="center"/>
                </w:tcPr>
                <w:p w14:paraId="2E7EB4B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达标</w:t>
                  </w:r>
                </w:p>
              </w:tc>
            </w:tr>
            <w:tr w14:paraId="72C32D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8" w:type="pct"/>
                  <w:tcBorders>
                    <w:tl2br w:val="nil"/>
                    <w:tr2bl w:val="nil"/>
                  </w:tcBorders>
                  <w:noWrap w:val="0"/>
                  <w:vAlign w:val="center"/>
                </w:tcPr>
                <w:p w14:paraId="59CD539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BOD</w:t>
                  </w:r>
                  <w:r>
                    <w:rPr>
                      <w:rFonts w:hint="default" w:ascii="Times New Roman" w:hAnsi="Times New Roman" w:eastAsia="宋体" w:cs="Times New Roman"/>
                      <w:color w:val="auto"/>
                      <w:kern w:val="0"/>
                      <w:sz w:val="21"/>
                      <w:szCs w:val="20"/>
                      <w:vertAlign w:val="subscript"/>
                      <w:lang w:val="en-US" w:eastAsia="zh-CN" w:bidi="ar-SA"/>
                    </w:rPr>
                    <w:t>5</w:t>
                  </w:r>
                </w:p>
              </w:tc>
              <w:tc>
                <w:tcPr>
                  <w:tcW w:w="999" w:type="pct"/>
                  <w:tcBorders>
                    <w:tl2br w:val="nil"/>
                    <w:tr2bl w:val="nil"/>
                  </w:tcBorders>
                  <w:noWrap w:val="0"/>
                  <w:vAlign w:val="center"/>
                </w:tcPr>
                <w:p w14:paraId="4235057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25.2715</w:t>
                  </w:r>
                </w:p>
              </w:tc>
              <w:tc>
                <w:tcPr>
                  <w:tcW w:w="1000" w:type="pct"/>
                  <w:tcBorders>
                    <w:tl2br w:val="nil"/>
                    <w:tr2bl w:val="nil"/>
                  </w:tcBorders>
                  <w:noWrap w:val="0"/>
                  <w:vAlign w:val="center"/>
                </w:tcPr>
                <w:p w14:paraId="6DBD6F4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300</w:t>
                  </w:r>
                </w:p>
              </w:tc>
              <w:tc>
                <w:tcPr>
                  <w:tcW w:w="1000" w:type="pct"/>
                  <w:tcBorders>
                    <w:tl2br w:val="nil"/>
                    <w:tr2bl w:val="nil"/>
                  </w:tcBorders>
                  <w:noWrap w:val="0"/>
                  <w:vAlign w:val="center"/>
                </w:tcPr>
                <w:p w14:paraId="72CCCD0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120</w:t>
                  </w:r>
                </w:p>
              </w:tc>
              <w:tc>
                <w:tcPr>
                  <w:tcW w:w="1000" w:type="pct"/>
                  <w:tcBorders>
                    <w:tl2br w:val="nil"/>
                    <w:tr2bl w:val="nil"/>
                  </w:tcBorders>
                  <w:noWrap w:val="0"/>
                  <w:vAlign w:val="center"/>
                </w:tcPr>
                <w:p w14:paraId="7F42FA0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达标</w:t>
                  </w:r>
                </w:p>
              </w:tc>
            </w:tr>
            <w:tr w14:paraId="60D7B5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8" w:type="pct"/>
                  <w:tcBorders>
                    <w:tl2br w:val="nil"/>
                    <w:tr2bl w:val="nil"/>
                  </w:tcBorders>
                  <w:noWrap w:val="0"/>
                  <w:vAlign w:val="center"/>
                </w:tcPr>
                <w:p w14:paraId="737544D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SS</w:t>
                  </w:r>
                </w:p>
              </w:tc>
              <w:tc>
                <w:tcPr>
                  <w:tcW w:w="999" w:type="pct"/>
                  <w:tcBorders>
                    <w:tl2br w:val="nil"/>
                    <w:tr2bl w:val="nil"/>
                  </w:tcBorders>
                  <w:noWrap w:val="0"/>
                  <w:vAlign w:val="center"/>
                </w:tcPr>
                <w:p w14:paraId="1DFA5CE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23.5784</w:t>
                  </w:r>
                </w:p>
              </w:tc>
              <w:tc>
                <w:tcPr>
                  <w:tcW w:w="1000" w:type="pct"/>
                  <w:tcBorders>
                    <w:tl2br w:val="nil"/>
                    <w:tr2bl w:val="nil"/>
                  </w:tcBorders>
                  <w:noWrap w:val="0"/>
                  <w:vAlign w:val="center"/>
                </w:tcPr>
                <w:p w14:paraId="5665635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400</w:t>
                  </w:r>
                </w:p>
              </w:tc>
              <w:tc>
                <w:tcPr>
                  <w:tcW w:w="1000" w:type="pct"/>
                  <w:tcBorders>
                    <w:tl2br w:val="nil"/>
                    <w:tr2bl w:val="nil"/>
                  </w:tcBorders>
                  <w:noWrap w:val="0"/>
                  <w:vAlign w:val="center"/>
                </w:tcPr>
                <w:p w14:paraId="339A20C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180</w:t>
                  </w:r>
                </w:p>
              </w:tc>
              <w:tc>
                <w:tcPr>
                  <w:tcW w:w="1000" w:type="pct"/>
                  <w:tcBorders>
                    <w:tl2br w:val="nil"/>
                    <w:tr2bl w:val="nil"/>
                  </w:tcBorders>
                  <w:noWrap w:val="0"/>
                  <w:vAlign w:val="center"/>
                </w:tcPr>
                <w:p w14:paraId="21CE458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达标</w:t>
                  </w:r>
                </w:p>
              </w:tc>
            </w:tr>
            <w:tr w14:paraId="1DBAC9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8" w:type="pct"/>
                  <w:tcBorders>
                    <w:tl2br w:val="nil"/>
                    <w:tr2bl w:val="nil"/>
                  </w:tcBorders>
                  <w:noWrap w:val="0"/>
                  <w:vAlign w:val="center"/>
                </w:tcPr>
                <w:p w14:paraId="3CA128A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NH</w:t>
                  </w:r>
                  <w:r>
                    <w:rPr>
                      <w:rFonts w:hint="default" w:ascii="Times New Roman" w:hAnsi="Times New Roman" w:eastAsia="宋体" w:cs="Times New Roman"/>
                      <w:color w:val="auto"/>
                      <w:kern w:val="0"/>
                      <w:sz w:val="21"/>
                      <w:szCs w:val="20"/>
                      <w:vertAlign w:val="subscript"/>
                      <w:lang w:val="en-US" w:eastAsia="zh-CN" w:bidi="ar-SA"/>
                    </w:rPr>
                    <w:t>3</w:t>
                  </w:r>
                  <w:r>
                    <w:rPr>
                      <w:rFonts w:hint="default" w:ascii="Times New Roman" w:hAnsi="Times New Roman" w:eastAsia="宋体" w:cs="Times New Roman"/>
                      <w:color w:val="auto"/>
                      <w:kern w:val="0"/>
                      <w:sz w:val="21"/>
                      <w:szCs w:val="20"/>
                      <w:lang w:val="en-US" w:eastAsia="zh-CN" w:bidi="ar-SA"/>
                    </w:rPr>
                    <w:t>-N</w:t>
                  </w:r>
                </w:p>
              </w:tc>
              <w:tc>
                <w:tcPr>
                  <w:tcW w:w="999" w:type="pct"/>
                  <w:tcBorders>
                    <w:tl2br w:val="nil"/>
                    <w:tr2bl w:val="nil"/>
                  </w:tcBorders>
                  <w:noWrap w:val="0"/>
                  <w:vAlign w:val="center"/>
                </w:tcPr>
                <w:p w14:paraId="12F0280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13.2283</w:t>
                  </w:r>
                </w:p>
              </w:tc>
              <w:tc>
                <w:tcPr>
                  <w:tcW w:w="1000" w:type="pct"/>
                  <w:tcBorders>
                    <w:tl2br w:val="nil"/>
                    <w:tr2bl w:val="nil"/>
                  </w:tcBorders>
                  <w:noWrap w:val="0"/>
                  <w:vAlign w:val="center"/>
                </w:tcPr>
                <w:p w14:paraId="5481AD3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45</w:t>
                  </w:r>
                </w:p>
              </w:tc>
              <w:tc>
                <w:tcPr>
                  <w:tcW w:w="1000" w:type="pct"/>
                  <w:tcBorders>
                    <w:tl2br w:val="nil"/>
                    <w:tr2bl w:val="nil"/>
                  </w:tcBorders>
                  <w:noWrap w:val="0"/>
                  <w:vAlign w:val="center"/>
                </w:tcPr>
                <w:p w14:paraId="0F5E7CF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30</w:t>
                  </w:r>
                </w:p>
              </w:tc>
              <w:tc>
                <w:tcPr>
                  <w:tcW w:w="1000" w:type="pct"/>
                  <w:tcBorders>
                    <w:tl2br w:val="nil"/>
                    <w:tr2bl w:val="nil"/>
                  </w:tcBorders>
                  <w:noWrap w:val="0"/>
                  <w:vAlign w:val="center"/>
                </w:tcPr>
                <w:p w14:paraId="7E4BE50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达标</w:t>
                  </w:r>
                </w:p>
              </w:tc>
            </w:tr>
          </w:tbl>
          <w:p w14:paraId="7DBE9802">
            <w:pPr>
              <w:pStyle w:val="25"/>
              <w:bidi w:val="0"/>
              <w:rPr>
                <w:rFonts w:hint="default" w:ascii="Times New Roman" w:hAnsi="Times New Roman"/>
                <w:color w:val="auto"/>
                <w:lang w:val="en-US" w:eastAsia="zh-CN"/>
              </w:rPr>
            </w:pPr>
            <w:r>
              <w:rPr>
                <w:rFonts w:hint="default" w:ascii="Times New Roman" w:hAnsi="Times New Roman"/>
                <w:color w:val="auto"/>
                <w:lang w:val="en-US" w:eastAsia="zh-CN"/>
              </w:rPr>
              <w:t>根据上表所列数据，本项目生活污水主要污染物排放浓度均能满足《污水综合排放标准》</w:t>
            </w:r>
            <w:r>
              <w:rPr>
                <w:rFonts w:hint="eastAsia" w:ascii="Times New Roman" w:hAnsi="Times New Roman"/>
                <w:color w:val="auto"/>
                <w:lang w:val="en-US" w:eastAsia="zh-CN"/>
              </w:rPr>
              <w:t>（</w:t>
            </w:r>
            <w:r>
              <w:rPr>
                <w:rFonts w:hint="default" w:ascii="Times New Roman" w:hAnsi="Times New Roman"/>
                <w:color w:val="auto"/>
                <w:lang w:val="en-US" w:eastAsia="zh-CN"/>
              </w:rPr>
              <w:t>GB8978-1996</w:t>
            </w:r>
            <w:r>
              <w:rPr>
                <w:rFonts w:hint="eastAsia" w:ascii="Times New Roman" w:hAnsi="Times New Roman"/>
                <w:color w:val="auto"/>
                <w:lang w:val="en-US" w:eastAsia="zh-CN"/>
              </w:rPr>
              <w:t>）</w:t>
            </w:r>
            <w:r>
              <w:rPr>
                <w:rFonts w:hint="default" w:ascii="Times New Roman" w:hAnsi="Times New Roman"/>
                <w:color w:val="auto"/>
                <w:lang w:val="en-US" w:eastAsia="zh-CN"/>
              </w:rPr>
              <w:t>表4三级标准及《污水排入城镇下水道水质标准》</w:t>
            </w:r>
            <w:r>
              <w:rPr>
                <w:rFonts w:hint="eastAsia" w:ascii="Times New Roman" w:hAnsi="Times New Roman"/>
                <w:color w:val="auto"/>
                <w:lang w:val="en-US" w:eastAsia="zh-CN"/>
              </w:rPr>
              <w:t>（</w:t>
            </w:r>
            <w:r>
              <w:rPr>
                <w:rFonts w:hint="default" w:ascii="Times New Roman" w:hAnsi="Times New Roman"/>
                <w:color w:val="auto"/>
                <w:lang w:val="en-US" w:eastAsia="zh-CN"/>
              </w:rPr>
              <w:t>GB/T 31962-2015</w:t>
            </w:r>
            <w:r>
              <w:rPr>
                <w:rFonts w:hint="eastAsia" w:ascii="Times New Roman" w:hAnsi="Times New Roman"/>
                <w:color w:val="auto"/>
                <w:lang w:val="en-US" w:eastAsia="zh-CN"/>
              </w:rPr>
              <w:t>）</w:t>
            </w:r>
            <w:r>
              <w:rPr>
                <w:rFonts w:hint="default" w:ascii="Times New Roman" w:hAnsi="Times New Roman"/>
                <w:color w:val="auto"/>
                <w:lang w:val="en-US" w:eastAsia="zh-CN"/>
              </w:rPr>
              <w:t>表1中B级标准限值，也可以符合</w:t>
            </w:r>
            <w:r>
              <w:rPr>
                <w:rFonts w:hint="eastAsia"/>
                <w:color w:val="auto"/>
                <w:lang w:val="en-US" w:eastAsia="zh-CN"/>
              </w:rPr>
              <w:t>污水处理厂</w:t>
            </w:r>
            <w:r>
              <w:rPr>
                <w:rFonts w:hint="default" w:ascii="Times New Roman" w:hAnsi="Times New Roman"/>
                <w:color w:val="auto"/>
                <w:lang w:val="en-US" w:eastAsia="zh-CN"/>
              </w:rPr>
              <w:t>进水水质要求。</w:t>
            </w:r>
          </w:p>
          <w:p w14:paraId="43D0576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项目生活污水不涉及有毒有害污染物，不涉及持久性、重金属，也不含有腐蚀成分，因此，从水质方面分析，</w:t>
            </w:r>
            <w:r>
              <w:rPr>
                <w:rFonts w:hint="eastAsia" w:ascii="Times New Roman" w:hAnsi="Times New Roman" w:eastAsia="宋体" w:cs="宋体"/>
                <w:color w:val="auto"/>
                <w:kern w:val="2"/>
                <w:sz w:val="24"/>
                <w:szCs w:val="24"/>
                <w:lang w:val="en-US" w:eastAsia="zh-CN" w:bidi="ar-SA"/>
              </w:rPr>
              <w:t>大学城</w:t>
            </w:r>
            <w:r>
              <w:rPr>
                <w:rFonts w:hint="default" w:ascii="Times New Roman" w:hAnsi="Times New Roman" w:eastAsia="宋体" w:cs="宋体"/>
                <w:color w:val="auto"/>
                <w:kern w:val="2"/>
                <w:sz w:val="24"/>
                <w:szCs w:val="24"/>
                <w:lang w:val="en-US" w:eastAsia="zh-CN" w:bidi="ar-SA"/>
              </w:rPr>
              <w:t>处理厂可接纳项目</w:t>
            </w:r>
            <w:r>
              <w:rPr>
                <w:rFonts w:hint="eastAsia" w:ascii="Times New Roman" w:hAnsi="Times New Roman" w:eastAsia="宋体" w:cs="宋体"/>
                <w:color w:val="auto"/>
                <w:kern w:val="2"/>
                <w:sz w:val="24"/>
                <w:szCs w:val="24"/>
                <w:lang w:val="en-US" w:eastAsia="zh-CN" w:bidi="ar-SA"/>
              </w:rPr>
              <w:t>废水</w:t>
            </w:r>
            <w:r>
              <w:rPr>
                <w:rFonts w:hint="default" w:ascii="Times New Roman" w:hAnsi="Times New Roman" w:eastAsia="宋体" w:cs="宋体"/>
                <w:color w:val="auto"/>
                <w:kern w:val="2"/>
                <w:sz w:val="24"/>
                <w:szCs w:val="24"/>
                <w:lang w:val="en-US" w:eastAsia="zh-CN" w:bidi="ar-SA"/>
              </w:rPr>
              <w:t>，不会对</w:t>
            </w:r>
            <w:r>
              <w:rPr>
                <w:rFonts w:hint="eastAsia" w:cs="宋体"/>
                <w:color w:val="auto"/>
                <w:kern w:val="2"/>
                <w:sz w:val="24"/>
                <w:szCs w:val="24"/>
                <w:lang w:val="en-US" w:eastAsia="zh-CN" w:bidi="ar-SA"/>
              </w:rPr>
              <w:t>污水处理厂</w:t>
            </w:r>
            <w:r>
              <w:rPr>
                <w:rFonts w:hint="default" w:ascii="Times New Roman" w:hAnsi="Times New Roman" w:eastAsia="宋体" w:cs="宋体"/>
                <w:color w:val="auto"/>
                <w:kern w:val="2"/>
                <w:sz w:val="24"/>
                <w:szCs w:val="24"/>
                <w:lang w:val="en-US" w:eastAsia="zh-CN" w:bidi="ar-SA"/>
              </w:rPr>
              <w:t>水质负荷造成冲击。</w:t>
            </w:r>
          </w:p>
          <w:p w14:paraId="5788170E">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cs="宋体"/>
                <w:color w:val="auto"/>
                <w:kern w:val="2"/>
                <w:sz w:val="24"/>
                <w:szCs w:val="24"/>
                <w:lang w:val="en-US" w:eastAsia="zh-CN" w:bidi="ar-SA"/>
              </w:rPr>
              <w:t>Ⅲ</w:t>
            </w:r>
            <w:r>
              <w:rPr>
                <w:rFonts w:hint="eastAsia" w:ascii="Times New Roman" w:hAnsi="Times New Roman" w:eastAsia="宋体" w:cs="宋体"/>
                <w:color w:val="auto"/>
                <w:kern w:val="2"/>
                <w:sz w:val="24"/>
                <w:szCs w:val="24"/>
                <w:lang w:val="en-US" w:eastAsia="zh-CN" w:bidi="ar-SA"/>
              </w:rPr>
              <w:t>、水量负荷</w:t>
            </w:r>
          </w:p>
          <w:p w14:paraId="4A86D6F2">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根据《福州市闽侯县大学城污水处理厂四期工程（厂外工程）》可知，大学城污水处理厂设计总处理规模为14万m</w:t>
            </w:r>
            <w:r>
              <w:rPr>
                <w:rFonts w:hint="eastAsia" w:ascii="Times New Roman" w:hAnsi="Times New Roman" w:eastAsia="宋体" w:cs="宋体"/>
                <w:color w:val="auto"/>
                <w:kern w:val="2"/>
                <w:sz w:val="24"/>
                <w:szCs w:val="24"/>
                <w:vertAlign w:val="superscript"/>
                <w:lang w:val="en-US" w:eastAsia="zh-CN" w:bidi="ar-SA"/>
              </w:rPr>
              <w:t>3</w:t>
            </w:r>
            <w:r>
              <w:rPr>
                <w:rFonts w:hint="eastAsia" w:ascii="Times New Roman" w:hAnsi="Times New Roman" w:eastAsia="宋体" w:cs="宋体"/>
                <w:color w:val="auto"/>
                <w:kern w:val="2"/>
                <w:sz w:val="24"/>
                <w:szCs w:val="24"/>
                <w:lang w:val="en-US" w:eastAsia="zh-CN" w:bidi="ar-SA"/>
              </w:rPr>
              <w:t>/d，目前实际处理规模为12万m</w:t>
            </w:r>
            <w:r>
              <w:rPr>
                <w:rFonts w:hint="eastAsia" w:ascii="Times New Roman" w:hAnsi="Times New Roman" w:eastAsia="宋体" w:cs="宋体"/>
                <w:color w:val="auto"/>
                <w:kern w:val="2"/>
                <w:sz w:val="24"/>
                <w:szCs w:val="24"/>
                <w:vertAlign w:val="superscript"/>
                <w:lang w:val="en-US" w:eastAsia="zh-CN" w:bidi="ar-SA"/>
              </w:rPr>
              <w:t>3</w:t>
            </w:r>
            <w:r>
              <w:rPr>
                <w:rFonts w:hint="eastAsia" w:ascii="Times New Roman" w:hAnsi="Times New Roman" w:eastAsia="宋体" w:cs="宋体"/>
                <w:color w:val="auto"/>
                <w:kern w:val="2"/>
                <w:sz w:val="24"/>
                <w:szCs w:val="24"/>
                <w:lang w:val="en-US" w:eastAsia="zh-CN" w:bidi="ar-SA"/>
              </w:rPr>
              <w:t>/d，本项目废水排放量为4843.4m</w:t>
            </w:r>
            <w:r>
              <w:rPr>
                <w:rFonts w:hint="eastAsia" w:ascii="Times New Roman" w:hAnsi="Times New Roman" w:eastAsia="宋体" w:cs="宋体"/>
                <w:color w:val="auto"/>
                <w:kern w:val="2"/>
                <w:sz w:val="24"/>
                <w:szCs w:val="24"/>
                <w:vertAlign w:val="superscript"/>
                <w:lang w:val="en-US" w:eastAsia="zh-CN" w:bidi="ar-SA"/>
              </w:rPr>
              <w:t>3</w:t>
            </w:r>
            <w:r>
              <w:rPr>
                <w:rFonts w:hint="eastAsia" w:ascii="Times New Roman" w:hAnsi="Times New Roman" w:eastAsia="宋体" w:cs="宋体"/>
                <w:color w:val="auto"/>
                <w:kern w:val="2"/>
                <w:sz w:val="24"/>
                <w:szCs w:val="24"/>
                <w:lang w:val="en-US" w:eastAsia="zh-CN" w:bidi="ar-SA"/>
              </w:rPr>
              <w:t>/a（18.6287m</w:t>
            </w:r>
            <w:r>
              <w:rPr>
                <w:rFonts w:hint="eastAsia" w:ascii="Times New Roman" w:hAnsi="Times New Roman" w:eastAsia="宋体" w:cs="宋体"/>
                <w:color w:val="auto"/>
                <w:kern w:val="2"/>
                <w:sz w:val="24"/>
                <w:szCs w:val="24"/>
                <w:vertAlign w:val="superscript"/>
                <w:lang w:val="en-US" w:eastAsia="zh-CN" w:bidi="ar-SA"/>
              </w:rPr>
              <w:t>3</w:t>
            </w:r>
            <w:r>
              <w:rPr>
                <w:rFonts w:hint="eastAsia" w:ascii="Times New Roman" w:hAnsi="Times New Roman" w:eastAsia="宋体" w:cs="宋体"/>
                <w:color w:val="auto"/>
                <w:kern w:val="2"/>
                <w:sz w:val="24"/>
                <w:szCs w:val="24"/>
                <w:lang w:val="en-US" w:eastAsia="zh-CN" w:bidi="ar-SA"/>
              </w:rPr>
              <w:t>/d），占污水处理厂剩余规模的0.096%，大学城污水处理厂采用“污水→粗格栅→进水泵房→细格栅→旋流沉砂池→AAO生物反应池→二沉池→高效沉淀池→滤布滤池→紫外线消毒渠”处理工艺，属于城镇污水处理厂通用工艺，因此，从处理能力及处理工艺分析，大学城污水处理厂可接纳项目废水排放量，不会对污水处理厂水量负荷造成冲击。</w:t>
            </w:r>
          </w:p>
          <w:p w14:paraId="6B8A9F01">
            <w:pPr>
              <w:keepNext/>
              <w:keepLines/>
              <w:widowControl w:val="0"/>
              <w:bidi w:val="0"/>
              <w:spacing w:beforeLines="0" w:beforeAutospacing="0" w:afterLines="0" w:afterAutospacing="0" w:line="360" w:lineRule="auto"/>
              <w:jc w:val="left"/>
              <w:outlineLvl w:val="2"/>
              <w:rPr>
                <w:rFonts w:hint="default" w:ascii="Times New Roman" w:hAnsi="Times New Roman" w:eastAsia="宋体" w:cs="Times New Roman"/>
                <w:b/>
                <w:color w:val="auto"/>
                <w:kern w:val="2"/>
                <w:sz w:val="24"/>
                <w:szCs w:val="24"/>
                <w:lang w:val="en-US" w:eastAsia="zh-CN" w:bidi="ar-SA"/>
              </w:rPr>
            </w:pPr>
            <w:bookmarkStart w:id="61" w:name="_Toc3364"/>
            <w:r>
              <w:rPr>
                <w:rFonts w:hint="eastAsia" w:ascii="Times New Roman" w:hAnsi="Times New Roman" w:eastAsia="宋体" w:cs="Times New Roman"/>
                <w:b/>
                <w:color w:val="auto"/>
                <w:kern w:val="2"/>
                <w:sz w:val="24"/>
                <w:szCs w:val="24"/>
                <w:lang w:val="en-US" w:eastAsia="zh-CN" w:bidi="ar-SA"/>
              </w:rPr>
              <w:t>4.1.3废水自行监测计划</w:t>
            </w:r>
            <w:bookmarkEnd w:id="61"/>
          </w:p>
          <w:p w14:paraId="17152367">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根据《固定污染源排污许可分类管理名录（2019年版）》（生态环境部第11号）可知，本项目对应《固定污染源排污许可分类管理名录（2019年版）》中</w:t>
            </w:r>
            <w:r>
              <w:rPr>
                <w:rFonts w:hint="default" w:ascii="Times New Roman" w:hAnsi="Times New Roman" w:eastAsia="宋体" w:cs="Times New Roman"/>
                <w:color w:val="auto"/>
                <w:sz w:val="24"/>
                <w:szCs w:val="24"/>
                <w:lang w:val="en-US" w:eastAsia="zh-CN"/>
              </w:rPr>
              <w:t>三十四、计算机、通信和其他电子设备制造业 39</w:t>
            </w:r>
            <w:r>
              <w:rPr>
                <w:rFonts w:hint="eastAsia" w:ascii="Times New Roman" w:hAnsi="Times New Roman" w:eastAsia="宋体" w:cs="宋体"/>
                <w:color w:val="auto"/>
                <w:kern w:val="2"/>
                <w:sz w:val="24"/>
                <w:szCs w:val="24"/>
                <w:lang w:val="en-US" w:eastAsia="zh-CN" w:bidi="ar-SA"/>
              </w:rPr>
              <w:t>，见表4.1-</w:t>
            </w:r>
            <w:r>
              <w:rPr>
                <w:rFonts w:hint="eastAsia" w:cs="宋体"/>
                <w:color w:val="auto"/>
                <w:kern w:val="2"/>
                <w:sz w:val="24"/>
                <w:szCs w:val="24"/>
                <w:lang w:val="en-US" w:eastAsia="zh-CN" w:bidi="ar-SA"/>
              </w:rPr>
              <w:t>6</w:t>
            </w:r>
            <w:r>
              <w:rPr>
                <w:rFonts w:hint="eastAsia" w:ascii="Times New Roman" w:hAnsi="Times New Roman" w:eastAsia="宋体" w:cs="宋体"/>
                <w:color w:val="auto"/>
                <w:kern w:val="2"/>
                <w:sz w:val="24"/>
                <w:szCs w:val="24"/>
                <w:lang w:val="en-US" w:eastAsia="zh-CN" w:bidi="ar-SA"/>
              </w:rPr>
              <w:t>，不涉及通用工序简化管理的。本项目应当进行登记管理，登记管理无自行监测要求。</w:t>
            </w:r>
          </w:p>
          <w:p w14:paraId="10075825">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表4.1-</w:t>
            </w:r>
            <w:r>
              <w:rPr>
                <w:rFonts w:hint="eastAsia" w:cs="Times New Roman"/>
                <w:b/>
                <w:color w:val="auto"/>
                <w:kern w:val="0"/>
                <w:sz w:val="24"/>
                <w:szCs w:val="20"/>
                <w:lang w:val="en-US" w:eastAsia="zh-CN" w:bidi="ar-SA"/>
              </w:rPr>
              <w:t xml:space="preserve">6  </w:t>
            </w:r>
            <w:r>
              <w:rPr>
                <w:rFonts w:hint="eastAsia" w:ascii="Times New Roman" w:hAnsi="Times New Roman" w:eastAsia="宋体" w:cs="Times New Roman"/>
                <w:b/>
                <w:color w:val="auto"/>
                <w:kern w:val="0"/>
                <w:sz w:val="24"/>
                <w:szCs w:val="20"/>
                <w:lang w:val="en-US" w:eastAsia="zh-CN" w:bidi="ar-SA"/>
              </w:rPr>
              <w:t>固定污染源排污许可分类管理名录（摘录）</w:t>
            </w:r>
          </w:p>
          <w:tbl>
            <w:tblPr>
              <w:tblStyle w:val="1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583"/>
              <w:gridCol w:w="3332"/>
              <w:gridCol w:w="1016"/>
              <w:gridCol w:w="2297"/>
              <w:gridCol w:w="942"/>
            </w:tblGrid>
            <w:tr w14:paraId="73F2E8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357" w:type="pct"/>
                  <w:tcBorders>
                    <w:tl2br w:val="nil"/>
                    <w:tr2bl w:val="nil"/>
                  </w:tcBorders>
                  <w:shd w:val="clear" w:color="auto" w:fill="auto"/>
                  <w:noWrap w:val="0"/>
                  <w:vAlign w:val="center"/>
                </w:tcPr>
                <w:p w14:paraId="6D078ED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序号</w:t>
                  </w:r>
                </w:p>
              </w:tc>
              <w:tc>
                <w:tcPr>
                  <w:tcW w:w="2039" w:type="pct"/>
                  <w:tcBorders>
                    <w:tl2br w:val="nil"/>
                    <w:tr2bl w:val="nil"/>
                  </w:tcBorders>
                  <w:shd w:val="clear" w:color="auto" w:fill="auto"/>
                  <w:noWrap w:val="0"/>
                  <w:vAlign w:val="center"/>
                </w:tcPr>
                <w:p w14:paraId="1735C07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行业类别</w:t>
                  </w:r>
                </w:p>
              </w:tc>
              <w:tc>
                <w:tcPr>
                  <w:tcW w:w="622" w:type="pct"/>
                  <w:tcBorders>
                    <w:tl2br w:val="nil"/>
                    <w:tr2bl w:val="nil"/>
                  </w:tcBorders>
                  <w:shd w:val="clear" w:color="auto" w:fill="auto"/>
                  <w:noWrap w:val="0"/>
                  <w:vAlign w:val="center"/>
                </w:tcPr>
                <w:p w14:paraId="2112955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重点管理</w:t>
                  </w:r>
                </w:p>
              </w:tc>
              <w:tc>
                <w:tcPr>
                  <w:tcW w:w="1406" w:type="pct"/>
                  <w:tcBorders>
                    <w:tl2br w:val="nil"/>
                    <w:tr2bl w:val="nil"/>
                  </w:tcBorders>
                  <w:shd w:val="clear" w:color="auto" w:fill="auto"/>
                  <w:noWrap w:val="0"/>
                  <w:vAlign w:val="center"/>
                </w:tcPr>
                <w:p w14:paraId="64C6011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简化管理</w:t>
                  </w:r>
                </w:p>
              </w:tc>
              <w:tc>
                <w:tcPr>
                  <w:tcW w:w="574" w:type="pct"/>
                  <w:tcBorders>
                    <w:tl2br w:val="nil"/>
                    <w:tr2bl w:val="nil"/>
                  </w:tcBorders>
                  <w:shd w:val="clear" w:color="D7D7D7" w:fill="A4A4A4"/>
                  <w:noWrap w:val="0"/>
                  <w:vAlign w:val="center"/>
                </w:tcPr>
                <w:p w14:paraId="5051164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登记管理</w:t>
                  </w:r>
                </w:p>
              </w:tc>
            </w:tr>
            <w:tr w14:paraId="777D20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000" w:type="pct"/>
                  <w:gridSpan w:val="5"/>
                  <w:tcBorders>
                    <w:tl2br w:val="nil"/>
                    <w:tr2bl w:val="nil"/>
                  </w:tcBorders>
                  <w:shd w:val="clear" w:color="D7D7D7" w:fill="A4A4A4"/>
                  <w:noWrap w:val="0"/>
                  <w:vAlign w:val="center"/>
                </w:tcPr>
                <w:p w14:paraId="1F766533">
                  <w:pPr>
                    <w:widowControl w:val="0"/>
                    <w:bidi w:val="0"/>
                    <w:adjustRightInd w:val="0"/>
                    <w:snapToGrid w:val="0"/>
                    <w:spacing w:before="10" w:beforeLines="10" w:after="10" w:afterLines="10" w:line="240" w:lineRule="auto"/>
                    <w:jc w:val="left"/>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三十四、计算机、通信和其他电子设备制造业 39</w:t>
                  </w:r>
                </w:p>
              </w:tc>
            </w:tr>
            <w:tr w14:paraId="11ACC4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357" w:type="pct"/>
                  <w:tcBorders>
                    <w:tl2br w:val="nil"/>
                    <w:tr2bl w:val="nil"/>
                  </w:tcBorders>
                  <w:shd w:val="clear" w:color="auto" w:fill="auto"/>
                  <w:noWrap w:val="0"/>
                  <w:vAlign w:val="center"/>
                </w:tcPr>
                <w:p w14:paraId="6CEE9098">
                  <w:pPr>
                    <w:pStyle w:val="33"/>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89</w:t>
                  </w:r>
                </w:p>
              </w:tc>
              <w:tc>
                <w:tcPr>
                  <w:tcW w:w="2039" w:type="pct"/>
                  <w:tcBorders>
                    <w:tl2br w:val="nil"/>
                    <w:tr2bl w:val="nil"/>
                  </w:tcBorders>
                  <w:shd w:val="clear" w:color="auto" w:fill="auto"/>
                  <w:noWrap w:val="0"/>
                  <w:vAlign w:val="center"/>
                </w:tcPr>
                <w:p w14:paraId="45FD8DC1">
                  <w:pPr>
                    <w:pStyle w:val="33"/>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计算机制造391，电子器件制造397，电子元件及电子专用材料制造 398，其他电子设备制造 399</w:t>
                  </w:r>
                </w:p>
              </w:tc>
              <w:tc>
                <w:tcPr>
                  <w:tcW w:w="622" w:type="pct"/>
                  <w:tcBorders>
                    <w:tl2br w:val="nil"/>
                    <w:tr2bl w:val="nil"/>
                  </w:tcBorders>
                  <w:shd w:val="clear" w:color="auto" w:fill="auto"/>
                  <w:noWrap w:val="0"/>
                  <w:vAlign w:val="center"/>
                </w:tcPr>
                <w:p w14:paraId="7E2CA5C3">
                  <w:pPr>
                    <w:pStyle w:val="33"/>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纳入重点排污单位名录的</w:t>
                  </w:r>
                </w:p>
              </w:tc>
              <w:tc>
                <w:tcPr>
                  <w:tcW w:w="1406" w:type="pct"/>
                  <w:tcBorders>
                    <w:tl2br w:val="nil"/>
                    <w:tr2bl w:val="nil"/>
                  </w:tcBorders>
                  <w:shd w:val="clear" w:color="auto" w:fill="auto"/>
                  <w:noWrap w:val="0"/>
                  <w:vAlign w:val="center"/>
                </w:tcPr>
                <w:p w14:paraId="343E665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涉及通用工序</w:t>
                  </w:r>
                  <w:r>
                    <w:rPr>
                      <w:rFonts w:hint="eastAsia" w:ascii="Times New Roman" w:hAnsi="Times New Roman" w:eastAsia="宋体" w:cs="Times New Roman"/>
                      <w:color w:val="auto"/>
                      <w:kern w:val="0"/>
                      <w:sz w:val="21"/>
                      <w:szCs w:val="20"/>
                      <w:lang w:val="en-US" w:eastAsia="zh-CN" w:bidi="ar-SA"/>
                    </w:rPr>
                    <w:t>简化</w:t>
                  </w:r>
                  <w:r>
                    <w:rPr>
                      <w:rFonts w:hint="default" w:ascii="Times New Roman" w:hAnsi="Times New Roman" w:eastAsia="宋体" w:cs="Times New Roman"/>
                      <w:color w:val="auto"/>
                      <w:kern w:val="0"/>
                      <w:sz w:val="21"/>
                      <w:szCs w:val="20"/>
                      <w:lang w:val="en-US" w:eastAsia="zh-CN" w:bidi="ar-SA"/>
                    </w:rPr>
                    <w:t>管理的</w:t>
                  </w:r>
                </w:p>
              </w:tc>
              <w:tc>
                <w:tcPr>
                  <w:tcW w:w="574" w:type="pct"/>
                  <w:tcBorders>
                    <w:tl2br w:val="nil"/>
                    <w:tr2bl w:val="nil"/>
                  </w:tcBorders>
                  <w:shd w:val="clear" w:color="D7D7D7" w:fill="A4A4A4"/>
                  <w:noWrap w:val="0"/>
                  <w:vAlign w:val="center"/>
                </w:tcPr>
                <w:p w14:paraId="60F95E5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其他</w:t>
                  </w:r>
                </w:p>
              </w:tc>
            </w:tr>
            <w:tr w14:paraId="661C40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000" w:type="pct"/>
                  <w:gridSpan w:val="5"/>
                  <w:tcBorders>
                    <w:tl2br w:val="nil"/>
                    <w:tr2bl w:val="nil"/>
                  </w:tcBorders>
                  <w:shd w:val="clear" w:color="auto" w:fill="A4A4A4"/>
                  <w:noWrap w:val="0"/>
                  <w:vAlign w:val="center"/>
                </w:tcPr>
                <w:p w14:paraId="0922CCDA">
                  <w:pPr>
                    <w:widowControl w:val="0"/>
                    <w:bidi w:val="0"/>
                    <w:adjustRightInd w:val="0"/>
                    <w:snapToGrid w:val="0"/>
                    <w:spacing w:before="10" w:beforeLines="10" w:after="10" w:afterLines="10" w:line="240" w:lineRule="auto"/>
                    <w:jc w:val="left"/>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五十一、通用工序</w:t>
                  </w:r>
                </w:p>
              </w:tc>
            </w:tr>
            <w:tr w14:paraId="49B6A3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357" w:type="pct"/>
                  <w:tcBorders>
                    <w:tl2br w:val="nil"/>
                    <w:tr2bl w:val="nil"/>
                  </w:tcBorders>
                  <w:shd w:val="clear" w:color="auto" w:fill="auto"/>
                  <w:noWrap w:val="0"/>
                  <w:vAlign w:val="center"/>
                </w:tcPr>
                <w:p w14:paraId="13F91DA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111</w:t>
                  </w:r>
                </w:p>
              </w:tc>
              <w:tc>
                <w:tcPr>
                  <w:tcW w:w="2039" w:type="pct"/>
                  <w:tcBorders>
                    <w:tl2br w:val="nil"/>
                    <w:tr2bl w:val="nil"/>
                  </w:tcBorders>
                  <w:shd w:val="clear" w:color="auto" w:fill="auto"/>
                  <w:noWrap w:val="0"/>
                  <w:vAlign w:val="center"/>
                </w:tcPr>
                <w:p w14:paraId="47CC9DD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表面处理</w:t>
                  </w:r>
                </w:p>
              </w:tc>
              <w:tc>
                <w:tcPr>
                  <w:tcW w:w="622" w:type="pct"/>
                  <w:tcBorders>
                    <w:tl2br w:val="nil"/>
                    <w:tr2bl w:val="nil"/>
                  </w:tcBorders>
                  <w:shd w:val="clear" w:color="auto" w:fill="auto"/>
                  <w:noWrap w:val="0"/>
                  <w:vAlign w:val="center"/>
                </w:tcPr>
                <w:p w14:paraId="4881FC0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纳入重点排污单位名录的</w:t>
                  </w:r>
                </w:p>
              </w:tc>
              <w:tc>
                <w:tcPr>
                  <w:tcW w:w="1406" w:type="pct"/>
                  <w:tcBorders>
                    <w:tl2br w:val="nil"/>
                    <w:tr2bl w:val="nil"/>
                  </w:tcBorders>
                  <w:shd w:val="clear" w:color="auto" w:fill="auto"/>
                  <w:noWrap w:val="0"/>
                  <w:vAlign w:val="center"/>
                </w:tcPr>
                <w:p w14:paraId="4E5E983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除纳入重点排污单位名录的，有电镀工序、酸洗、抛光（电解抛光和</w:t>
                  </w:r>
                  <w:r>
                    <w:rPr>
                      <w:rFonts w:hint="eastAsia" w:ascii="Times New Roman" w:hAnsi="Times New Roman" w:eastAsia="宋体" w:cs="Times New Roman"/>
                      <w:color w:val="auto"/>
                      <w:kern w:val="0"/>
                      <w:sz w:val="21"/>
                      <w:szCs w:val="20"/>
                      <w:lang w:val="en-US" w:eastAsia="zh-CN" w:bidi="ar-SA"/>
                    </w:rPr>
                    <w:t>化学</w:t>
                  </w:r>
                  <w:r>
                    <w:rPr>
                      <w:rFonts w:hint="eastAsia" w:cs="Times New Roman"/>
                      <w:color w:val="auto"/>
                      <w:kern w:val="0"/>
                      <w:sz w:val="21"/>
                      <w:szCs w:val="20"/>
                      <w:lang w:val="en-US" w:eastAsia="zh-CN" w:bidi="ar-SA"/>
                    </w:rPr>
                    <w:t>抛光</w:t>
                  </w:r>
                  <w:r>
                    <w:rPr>
                      <w:rFonts w:hint="default" w:ascii="Times New Roman" w:hAnsi="Times New Roman" w:eastAsia="宋体" w:cs="Times New Roman"/>
                      <w:color w:val="auto"/>
                      <w:kern w:val="0"/>
                      <w:sz w:val="21"/>
                      <w:szCs w:val="20"/>
                      <w:lang w:val="en-US" w:eastAsia="zh-CN" w:bidi="ar-SA"/>
                    </w:rPr>
                    <w:t>）、热浸镀（溶剂法）、淬火或者钝化等工序的、年使用10吨及以上有机溶剂的</w:t>
                  </w:r>
                </w:p>
              </w:tc>
              <w:tc>
                <w:tcPr>
                  <w:tcW w:w="574" w:type="pct"/>
                  <w:tcBorders>
                    <w:tl2br w:val="nil"/>
                    <w:tr2bl w:val="nil"/>
                  </w:tcBorders>
                  <w:shd w:val="clear" w:color="D7D7D7" w:fill="A4A4A4"/>
                  <w:noWrap w:val="0"/>
                  <w:vAlign w:val="center"/>
                </w:tcPr>
                <w:p w14:paraId="0EE08C9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其他</w:t>
                  </w:r>
                </w:p>
              </w:tc>
            </w:tr>
          </w:tbl>
          <w:p w14:paraId="526ECBE2">
            <w:pPr>
              <w:keepNext/>
              <w:keepLines/>
              <w:widowControl w:val="0"/>
              <w:bidi w:val="0"/>
              <w:spacing w:beforeLines="0" w:beforeAutospacing="0" w:afterLines="0" w:afterAutospacing="0" w:line="360" w:lineRule="auto"/>
              <w:jc w:val="left"/>
              <w:outlineLvl w:val="1"/>
              <w:rPr>
                <w:rFonts w:hint="eastAsia" w:ascii="Times New Roman" w:hAnsi="Times New Roman" w:eastAsia="宋体" w:cs="Times New Roman"/>
                <w:b/>
                <w:color w:val="auto"/>
                <w:kern w:val="2"/>
                <w:sz w:val="28"/>
                <w:szCs w:val="24"/>
                <w:lang w:val="en-US" w:eastAsia="zh-CN" w:bidi="ar-SA"/>
              </w:rPr>
            </w:pPr>
            <w:bookmarkStart w:id="62" w:name="_Toc19966"/>
            <w:r>
              <w:rPr>
                <w:rFonts w:hint="eastAsia" w:ascii="Times New Roman" w:hAnsi="Times New Roman" w:eastAsia="宋体" w:cs="Times New Roman"/>
                <w:b/>
                <w:color w:val="auto"/>
                <w:kern w:val="2"/>
                <w:sz w:val="28"/>
                <w:szCs w:val="24"/>
                <w:lang w:val="en-US" w:eastAsia="zh-CN" w:bidi="ar-SA"/>
              </w:rPr>
              <w:t>4.2运营期大气环境影响分析和污染防控措施</w:t>
            </w:r>
            <w:bookmarkEnd w:id="62"/>
          </w:p>
          <w:p w14:paraId="1D42C76D">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63" w:name="_Toc27167"/>
            <w:r>
              <w:rPr>
                <w:rFonts w:hint="eastAsia" w:ascii="Times New Roman" w:hAnsi="Times New Roman" w:eastAsia="宋体" w:cs="Times New Roman"/>
                <w:b/>
                <w:color w:val="auto"/>
                <w:kern w:val="2"/>
                <w:sz w:val="24"/>
                <w:szCs w:val="24"/>
                <w:lang w:val="en-US" w:eastAsia="zh-CN" w:bidi="ar-SA"/>
              </w:rPr>
              <w:t>4.2.1运营期废气源强核算</w:t>
            </w:r>
            <w:bookmarkEnd w:id="63"/>
          </w:p>
          <w:p w14:paraId="0ACF231E">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项目产生的废气包括铣磨废气、擦拭检测废气、超洗废气、</w:t>
            </w:r>
            <w:r>
              <w:rPr>
                <w:rFonts w:hint="eastAsia" w:ascii="Times New Roman" w:hAnsi="Times New Roman" w:eastAsia="宋体" w:cs="宋体"/>
                <w:color w:val="auto"/>
                <w:kern w:val="2"/>
                <w:sz w:val="24"/>
                <w:szCs w:val="24"/>
                <w:vertAlign w:val="baseline"/>
                <w:lang w:val="en-US" w:eastAsia="zh-CN" w:bidi="ar-SA"/>
              </w:rPr>
              <w:t>喷淋塔废气、原料</w:t>
            </w:r>
            <w:r>
              <w:rPr>
                <w:rFonts w:hint="eastAsia" w:cs="宋体"/>
                <w:color w:val="auto"/>
                <w:kern w:val="2"/>
                <w:sz w:val="24"/>
                <w:szCs w:val="24"/>
                <w:lang w:val="en-US" w:eastAsia="zh-CN" w:bidi="ar-SA"/>
              </w:rPr>
              <w:t>倒边抛光投料废气</w:t>
            </w:r>
            <w:r>
              <w:rPr>
                <w:rFonts w:hint="eastAsia" w:ascii="Times New Roman" w:hAnsi="Times New Roman" w:eastAsia="宋体" w:cs="宋体"/>
                <w:color w:val="auto"/>
                <w:kern w:val="2"/>
                <w:sz w:val="24"/>
                <w:szCs w:val="24"/>
                <w:lang w:val="en-US" w:eastAsia="zh-CN" w:bidi="ar-SA"/>
              </w:rPr>
              <w:t>。</w:t>
            </w:r>
          </w:p>
          <w:p w14:paraId="13641063">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（1）铣磨废气</w:t>
            </w:r>
          </w:p>
          <w:p w14:paraId="7AB65FE8">
            <w:pPr>
              <w:pStyle w:val="25"/>
              <w:bidi w:val="0"/>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本项目铣磨过程使用磨削液，磨削液使用量为0.2t/a，参考《排放源统计产排污核算方法和系数手册》机械加工行业，原料为磨削液，VOCs产污系数为5.64千克/吨－原料，磨削液使用量为0.2t/a，则项目有机废气（以非甲烷总烃计）产生量约为0.0011t/a，则铣磨废气VOCs（以非甲烷总烃计）产生量为0.0011t/a，产生速率为0.0006kg/h。用于铣磨的设备将玻璃材料置于密闭空间内工作，并有密闭管道收集有机废气，收集的有机废气经过</w:t>
            </w:r>
            <w:r>
              <w:rPr>
                <w:rFonts w:hint="eastAsia" w:ascii="Times New Roman" w:hAnsi="Times New Roman" w:eastAsia="宋体" w:cs="宋体"/>
                <w:color w:val="auto"/>
                <w:kern w:val="2"/>
                <w:sz w:val="24"/>
                <w:szCs w:val="24"/>
                <w:shd w:val="clear" w:color="auto" w:fill="auto"/>
                <w:lang w:val="en-US" w:eastAsia="zh-CN" w:bidi="ar-SA"/>
              </w:rPr>
              <w:t>二级</w:t>
            </w:r>
            <w:r>
              <w:rPr>
                <w:rFonts w:hint="eastAsia" w:ascii="Times New Roman" w:hAnsi="Times New Roman" w:eastAsia="宋体" w:cs="宋体"/>
                <w:color w:val="auto"/>
                <w:kern w:val="2"/>
                <w:sz w:val="24"/>
                <w:szCs w:val="24"/>
                <w:lang w:val="en-US" w:eastAsia="zh-CN" w:bidi="ar-SA"/>
              </w:rPr>
              <w:t>活性炭吸附装置处理达标后，由40m高的DA001排气筒排放。有机废气收集效率取90%，二级活性炭吸附装置处理效率取80%。则铣磨废气VOCs（以非甲烷总烃计）无组织排放量为0.0001t/a。则铣磨废气VOCs（以非甲烷总烃计）有组织排放量为0.0002t/a，排放速率为0.0001kg/h，配备3000m</w:t>
            </w:r>
            <w:r>
              <w:rPr>
                <w:rFonts w:hint="eastAsia" w:ascii="Times New Roman" w:hAnsi="Times New Roman" w:eastAsia="宋体" w:cs="宋体"/>
                <w:color w:val="auto"/>
                <w:kern w:val="2"/>
                <w:sz w:val="24"/>
                <w:szCs w:val="24"/>
                <w:vertAlign w:val="superscript"/>
                <w:lang w:val="en-US" w:eastAsia="zh-CN" w:bidi="ar-SA"/>
              </w:rPr>
              <w:t>3</w:t>
            </w:r>
            <w:r>
              <w:rPr>
                <w:rFonts w:hint="eastAsia" w:ascii="Times New Roman" w:hAnsi="Times New Roman" w:eastAsia="宋体" w:cs="宋体"/>
                <w:color w:val="auto"/>
                <w:kern w:val="2"/>
                <w:sz w:val="24"/>
                <w:szCs w:val="24"/>
                <w:lang w:val="en-US" w:eastAsia="zh-CN" w:bidi="ar-SA"/>
              </w:rPr>
              <w:t>/h的风机，排放浓度为0.03mg/m</w:t>
            </w:r>
            <w:r>
              <w:rPr>
                <w:rFonts w:hint="eastAsia" w:ascii="Times New Roman" w:hAnsi="Times New Roman" w:eastAsia="宋体" w:cs="宋体"/>
                <w:color w:val="auto"/>
                <w:kern w:val="2"/>
                <w:sz w:val="24"/>
                <w:szCs w:val="24"/>
                <w:vertAlign w:val="superscript"/>
                <w:lang w:val="en-US" w:eastAsia="zh-CN" w:bidi="ar-SA"/>
              </w:rPr>
              <w:t>3</w:t>
            </w:r>
            <w:r>
              <w:rPr>
                <w:rFonts w:hint="eastAsia" w:ascii="Times New Roman" w:hAnsi="Times New Roman" w:eastAsia="宋体" w:cs="宋体"/>
                <w:color w:val="auto"/>
                <w:kern w:val="2"/>
                <w:sz w:val="24"/>
                <w:szCs w:val="24"/>
                <w:lang w:val="en-US" w:eastAsia="zh-CN" w:bidi="ar-SA"/>
              </w:rPr>
              <w:t>。</w:t>
            </w:r>
          </w:p>
          <w:p w14:paraId="43C475A8">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（2）擦拭检测废气</w:t>
            </w:r>
          </w:p>
          <w:p w14:paraId="02DEB0B0">
            <w:pPr>
              <w:widowControl w:val="0"/>
              <w:bidi w:val="0"/>
              <w:spacing w:line="360" w:lineRule="auto"/>
              <w:ind w:firstLine="480" w:firstLineChars="200"/>
              <w:jc w:val="both"/>
              <w:rPr>
                <w:rFonts w:hint="eastAsia" w:ascii="Times New Roman" w:hAnsi="Times New Roman" w:eastAsia="宋体" w:cs="宋体"/>
                <w:color w:val="auto"/>
                <w:kern w:val="2"/>
                <w:sz w:val="24"/>
                <w:szCs w:val="24"/>
                <w:vertAlign w:val="baseline"/>
                <w:lang w:val="en-US" w:eastAsia="zh-CN" w:bidi="ar-SA"/>
              </w:rPr>
            </w:pPr>
            <w:r>
              <w:rPr>
                <w:rFonts w:hint="eastAsia" w:ascii="Times New Roman" w:hAnsi="Times New Roman" w:eastAsia="宋体" w:cs="宋体"/>
                <w:color w:val="auto"/>
                <w:kern w:val="2"/>
                <w:sz w:val="24"/>
                <w:szCs w:val="24"/>
                <w:lang w:val="en-US" w:eastAsia="zh-CN" w:bidi="ar-SA"/>
              </w:rPr>
              <w:t>项目用于擦拭检测的有机溶剂包括0.03t/a乙醚、0.3t/a乙醇、0.05t/a丙酮，本次评价有机溶剂以100%挥发计，产生VOCs（以非甲烷总烃计），则项目有机废气（以非甲烷总烃计）产生量约为0.38t/a，产生速率为0.158kg/h。擦拭检测车间为密闭负压车间，考虑到有职工人员进出时开关门，有机废气（以非甲烷总烃计）以无组织形式排放系数为10%，有组织废气收集效率为90%，则擦拭废气VOCs（以非甲烷总烃计）无组织排放量为0.038t/a，排放速率为0.0158kg/h。项目拟建一台风量为3000m</w:t>
            </w:r>
            <w:r>
              <w:rPr>
                <w:rFonts w:hint="eastAsia" w:ascii="Times New Roman" w:hAnsi="Times New Roman" w:eastAsia="宋体" w:cs="宋体"/>
                <w:color w:val="auto"/>
                <w:kern w:val="2"/>
                <w:sz w:val="24"/>
                <w:szCs w:val="24"/>
                <w:vertAlign w:val="superscript"/>
                <w:lang w:val="en-US" w:eastAsia="zh-CN" w:bidi="ar-SA"/>
              </w:rPr>
              <w:t>3</w:t>
            </w:r>
            <w:r>
              <w:rPr>
                <w:rFonts w:hint="eastAsia" w:ascii="Times New Roman" w:hAnsi="Times New Roman" w:eastAsia="宋体" w:cs="宋体"/>
                <w:color w:val="auto"/>
                <w:kern w:val="2"/>
                <w:sz w:val="24"/>
                <w:szCs w:val="24"/>
                <w:lang w:val="en-US" w:eastAsia="zh-CN" w:bidi="ar-SA"/>
              </w:rPr>
              <w:t>/h的风机和二级活性炭吸附装置作为末端治理设施，治理效率为80%，则擦拭检测废气VOCs（以非甲烷总烃计）有组织排放量为0.0684t/a，排放速率为0.0285kg/h，排放浓度为9.50mg/m</w:t>
            </w:r>
            <w:r>
              <w:rPr>
                <w:rFonts w:hint="eastAsia" w:ascii="Times New Roman" w:hAnsi="Times New Roman" w:eastAsia="宋体" w:cs="宋体"/>
                <w:color w:val="auto"/>
                <w:kern w:val="2"/>
                <w:sz w:val="24"/>
                <w:szCs w:val="24"/>
                <w:vertAlign w:val="superscript"/>
                <w:lang w:val="en-US" w:eastAsia="zh-CN" w:bidi="ar-SA"/>
              </w:rPr>
              <w:t>3</w:t>
            </w:r>
            <w:r>
              <w:rPr>
                <w:rFonts w:hint="eastAsia" w:ascii="Times New Roman" w:hAnsi="Times New Roman" w:eastAsia="宋体" w:cs="宋体"/>
                <w:color w:val="auto"/>
                <w:kern w:val="2"/>
                <w:sz w:val="24"/>
                <w:szCs w:val="24"/>
                <w:vertAlign w:val="baseline"/>
                <w:lang w:val="en-US" w:eastAsia="zh-CN" w:bidi="ar-SA"/>
              </w:rPr>
              <w:t>。</w:t>
            </w:r>
          </w:p>
          <w:p w14:paraId="6154C7A5">
            <w:pPr>
              <w:widowControl w:val="0"/>
              <w:bidi w:val="0"/>
              <w:spacing w:line="360" w:lineRule="auto"/>
              <w:ind w:firstLine="480" w:firstLineChars="200"/>
              <w:jc w:val="both"/>
              <w:rPr>
                <w:rFonts w:hint="eastAsia" w:ascii="Times New Roman" w:hAnsi="Times New Roman" w:eastAsia="宋体" w:cs="宋体"/>
                <w:color w:val="auto"/>
                <w:kern w:val="2"/>
                <w:sz w:val="24"/>
                <w:szCs w:val="24"/>
                <w:vertAlign w:val="baseline"/>
                <w:lang w:val="en-US" w:eastAsia="zh-CN" w:bidi="ar-SA"/>
              </w:rPr>
            </w:pPr>
            <w:r>
              <w:rPr>
                <w:rFonts w:hint="eastAsia" w:ascii="Times New Roman" w:hAnsi="Times New Roman" w:eastAsia="宋体" w:cs="宋体"/>
                <w:color w:val="auto"/>
                <w:kern w:val="2"/>
                <w:sz w:val="24"/>
                <w:szCs w:val="24"/>
                <w:vertAlign w:val="baseline"/>
                <w:lang w:val="en-US" w:eastAsia="zh-CN" w:bidi="ar-SA"/>
              </w:rPr>
              <w:t>（3）超洗废气</w:t>
            </w:r>
          </w:p>
          <w:p w14:paraId="57DD3A18">
            <w:pPr>
              <w:widowControl w:val="0"/>
              <w:bidi w:val="0"/>
              <w:spacing w:line="360" w:lineRule="auto"/>
              <w:ind w:firstLine="480" w:firstLineChars="200"/>
              <w:jc w:val="both"/>
              <w:rPr>
                <w:rFonts w:hint="eastAsia" w:ascii="Times New Roman" w:hAnsi="Times New Roman" w:eastAsia="宋体" w:cs="宋体"/>
                <w:color w:val="auto"/>
                <w:kern w:val="2"/>
                <w:sz w:val="24"/>
                <w:szCs w:val="24"/>
                <w:vertAlign w:val="baseline"/>
                <w:lang w:val="en-US" w:eastAsia="zh-CN" w:bidi="ar-SA"/>
              </w:rPr>
            </w:pPr>
            <w:r>
              <w:rPr>
                <w:rFonts w:hint="eastAsia" w:ascii="Times New Roman" w:hAnsi="Times New Roman" w:eastAsia="宋体" w:cs="宋体"/>
                <w:color w:val="auto"/>
                <w:kern w:val="2"/>
                <w:sz w:val="24"/>
                <w:szCs w:val="24"/>
                <w:lang w:val="en-US" w:eastAsia="zh-CN" w:bidi="ar-SA"/>
              </w:rPr>
              <w:t>项目在超声波清洗工序加入清洗剂对产品进行清洗，根据建设单位提供资料，清洗剂使用量为0.1t/a，参考《第二次全国污染源普查产排污核算系数手册》中的行业系数手册，清洗产生的污染物因子为挥发性有机物VOCs（以非甲烷总烃计），产污系数为121.866克/千克</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清洗剂，则超洗废气产生量为0.0122t/a，产生速率为0.0005kg/h。超洗车间为密闭负压车间，考虑到有职工人员进出时开关门，有机废气（以非甲烷总烃计）以无组织形式排放系数为10%，有组织废气收集效率为90%，则超洗废气VOCs（以非甲烷总烃计）无组织排放量为0.012t/a，排放速率为0.0005kg/h。项目拟建一台风量为3000m</w:t>
            </w:r>
            <w:r>
              <w:rPr>
                <w:rFonts w:hint="eastAsia" w:ascii="Times New Roman" w:hAnsi="Times New Roman" w:eastAsia="宋体" w:cs="宋体"/>
                <w:color w:val="auto"/>
                <w:kern w:val="2"/>
                <w:sz w:val="24"/>
                <w:szCs w:val="24"/>
                <w:vertAlign w:val="superscript"/>
                <w:lang w:val="en-US" w:eastAsia="zh-CN" w:bidi="ar-SA"/>
              </w:rPr>
              <w:t>3</w:t>
            </w:r>
            <w:r>
              <w:rPr>
                <w:rFonts w:hint="eastAsia" w:ascii="Times New Roman" w:hAnsi="Times New Roman" w:eastAsia="宋体" w:cs="宋体"/>
                <w:color w:val="auto"/>
                <w:kern w:val="2"/>
                <w:sz w:val="24"/>
                <w:szCs w:val="24"/>
                <w:lang w:val="en-US" w:eastAsia="zh-CN" w:bidi="ar-SA"/>
              </w:rPr>
              <w:t>/h的风机和二级活性炭吸附装置作为末端治理设施，治理效率为80%，则超洗废气VOCs（以非甲烷总烃计）有组织排放量为0.0022t/a，排放速率为0.0009kg/h，排放浓度为0.31mg/m</w:t>
            </w:r>
            <w:r>
              <w:rPr>
                <w:rFonts w:hint="eastAsia" w:ascii="Times New Roman" w:hAnsi="Times New Roman" w:eastAsia="宋体" w:cs="宋体"/>
                <w:color w:val="auto"/>
                <w:kern w:val="2"/>
                <w:sz w:val="24"/>
                <w:szCs w:val="24"/>
                <w:vertAlign w:val="superscript"/>
                <w:lang w:val="en-US" w:eastAsia="zh-CN" w:bidi="ar-SA"/>
              </w:rPr>
              <w:t>3</w:t>
            </w:r>
            <w:r>
              <w:rPr>
                <w:rFonts w:hint="eastAsia" w:ascii="Times New Roman" w:hAnsi="Times New Roman" w:eastAsia="宋体" w:cs="宋体"/>
                <w:color w:val="auto"/>
                <w:kern w:val="2"/>
                <w:sz w:val="24"/>
                <w:szCs w:val="24"/>
                <w:vertAlign w:val="baseline"/>
                <w:lang w:val="en-US" w:eastAsia="zh-CN" w:bidi="ar-SA"/>
              </w:rPr>
              <w:t>。</w:t>
            </w:r>
          </w:p>
          <w:p w14:paraId="1C773861">
            <w:pPr>
              <w:widowControl w:val="0"/>
              <w:bidi w:val="0"/>
              <w:spacing w:line="360" w:lineRule="auto"/>
              <w:ind w:firstLine="480" w:firstLineChars="200"/>
              <w:jc w:val="both"/>
              <w:rPr>
                <w:rFonts w:hint="eastAsia" w:ascii="Times New Roman" w:hAnsi="Times New Roman" w:eastAsia="宋体" w:cs="宋体"/>
                <w:color w:val="auto"/>
                <w:kern w:val="2"/>
                <w:sz w:val="24"/>
                <w:szCs w:val="24"/>
                <w:vertAlign w:val="baseline"/>
                <w:lang w:val="en-US" w:eastAsia="zh-CN" w:bidi="ar-SA"/>
              </w:rPr>
            </w:pPr>
            <w:r>
              <w:rPr>
                <w:rFonts w:hint="eastAsia" w:ascii="Times New Roman" w:hAnsi="Times New Roman" w:eastAsia="宋体" w:cs="宋体"/>
                <w:color w:val="auto"/>
                <w:kern w:val="2"/>
                <w:sz w:val="24"/>
                <w:szCs w:val="24"/>
                <w:vertAlign w:val="baseline"/>
                <w:lang w:val="en-US" w:eastAsia="zh-CN" w:bidi="ar-SA"/>
              </w:rPr>
              <w:t>（4）喷淋塔废气</w:t>
            </w:r>
          </w:p>
          <w:p w14:paraId="17175464">
            <w:pPr>
              <w:widowControl w:val="0"/>
              <w:bidi w:val="0"/>
              <w:spacing w:line="360" w:lineRule="auto"/>
              <w:ind w:firstLine="480" w:firstLineChars="200"/>
              <w:jc w:val="both"/>
              <w:rPr>
                <w:rFonts w:hint="eastAsia" w:ascii="Times New Roman" w:hAnsi="Times New Roman" w:eastAsia="宋体" w:cs="宋体"/>
                <w:color w:val="auto"/>
                <w:kern w:val="2"/>
                <w:sz w:val="24"/>
                <w:szCs w:val="24"/>
                <w:vertAlign w:val="baseline"/>
                <w:lang w:val="en-US" w:eastAsia="zh-CN" w:bidi="ar-SA"/>
              </w:rPr>
            </w:pPr>
            <w:r>
              <w:rPr>
                <w:rFonts w:hint="eastAsia" w:ascii="Times New Roman" w:hAnsi="Times New Roman" w:eastAsia="宋体" w:cs="宋体"/>
                <w:color w:val="auto"/>
                <w:kern w:val="2"/>
                <w:sz w:val="24"/>
                <w:szCs w:val="24"/>
                <w:vertAlign w:val="baseline"/>
                <w:lang w:val="en-US" w:eastAsia="zh-CN" w:bidi="ar-SA"/>
              </w:rPr>
              <w:t>项目</w:t>
            </w:r>
            <w:r>
              <w:rPr>
                <w:rFonts w:hint="default" w:ascii="Times New Roman" w:hAnsi="Times New Roman" w:eastAsia="宋体" w:cs="宋体"/>
                <w:color w:val="auto"/>
                <w:kern w:val="2"/>
                <w:sz w:val="24"/>
                <w:szCs w:val="24"/>
                <w:vertAlign w:val="baseline"/>
                <w:lang w:val="en-US" w:eastAsia="zh-CN" w:bidi="ar-SA"/>
              </w:rPr>
              <w:t>根据《废气处理工程技术手册》提及的碱液和水吸收法具有高处理率，可达90%以上。酸雾的去除效率主要与浓度、气流特性、气液接触方式、传质效率等有关，项目酸雾产生浓度较低，保守取去除效率80%计</w:t>
            </w:r>
            <w:r>
              <w:rPr>
                <w:rFonts w:hint="eastAsia" w:ascii="Times New Roman" w:hAnsi="Times New Roman" w:eastAsia="宋体" w:cs="宋体"/>
                <w:color w:val="auto"/>
                <w:kern w:val="2"/>
                <w:sz w:val="24"/>
                <w:szCs w:val="24"/>
                <w:vertAlign w:val="baseline"/>
                <w:lang w:val="en-US" w:eastAsia="zh-CN" w:bidi="ar-SA"/>
              </w:rPr>
              <w:t>。废气经收集管道送入一级碱喷淋洗涤净化塔，塔内通过喷淋循环液对硝酸雾进行中和吸收处理，净化后废气经塔顶配套除雾装置去除夹带水雾，项目硝酸（浓度68%）使用量为1.9t/a，则年纯硝酸使用量为1.292t/a，全部纯硝酸挥发为酸雾（NOx）则喷淋塔废气硝酸雾（按NOx计）产生量为0.9434t/a，产生速率为0.393kg/h。车间为密闭负压车间，考虑到有职工人员进出时开关门，有机废气（以非甲烷总烃计）以无组织形式排放系数为10%，有组织废气收集效率为90%，则硝酸雾（按NOx计）无组织排放量为0.094t/a，排放速率为0.0393kg/h。项目拟建一台风量为3000m</w:t>
            </w:r>
            <w:r>
              <w:rPr>
                <w:rFonts w:hint="eastAsia" w:ascii="Times New Roman" w:hAnsi="Times New Roman" w:eastAsia="宋体" w:cs="宋体"/>
                <w:color w:val="auto"/>
                <w:kern w:val="2"/>
                <w:sz w:val="24"/>
                <w:szCs w:val="24"/>
                <w:vertAlign w:val="superscript"/>
                <w:lang w:val="en-US" w:eastAsia="zh-CN" w:bidi="ar-SA"/>
              </w:rPr>
              <w:t>3</w:t>
            </w:r>
            <w:r>
              <w:rPr>
                <w:rFonts w:hint="eastAsia" w:ascii="Times New Roman" w:hAnsi="Times New Roman" w:eastAsia="宋体" w:cs="宋体"/>
                <w:color w:val="auto"/>
                <w:kern w:val="2"/>
                <w:sz w:val="24"/>
                <w:szCs w:val="24"/>
                <w:vertAlign w:val="baseline"/>
                <w:lang w:val="en-US" w:eastAsia="zh-CN" w:bidi="ar-SA"/>
              </w:rPr>
              <w:t>/h的风机和喷淋塔装置作为末端治理设施，治理效率为80%，则硝酸雾（按NOx计）有组织排放量为0.1698t/a，排放速率为0.0708kg/h，排放浓度为23.59mg/m</w:t>
            </w:r>
            <w:r>
              <w:rPr>
                <w:rFonts w:hint="eastAsia" w:ascii="Times New Roman" w:hAnsi="Times New Roman" w:eastAsia="宋体" w:cs="宋体"/>
                <w:color w:val="auto"/>
                <w:kern w:val="2"/>
                <w:sz w:val="24"/>
                <w:szCs w:val="24"/>
                <w:vertAlign w:val="superscript"/>
                <w:lang w:val="en-US" w:eastAsia="zh-CN" w:bidi="ar-SA"/>
              </w:rPr>
              <w:t>3</w:t>
            </w:r>
            <w:r>
              <w:rPr>
                <w:rFonts w:hint="eastAsia" w:ascii="Times New Roman" w:hAnsi="Times New Roman" w:eastAsia="宋体" w:cs="宋体"/>
                <w:color w:val="auto"/>
                <w:kern w:val="2"/>
                <w:sz w:val="24"/>
                <w:szCs w:val="24"/>
                <w:vertAlign w:val="baseline"/>
                <w:lang w:val="en-US" w:eastAsia="zh-CN" w:bidi="ar-SA"/>
              </w:rPr>
              <w:t>。</w:t>
            </w:r>
          </w:p>
          <w:p w14:paraId="1313D271">
            <w:pPr>
              <w:widowControl w:val="0"/>
              <w:bidi w:val="0"/>
              <w:spacing w:line="360" w:lineRule="auto"/>
              <w:ind w:firstLine="480" w:firstLineChars="200"/>
              <w:jc w:val="both"/>
              <w:rPr>
                <w:rFonts w:ascii="Times New Roman" w:hAnsi="Times New Roman" w:eastAsia="宋体"/>
                <w:color w:val="auto"/>
                <w:spacing w:val="7"/>
                <w:sz w:val="24"/>
                <w:szCs w:val="24"/>
              </w:rPr>
            </w:pPr>
            <w:r>
              <w:rPr>
                <w:rFonts w:hint="eastAsia" w:ascii="Times New Roman" w:hAnsi="Times New Roman" w:eastAsia="宋体" w:cs="宋体"/>
                <w:color w:val="auto"/>
                <w:kern w:val="2"/>
                <w:sz w:val="24"/>
                <w:szCs w:val="24"/>
                <w:vertAlign w:val="baseline"/>
                <w:lang w:val="en-US" w:eastAsia="zh-CN" w:bidi="ar-SA"/>
              </w:rPr>
              <w:t>（5）原料</w:t>
            </w:r>
            <w:r>
              <w:rPr>
                <w:rFonts w:hint="eastAsia" w:ascii="Times New Roman" w:hAnsi="Times New Roman" w:eastAsia="宋体" w:cs="宋体"/>
                <w:color w:val="auto"/>
                <w:kern w:val="2"/>
                <w:sz w:val="24"/>
                <w:szCs w:val="24"/>
                <w:lang w:val="en-US" w:eastAsia="zh-CN" w:bidi="ar-SA"/>
              </w:rPr>
              <w:t>倒边抛光投料废气</w:t>
            </w:r>
          </w:p>
          <w:p w14:paraId="172F7B3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08" w:firstLineChars="200"/>
              <w:textAlignment w:val="auto"/>
              <w:rPr>
                <w:rFonts w:ascii="Times New Roman" w:hAnsi="Times New Roman" w:eastAsia="宋体" w:cs="Times New Roman"/>
                <w:color w:val="auto"/>
                <w:spacing w:val="-1"/>
                <w:sz w:val="24"/>
                <w:szCs w:val="24"/>
              </w:rPr>
            </w:pPr>
            <w:r>
              <w:rPr>
                <w:rFonts w:hint="eastAsia" w:ascii="Times New Roman" w:hAnsi="Times New Roman" w:eastAsia="宋体"/>
                <w:color w:val="auto"/>
                <w:spacing w:val="7"/>
                <w:sz w:val="24"/>
                <w:szCs w:val="24"/>
                <w:lang w:val="en-US" w:eastAsia="zh-CN"/>
              </w:rPr>
              <w:t>本项目原料、倒边、抛光工序采用湿式加工工艺，可在粉尘生成瞬间高效捕获全部微细颗粒物，粉尘进入废水，无悬浮粉尘形成气相污染物，故本项目原料、倒边、抛光</w:t>
            </w:r>
            <w:r>
              <w:rPr>
                <w:rFonts w:hint="eastAsia" w:ascii="Times New Roman" w:hAnsi="Times New Roman" w:eastAsia="宋体" w:cs="宋体"/>
                <w:color w:val="auto"/>
                <w:kern w:val="2"/>
                <w:sz w:val="24"/>
                <w:szCs w:val="24"/>
                <w:highlight w:val="none"/>
                <w:lang w:val="en-US" w:eastAsia="zh-CN" w:bidi="ar-SA"/>
              </w:rPr>
              <w:t>湿式加工通过引入水或冷却液，能‌从源头抑制粉尘飞扬‌，空气中悬浮粉尘浓度通常可降低‌90%以上‌，基本消除可吸入颗粒物（PM</w:t>
            </w:r>
            <w:r>
              <w:rPr>
                <w:rFonts w:hint="eastAsia" w:ascii="Times New Roman" w:hAnsi="Times New Roman" w:eastAsia="宋体" w:cs="宋体"/>
                <w:color w:val="auto"/>
                <w:kern w:val="2"/>
                <w:sz w:val="24"/>
                <w:szCs w:val="24"/>
                <w:highlight w:val="none"/>
                <w:vertAlign w:val="subscript"/>
                <w:lang w:val="en-US" w:eastAsia="zh-CN" w:bidi="ar-SA"/>
              </w:rPr>
              <w:t>10</w:t>
            </w:r>
            <w:r>
              <w:rPr>
                <w:rFonts w:hint="eastAsia" w:ascii="Times New Roman" w:hAnsi="Times New Roman" w:eastAsia="宋体" w:cs="宋体"/>
                <w:color w:val="auto"/>
                <w:kern w:val="2"/>
                <w:sz w:val="24"/>
                <w:szCs w:val="24"/>
                <w:highlight w:val="none"/>
                <w:lang w:val="en-US" w:eastAsia="zh-CN" w:bidi="ar-SA"/>
              </w:rPr>
              <w:t>/PM</w:t>
            </w:r>
            <w:r>
              <w:rPr>
                <w:rFonts w:hint="eastAsia" w:ascii="Times New Roman" w:hAnsi="Times New Roman" w:eastAsia="宋体" w:cs="宋体"/>
                <w:color w:val="auto"/>
                <w:kern w:val="2"/>
                <w:sz w:val="24"/>
                <w:szCs w:val="24"/>
                <w:highlight w:val="none"/>
                <w:vertAlign w:val="subscript"/>
                <w:lang w:val="en-US" w:eastAsia="zh-CN" w:bidi="ar-SA"/>
              </w:rPr>
              <w:t>2.5</w:t>
            </w:r>
            <w:r>
              <w:rPr>
                <w:rFonts w:hint="eastAsia" w:ascii="Times New Roman" w:hAnsi="Times New Roman" w:eastAsia="宋体" w:cs="宋体"/>
                <w:color w:val="auto"/>
                <w:kern w:val="2"/>
                <w:sz w:val="24"/>
                <w:szCs w:val="24"/>
                <w:highlight w:val="none"/>
                <w:lang w:val="en-US" w:eastAsia="zh-CN" w:bidi="ar-SA"/>
              </w:rPr>
              <w:t>）的产生，大部分颗粒物随废水带走，极少部分无组织排放的颗粒物在厂房内自然沉降，基本不排放粉尘或含尘废气</w:t>
            </w:r>
            <w:r>
              <w:rPr>
                <w:rFonts w:hint="eastAsia" w:ascii="Times New Roman" w:hAnsi="Times New Roman" w:eastAsia="宋体"/>
                <w:color w:val="auto"/>
                <w:spacing w:val="7"/>
                <w:sz w:val="24"/>
                <w:szCs w:val="24"/>
                <w:lang w:val="en-US" w:eastAsia="zh-CN"/>
              </w:rPr>
              <w:t>。原料、倒边、抛光工程中涉及需要加入抛光粉</w:t>
            </w:r>
            <w:r>
              <w:rPr>
                <w:rFonts w:hint="eastAsia" w:ascii="Times New Roman" w:hAnsi="Times New Roman" w:eastAsia="宋体" w:cs="Times New Roman"/>
                <w:color w:val="auto"/>
                <w:spacing w:val="7"/>
                <w:sz w:val="24"/>
                <w:szCs w:val="24"/>
                <w:lang w:val="en-US" w:eastAsia="zh-CN"/>
              </w:rPr>
              <w:t>、偏钒酸铵、</w:t>
            </w:r>
            <w:r>
              <w:rPr>
                <w:rFonts w:hint="eastAsia" w:ascii="Times New Roman" w:hAnsi="Times New Roman" w:eastAsia="宋体"/>
                <w:color w:val="auto"/>
                <w:spacing w:val="7"/>
                <w:sz w:val="24"/>
                <w:szCs w:val="24"/>
                <w:lang w:val="en-US" w:eastAsia="zh-CN"/>
              </w:rPr>
              <w:t>氧化钇等原料</w:t>
            </w:r>
            <w:r>
              <w:rPr>
                <w:rFonts w:ascii="Times New Roman" w:hAnsi="Times New Roman" w:eastAsia="宋体"/>
                <w:color w:val="auto"/>
                <w:spacing w:val="7"/>
                <w:sz w:val="24"/>
                <w:szCs w:val="24"/>
              </w:rPr>
              <w:t>，为人工投</w:t>
            </w:r>
            <w:r>
              <w:rPr>
                <w:rFonts w:ascii="Times New Roman" w:hAnsi="Times New Roman" w:eastAsia="宋体"/>
                <w:color w:val="auto"/>
                <w:spacing w:val="6"/>
                <w:sz w:val="24"/>
                <w:szCs w:val="24"/>
              </w:rPr>
              <w:t>料，</w:t>
            </w:r>
            <w:r>
              <w:rPr>
                <w:rFonts w:ascii="Times New Roman" w:hAnsi="Times New Roman" w:eastAsia="宋体"/>
                <w:color w:val="auto"/>
                <w:spacing w:val="-5"/>
                <w:sz w:val="24"/>
                <w:szCs w:val="24"/>
              </w:rPr>
              <w:t>用量为</w:t>
            </w:r>
            <w:r>
              <w:rPr>
                <w:rFonts w:hint="eastAsia" w:ascii="Times New Roman" w:hAnsi="Times New Roman" w:eastAsia="宋体"/>
                <w:color w:val="auto"/>
                <w:spacing w:val="-5"/>
                <w:sz w:val="24"/>
                <w:szCs w:val="24"/>
                <w:lang w:val="en-US" w:eastAsia="zh-CN"/>
              </w:rPr>
              <w:t>60.06</w:t>
            </w:r>
            <w:r>
              <w:rPr>
                <w:rFonts w:ascii="Times New Roman" w:hAnsi="Times New Roman" w:eastAsia="宋体" w:cs="Times New Roman"/>
                <w:color w:val="auto"/>
                <w:spacing w:val="-5"/>
                <w:sz w:val="24"/>
                <w:szCs w:val="24"/>
              </w:rPr>
              <w:t>t/a</w:t>
            </w:r>
            <w:r>
              <w:rPr>
                <w:rFonts w:ascii="Times New Roman" w:hAnsi="Times New Roman" w:eastAsia="宋体"/>
                <w:color w:val="auto"/>
                <w:spacing w:val="-6"/>
                <w:sz w:val="24"/>
                <w:szCs w:val="24"/>
              </w:rPr>
              <w:t>，由于《排放源统计调查产排污核算方法和系数手册》</w:t>
            </w:r>
            <w:r>
              <w:rPr>
                <w:rFonts w:ascii="Times New Roman" w:hAnsi="Times New Roman" w:eastAsia="宋体"/>
                <w:color w:val="auto"/>
                <w:spacing w:val="-4"/>
                <w:sz w:val="24"/>
                <w:szCs w:val="24"/>
              </w:rPr>
              <w:t>“</w:t>
            </w:r>
            <w:r>
              <w:rPr>
                <w:rFonts w:hint="default" w:ascii="Times New Roman" w:hAnsi="Times New Roman" w:eastAsia="宋体" w:cs="宋体"/>
                <w:color w:val="auto"/>
                <w:kern w:val="2"/>
                <w:sz w:val="24"/>
                <w:szCs w:val="24"/>
                <w:lang w:val="en-US" w:eastAsia="zh-CN" w:bidi="ar-SA"/>
              </w:rPr>
              <w:t>38-40电子电气行业系数手册</w:t>
            </w:r>
            <w:r>
              <w:rPr>
                <w:rFonts w:ascii="Times New Roman" w:hAnsi="Times New Roman" w:eastAsia="宋体"/>
                <w:color w:val="auto"/>
                <w:spacing w:val="-4"/>
                <w:sz w:val="24"/>
                <w:szCs w:val="24"/>
              </w:rPr>
              <w:t>”中没有相关工序产污系数，按照经验系数取值</w:t>
            </w:r>
            <w:r>
              <w:rPr>
                <w:rFonts w:ascii="Times New Roman" w:hAnsi="Times New Roman" w:eastAsia="宋体" w:cs="Times New Roman"/>
                <w:color w:val="auto"/>
                <w:spacing w:val="-4"/>
                <w:sz w:val="24"/>
                <w:szCs w:val="24"/>
              </w:rPr>
              <w:t>0.1kg/t</w:t>
            </w:r>
            <w:r>
              <w:rPr>
                <w:rFonts w:ascii="Times New Roman" w:hAnsi="Times New Roman" w:eastAsia="宋体"/>
                <w:color w:val="auto"/>
                <w:spacing w:val="-3"/>
                <w:sz w:val="24"/>
                <w:szCs w:val="24"/>
              </w:rPr>
              <w:t>原料计算，则投料过程颗粒物产生量四舍五入后为</w:t>
            </w:r>
            <w:r>
              <w:rPr>
                <w:rFonts w:hint="eastAsia" w:ascii="Times New Roman" w:hAnsi="Times New Roman" w:eastAsia="宋体" w:cs="Times New Roman"/>
                <w:color w:val="auto"/>
                <w:spacing w:val="-3"/>
                <w:sz w:val="24"/>
                <w:szCs w:val="24"/>
                <w:lang w:val="en-US" w:eastAsia="zh-CN"/>
              </w:rPr>
              <w:t>6.006</w:t>
            </w:r>
            <w:r>
              <w:rPr>
                <w:rFonts w:ascii="Times New Roman" w:hAnsi="Times New Roman" w:eastAsia="宋体" w:cs="Times New Roman"/>
                <w:color w:val="auto"/>
                <w:spacing w:val="-3"/>
                <w:sz w:val="24"/>
                <w:szCs w:val="24"/>
              </w:rPr>
              <w:t>kg/a</w:t>
            </w:r>
            <w:r>
              <w:rPr>
                <w:rFonts w:ascii="Times New Roman" w:hAnsi="Times New Roman" w:eastAsia="宋体"/>
                <w:color w:val="auto"/>
                <w:spacing w:val="-3"/>
                <w:sz w:val="24"/>
                <w:szCs w:val="24"/>
              </w:rPr>
              <w:t>，其产生量很小，密度</w:t>
            </w:r>
            <w:r>
              <w:rPr>
                <w:rFonts w:ascii="Times New Roman" w:hAnsi="Times New Roman" w:eastAsia="宋体"/>
                <w:color w:val="auto"/>
                <w:sz w:val="24"/>
                <w:szCs w:val="24"/>
              </w:rPr>
              <w:t>较大，且投料过程在室内，环境空气稳定流速慢，</w:t>
            </w:r>
            <w:r>
              <w:rPr>
                <w:rFonts w:ascii="Times New Roman" w:hAnsi="Times New Roman" w:eastAsia="宋体"/>
                <w:color w:val="auto"/>
                <w:spacing w:val="-1"/>
                <w:sz w:val="24"/>
                <w:szCs w:val="24"/>
              </w:rPr>
              <w:t>大多数直接落入</w:t>
            </w:r>
            <w:r>
              <w:rPr>
                <w:rFonts w:hint="eastAsia" w:ascii="Times New Roman" w:hAnsi="Times New Roman" w:eastAsia="宋体"/>
                <w:color w:val="auto"/>
                <w:spacing w:val="-1"/>
                <w:sz w:val="24"/>
                <w:szCs w:val="24"/>
                <w:lang w:val="en-US" w:eastAsia="zh-CN"/>
              </w:rPr>
              <w:t>车间</w:t>
            </w:r>
            <w:r>
              <w:rPr>
                <w:rFonts w:ascii="Times New Roman" w:hAnsi="Times New Roman" w:eastAsia="宋体"/>
                <w:color w:val="auto"/>
                <w:spacing w:val="-1"/>
                <w:sz w:val="24"/>
                <w:szCs w:val="24"/>
              </w:rPr>
              <w:t>，因此</w:t>
            </w:r>
            <w:r>
              <w:rPr>
                <w:rFonts w:hint="eastAsia" w:ascii="Times New Roman" w:hAnsi="Times New Roman" w:eastAsia="宋体"/>
                <w:color w:val="auto"/>
                <w:spacing w:val="-1"/>
                <w:sz w:val="24"/>
                <w:szCs w:val="24"/>
                <w:lang w:val="en-US" w:eastAsia="zh-CN"/>
              </w:rPr>
              <w:t>采用车间/厂房密闭</w:t>
            </w:r>
            <w:r>
              <w:rPr>
                <w:rFonts w:ascii="Times New Roman" w:hAnsi="Times New Roman" w:eastAsia="宋体"/>
                <w:color w:val="auto"/>
                <w:spacing w:val="-1"/>
                <w:sz w:val="24"/>
                <w:szCs w:val="24"/>
              </w:rPr>
              <w:t>，少量无组织排放</w:t>
            </w:r>
            <w:r>
              <w:rPr>
                <w:rFonts w:hint="eastAsia" w:ascii="Times New Roman" w:hAnsi="Times New Roman" w:eastAsia="宋体"/>
                <w:color w:val="auto"/>
                <w:spacing w:val="-1"/>
                <w:sz w:val="24"/>
                <w:szCs w:val="24"/>
                <w:lang w:eastAsia="zh-CN"/>
              </w:rPr>
              <w:t>，</w:t>
            </w:r>
            <w:r>
              <w:rPr>
                <w:rFonts w:hint="eastAsia" w:ascii="Times New Roman" w:hAnsi="Times New Roman" w:eastAsia="宋体"/>
                <w:color w:val="auto"/>
                <w:spacing w:val="-1"/>
                <w:sz w:val="24"/>
                <w:szCs w:val="24"/>
                <w:lang w:val="en-US" w:eastAsia="zh-CN"/>
              </w:rPr>
              <w:t>车间自然沉降，</w:t>
            </w:r>
            <w:r>
              <w:rPr>
                <w:rFonts w:hint="default" w:ascii="Times New Roman" w:hAnsi="Times New Roman" w:eastAsia="宋体" w:cs="Times New Roman"/>
                <w:color w:val="auto"/>
                <w:kern w:val="2"/>
                <w:sz w:val="24"/>
                <w:szCs w:val="24"/>
                <w:lang w:val="en-US" w:eastAsia="zh-CN" w:bidi="ar-SA"/>
              </w:rPr>
              <w:t>约50%沉降在车间内，其余50%以无组织形式排放</w:t>
            </w:r>
            <w:r>
              <w:rPr>
                <w:rFonts w:hint="eastAsia" w:ascii="Times New Roman" w:hAnsi="Times New Roman" w:eastAsia="宋体" w:cs="Times New Roman"/>
                <w:color w:val="auto"/>
                <w:kern w:val="2"/>
                <w:sz w:val="24"/>
                <w:szCs w:val="24"/>
                <w:lang w:val="en-US" w:eastAsia="zh-CN" w:bidi="ar-SA"/>
              </w:rPr>
              <w:t>。</w:t>
            </w:r>
            <w:r>
              <w:rPr>
                <w:rFonts w:ascii="Times New Roman" w:hAnsi="Times New Roman" w:eastAsia="宋体" w:cs="宋体"/>
                <w:color w:val="auto"/>
                <w:sz w:val="24"/>
                <w:szCs w:val="24"/>
              </w:rPr>
              <w:t>项目电子级氨水用于光学元件湿法清洗工序，工序产生的游离氨废气主要来自挥发、化学品转移投料过</w:t>
            </w:r>
            <w:r>
              <w:rPr>
                <w:rFonts w:ascii="Times New Roman" w:hAnsi="Times New Roman" w:eastAsia="宋体" w:cs="Times New Roman"/>
                <w:color w:val="auto"/>
                <w:spacing w:val="-1"/>
                <w:sz w:val="24"/>
                <w:szCs w:val="24"/>
              </w:rPr>
              <w:t>程。</w:t>
            </w:r>
          </w:p>
          <w:p w14:paraId="7687D0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76" w:firstLineChars="200"/>
              <w:textAlignment w:val="auto"/>
              <w:rPr>
                <w:rFonts w:hint="default" w:ascii="Times New Roman" w:hAnsi="Times New Roman" w:eastAsia="宋体" w:cs="Times New Roman"/>
                <w:color w:val="auto"/>
                <w:spacing w:val="-1"/>
                <w:sz w:val="24"/>
                <w:szCs w:val="24"/>
                <w:lang w:val="en-US" w:eastAsia="zh-CN"/>
              </w:rPr>
            </w:pPr>
            <w:r>
              <w:rPr>
                <w:rFonts w:hint="eastAsia" w:ascii="Times New Roman" w:hAnsi="Times New Roman" w:eastAsia="宋体" w:cs="Times New Roman"/>
                <w:color w:val="auto"/>
                <w:spacing w:val="-1"/>
                <w:sz w:val="24"/>
                <w:szCs w:val="24"/>
                <w:lang w:eastAsia="zh-CN"/>
              </w:rPr>
              <w:t>（</w:t>
            </w:r>
            <w:r>
              <w:rPr>
                <w:rFonts w:hint="eastAsia" w:ascii="Times New Roman" w:hAnsi="Times New Roman" w:eastAsia="宋体" w:cs="Times New Roman"/>
                <w:color w:val="auto"/>
                <w:spacing w:val="-1"/>
                <w:sz w:val="24"/>
                <w:szCs w:val="24"/>
                <w:lang w:val="en-US" w:eastAsia="zh-CN"/>
              </w:rPr>
              <w:t>6</w:t>
            </w:r>
            <w:r>
              <w:rPr>
                <w:rFonts w:hint="eastAsia" w:ascii="Times New Roman" w:hAnsi="Times New Roman" w:eastAsia="宋体" w:cs="Times New Roman"/>
                <w:color w:val="auto"/>
                <w:spacing w:val="-1"/>
                <w:sz w:val="24"/>
                <w:szCs w:val="24"/>
                <w:lang w:eastAsia="zh-CN"/>
              </w:rPr>
              <w:t>）</w:t>
            </w:r>
            <w:r>
              <w:rPr>
                <w:rFonts w:hint="eastAsia" w:ascii="Times New Roman" w:hAnsi="Times New Roman" w:eastAsia="宋体" w:cs="Times New Roman"/>
                <w:color w:val="auto"/>
                <w:spacing w:val="-1"/>
                <w:sz w:val="24"/>
                <w:szCs w:val="24"/>
                <w:lang w:val="en-US" w:eastAsia="zh-CN"/>
              </w:rPr>
              <w:t>晶体生长废气</w:t>
            </w:r>
          </w:p>
          <w:p w14:paraId="3A34F6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76" w:firstLineChars="200"/>
              <w:textAlignment w:val="auto"/>
              <w:rPr>
                <w:rFonts w:hint="default" w:ascii="Times New Roman" w:hAnsi="Times New Roman" w:eastAsia="宋体" w:cs="宋体"/>
                <w:color w:val="auto"/>
                <w:kern w:val="2"/>
                <w:sz w:val="24"/>
                <w:szCs w:val="24"/>
                <w:vertAlign w:val="baseline"/>
                <w:lang w:val="en-US" w:eastAsia="zh-CN" w:bidi="ar-SA"/>
              </w:rPr>
            </w:pPr>
            <w:r>
              <w:rPr>
                <w:rFonts w:ascii="Times New Roman" w:hAnsi="Times New Roman" w:eastAsia="宋体" w:cs="Times New Roman"/>
                <w:color w:val="auto"/>
                <w:spacing w:val="-1"/>
                <w:sz w:val="24"/>
                <w:szCs w:val="24"/>
              </w:rPr>
              <w:t>项目使用1%氢氧化铵（氨水）水溶液，年消耗量0.5t/a。经物料衡算，原料中总氨量0.002429t/a。常温工况下</w:t>
            </w:r>
            <w:r>
              <w:rPr>
                <w:rFonts w:hint="eastAsia" w:ascii="Times New Roman" w:hAnsi="Times New Roman" w:eastAsia="宋体" w:cs="Times New Roman"/>
                <w:color w:val="auto"/>
                <w:spacing w:val="-1"/>
                <w:sz w:val="24"/>
                <w:szCs w:val="24"/>
                <w:lang w:val="en-US" w:eastAsia="zh-CN"/>
              </w:rPr>
              <w:t>炉体</w:t>
            </w:r>
            <w:r>
              <w:rPr>
                <w:rFonts w:ascii="Times New Roman" w:hAnsi="Times New Roman" w:eastAsia="宋体" w:cs="Times New Roman"/>
                <w:color w:val="auto"/>
                <w:spacing w:val="-1"/>
                <w:sz w:val="24"/>
                <w:szCs w:val="24"/>
              </w:rPr>
              <w:t>内游离氨挥发比例取5%；配套</w:t>
            </w:r>
            <w:r>
              <w:rPr>
                <w:rFonts w:hint="eastAsia" w:ascii="Times New Roman" w:hAnsi="Times New Roman" w:eastAsia="宋体" w:cs="Times New Roman"/>
                <w:color w:val="auto"/>
                <w:spacing w:val="-1"/>
                <w:sz w:val="24"/>
                <w:szCs w:val="24"/>
                <w:lang w:val="en-US" w:eastAsia="zh-CN"/>
              </w:rPr>
              <w:t>通风橱1000m</w:t>
            </w:r>
            <w:r>
              <w:rPr>
                <w:rFonts w:hint="eastAsia" w:ascii="Times New Roman" w:hAnsi="Times New Roman" w:eastAsia="宋体" w:cs="Times New Roman"/>
                <w:color w:val="auto"/>
                <w:spacing w:val="-1"/>
                <w:sz w:val="24"/>
                <w:szCs w:val="24"/>
                <w:vertAlign w:val="superscript"/>
                <w:lang w:val="en-US" w:eastAsia="zh-CN"/>
              </w:rPr>
              <w:t>3</w:t>
            </w:r>
            <w:r>
              <w:rPr>
                <w:rFonts w:hint="eastAsia" w:ascii="Times New Roman" w:hAnsi="Times New Roman" w:eastAsia="宋体" w:cs="Times New Roman"/>
                <w:color w:val="auto"/>
                <w:spacing w:val="-1"/>
                <w:sz w:val="24"/>
                <w:szCs w:val="24"/>
                <w:lang w:val="en-US" w:eastAsia="zh-CN"/>
              </w:rPr>
              <w:t>/h</w:t>
            </w:r>
            <w:r>
              <w:rPr>
                <w:rFonts w:ascii="Times New Roman" w:hAnsi="Times New Roman" w:eastAsia="宋体" w:cs="Times New Roman"/>
                <w:color w:val="auto"/>
                <w:spacing w:val="-1"/>
                <w:sz w:val="24"/>
                <w:szCs w:val="24"/>
              </w:rPr>
              <w:t>设施，集气效率90%，未被收集挥发氨形成无组织排放；同时考虑化学品转运、配液过程损耗（按总氨0.5%计）。原料密闭封储存，呼吸损耗不予定量核算。汇总得到无组织氨产生总量0.0000243t/a。无组织氨执行</w:t>
            </w:r>
            <w:r>
              <w:rPr>
                <w:rFonts w:hint="eastAsia" w:ascii="Times New Roman" w:hAnsi="Times New Roman" w:eastAsia="宋体" w:cs="Times New Roman"/>
                <w:color w:val="auto"/>
                <w:spacing w:val="-1"/>
                <w:sz w:val="24"/>
                <w:szCs w:val="24"/>
                <w:lang w:val="en-US" w:eastAsia="zh-CN"/>
              </w:rPr>
              <w:t>《</w:t>
            </w:r>
            <w:r>
              <w:rPr>
                <w:rFonts w:ascii="Times New Roman" w:hAnsi="Times New Roman" w:eastAsia="宋体" w:cs="Times New Roman"/>
                <w:color w:val="auto"/>
                <w:spacing w:val="-1"/>
                <w:sz w:val="24"/>
                <w:szCs w:val="24"/>
              </w:rPr>
              <w:t>恶臭污染物排放标准》（GB14554-93）表1二级新扩改建标准。</w:t>
            </w:r>
          </w:p>
        </w:tc>
      </w:tr>
    </w:tbl>
    <w:p w14:paraId="6C3AAE14">
      <w:pPr>
        <w:pStyle w:val="5"/>
        <w:bidi w:val="0"/>
        <w:jc w:val="both"/>
        <w:rPr>
          <w:rFonts w:hint="eastAsia"/>
          <w:color w:val="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17"/>
        <w:tblW w:w="152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666"/>
      </w:tblGrid>
      <w:tr w14:paraId="57AA08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10" w:hRule="atLeast"/>
          <w:jc w:val="center"/>
        </w:trPr>
        <w:tc>
          <w:tcPr>
            <w:tcW w:w="534" w:type="dxa"/>
            <w:noWrap w:val="0"/>
            <w:tcMar>
              <w:left w:w="28" w:type="dxa"/>
              <w:right w:w="28" w:type="dxa"/>
            </w:tcMar>
            <w:vAlign w:val="center"/>
          </w:tcPr>
          <w:p w14:paraId="6EE066D6">
            <w:pPr>
              <w:adjustRightInd w:val="0"/>
              <w:snapToGrid w:val="0"/>
              <w:jc w:val="center"/>
              <w:rPr>
                <w:rFonts w:hint="eastAsia" w:ascii="宋体" w:hAnsi="宋体" w:eastAsia="宋体" w:cs="宋体"/>
                <w:bCs/>
                <w:color w:val="auto"/>
                <w:szCs w:val="21"/>
              </w:rPr>
            </w:pPr>
            <w:r>
              <w:rPr>
                <w:rFonts w:hint="eastAsia" w:ascii="宋体" w:hAnsi="宋体" w:eastAsia="宋体" w:cs="宋体"/>
                <w:bCs/>
                <w:color w:val="auto"/>
                <w:szCs w:val="21"/>
              </w:rPr>
              <w:t>运营</w:t>
            </w:r>
          </w:p>
          <w:p w14:paraId="3473BFBF">
            <w:pPr>
              <w:adjustRightInd w:val="0"/>
              <w:snapToGrid w:val="0"/>
              <w:jc w:val="center"/>
              <w:rPr>
                <w:rFonts w:hint="eastAsia" w:ascii="宋体" w:hAnsi="宋体" w:eastAsia="宋体" w:cs="宋体"/>
                <w:bCs/>
                <w:color w:val="auto"/>
                <w:szCs w:val="21"/>
              </w:rPr>
            </w:pPr>
            <w:r>
              <w:rPr>
                <w:rFonts w:hint="eastAsia" w:ascii="宋体" w:hAnsi="宋体" w:eastAsia="宋体" w:cs="宋体"/>
                <w:bCs/>
                <w:color w:val="auto"/>
                <w:szCs w:val="21"/>
              </w:rPr>
              <w:t>期环</w:t>
            </w:r>
          </w:p>
          <w:p w14:paraId="35CF528C">
            <w:pPr>
              <w:adjustRightInd w:val="0"/>
              <w:snapToGrid w:val="0"/>
              <w:jc w:val="center"/>
              <w:rPr>
                <w:rFonts w:hint="eastAsia" w:ascii="宋体" w:hAnsi="宋体" w:eastAsia="宋体" w:cs="宋体"/>
                <w:bCs/>
                <w:color w:val="auto"/>
                <w:szCs w:val="21"/>
              </w:rPr>
            </w:pPr>
            <w:r>
              <w:rPr>
                <w:rFonts w:hint="eastAsia" w:ascii="宋体" w:hAnsi="宋体" w:eastAsia="宋体" w:cs="宋体"/>
                <w:bCs/>
                <w:color w:val="auto"/>
                <w:szCs w:val="21"/>
              </w:rPr>
              <w:t>境影</w:t>
            </w:r>
          </w:p>
          <w:p w14:paraId="40A85EA5">
            <w:pPr>
              <w:adjustRightInd w:val="0"/>
              <w:snapToGrid w:val="0"/>
              <w:jc w:val="center"/>
              <w:rPr>
                <w:rFonts w:hint="eastAsia" w:ascii="宋体" w:hAnsi="宋体" w:eastAsia="宋体" w:cs="宋体"/>
                <w:bCs/>
                <w:color w:val="auto"/>
                <w:szCs w:val="21"/>
              </w:rPr>
            </w:pPr>
            <w:r>
              <w:rPr>
                <w:rFonts w:hint="eastAsia" w:ascii="宋体" w:hAnsi="宋体" w:eastAsia="宋体" w:cs="宋体"/>
                <w:bCs/>
                <w:color w:val="auto"/>
                <w:szCs w:val="21"/>
              </w:rPr>
              <w:t>响和</w:t>
            </w:r>
          </w:p>
          <w:p w14:paraId="7E4245B1">
            <w:pPr>
              <w:adjustRightInd w:val="0"/>
              <w:snapToGrid w:val="0"/>
              <w:jc w:val="center"/>
              <w:rPr>
                <w:rFonts w:hint="eastAsia" w:ascii="宋体" w:hAnsi="宋体" w:eastAsia="宋体" w:cs="宋体"/>
                <w:bCs/>
                <w:color w:val="auto"/>
                <w:szCs w:val="21"/>
              </w:rPr>
            </w:pPr>
            <w:r>
              <w:rPr>
                <w:rFonts w:hint="eastAsia" w:ascii="宋体" w:hAnsi="宋体" w:eastAsia="宋体" w:cs="宋体"/>
                <w:bCs/>
                <w:color w:val="auto"/>
                <w:szCs w:val="21"/>
              </w:rPr>
              <w:t>保护</w:t>
            </w:r>
          </w:p>
          <w:p w14:paraId="26B8B3AA">
            <w:pPr>
              <w:adjustRightInd w:val="0"/>
              <w:snapToGrid w:val="0"/>
              <w:jc w:val="center"/>
              <w:rPr>
                <w:rFonts w:ascii="宋体" w:hAnsi="宋体" w:eastAsia="宋体" w:cs="宋体"/>
                <w:bCs/>
                <w:color w:val="auto"/>
                <w:szCs w:val="21"/>
              </w:rPr>
            </w:pPr>
            <w:r>
              <w:rPr>
                <w:rFonts w:hint="eastAsia" w:ascii="宋体" w:hAnsi="宋体" w:eastAsia="宋体" w:cs="宋体"/>
                <w:bCs/>
                <w:color w:val="auto"/>
                <w:szCs w:val="21"/>
              </w:rPr>
              <w:t>措施</w:t>
            </w:r>
          </w:p>
        </w:tc>
        <w:tc>
          <w:tcPr>
            <w:tcW w:w="14666" w:type="dxa"/>
            <w:noWrap w:val="0"/>
            <w:vAlign w:val="top"/>
          </w:tcPr>
          <w:p w14:paraId="505DBCF3">
            <w:pPr>
              <w:pStyle w:val="24"/>
              <w:bidi w:val="0"/>
              <w:rPr>
                <w:rFonts w:hint="default"/>
                <w:color w:val="auto"/>
                <w:lang w:val="en-US" w:eastAsia="zh-CN"/>
              </w:rPr>
            </w:pPr>
            <w:r>
              <w:rPr>
                <w:rFonts w:hint="eastAsia"/>
                <w:color w:val="auto"/>
                <w:lang w:val="en-US" w:eastAsia="zh-CN"/>
              </w:rPr>
              <w:t>表4.2-1  本项目废气产排情况一览表</w:t>
            </w:r>
          </w:p>
          <w:tbl>
            <w:tblPr>
              <w:tblStyle w:val="17"/>
              <w:tblW w:w="14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98"/>
              <w:gridCol w:w="915"/>
              <w:gridCol w:w="870"/>
              <w:gridCol w:w="870"/>
              <w:gridCol w:w="870"/>
              <w:gridCol w:w="585"/>
              <w:gridCol w:w="885"/>
              <w:gridCol w:w="630"/>
              <w:gridCol w:w="690"/>
              <w:gridCol w:w="897"/>
              <w:gridCol w:w="974"/>
              <w:gridCol w:w="770"/>
              <w:gridCol w:w="721"/>
              <w:gridCol w:w="867"/>
              <w:gridCol w:w="692"/>
              <w:gridCol w:w="619"/>
              <w:gridCol w:w="229"/>
              <w:gridCol w:w="6"/>
              <w:gridCol w:w="384"/>
              <w:gridCol w:w="111"/>
              <w:gridCol w:w="3"/>
              <w:gridCol w:w="505"/>
              <w:gridCol w:w="43"/>
              <w:gridCol w:w="4"/>
              <w:gridCol w:w="575"/>
            </w:tblGrid>
            <w:tr w14:paraId="2F45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7" w:hRule="atLeast"/>
                <w:jc w:val="center"/>
              </w:trPr>
              <w:tc>
                <w:tcPr>
                  <w:tcW w:w="898" w:type="dxa"/>
                  <w:vMerge w:val="restart"/>
                  <w:tcBorders>
                    <w:tl2br w:val="nil"/>
                    <w:tr2bl w:val="nil"/>
                  </w:tcBorders>
                  <w:noWrap w:val="0"/>
                  <w:vAlign w:val="center"/>
                </w:tcPr>
                <w:p w14:paraId="027C0735">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产污环节</w:t>
                  </w:r>
                </w:p>
              </w:tc>
              <w:tc>
                <w:tcPr>
                  <w:tcW w:w="915" w:type="dxa"/>
                  <w:vMerge w:val="restart"/>
                  <w:tcBorders>
                    <w:tl2br w:val="nil"/>
                    <w:tr2bl w:val="nil"/>
                  </w:tcBorders>
                  <w:noWrap w:val="0"/>
                  <w:vAlign w:val="center"/>
                </w:tcPr>
                <w:p w14:paraId="3847D601">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污染物</w:t>
                  </w:r>
                </w:p>
              </w:tc>
              <w:tc>
                <w:tcPr>
                  <w:tcW w:w="1740" w:type="dxa"/>
                  <w:gridSpan w:val="2"/>
                  <w:tcBorders>
                    <w:tl2br w:val="nil"/>
                    <w:tr2bl w:val="nil"/>
                  </w:tcBorders>
                  <w:noWrap w:val="0"/>
                  <w:vAlign w:val="center"/>
                </w:tcPr>
                <w:p w14:paraId="1A17FFE0">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产生源强</w:t>
                  </w:r>
                </w:p>
              </w:tc>
              <w:tc>
                <w:tcPr>
                  <w:tcW w:w="870" w:type="dxa"/>
                  <w:vMerge w:val="restart"/>
                  <w:tcBorders>
                    <w:tl2br w:val="nil"/>
                    <w:tr2bl w:val="nil"/>
                  </w:tcBorders>
                  <w:noWrap w:val="0"/>
                  <w:tcMar>
                    <w:top w:w="0" w:type="dxa"/>
                    <w:left w:w="28" w:type="dxa"/>
                    <w:bottom w:w="0" w:type="dxa"/>
                    <w:right w:w="28" w:type="dxa"/>
                  </w:tcMar>
                  <w:vAlign w:val="center"/>
                </w:tcPr>
                <w:p w14:paraId="01B0BFA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收集措施</w:t>
                  </w:r>
                </w:p>
              </w:tc>
              <w:tc>
                <w:tcPr>
                  <w:tcW w:w="585" w:type="dxa"/>
                  <w:vMerge w:val="restart"/>
                  <w:tcBorders>
                    <w:tl2br w:val="nil"/>
                    <w:tr2bl w:val="nil"/>
                  </w:tcBorders>
                  <w:noWrap w:val="0"/>
                  <w:tcMar>
                    <w:top w:w="0" w:type="dxa"/>
                    <w:left w:w="28" w:type="dxa"/>
                    <w:bottom w:w="0" w:type="dxa"/>
                    <w:right w:w="28" w:type="dxa"/>
                  </w:tcMar>
                  <w:vAlign w:val="center"/>
                </w:tcPr>
                <w:p w14:paraId="525BBE05">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收集效率</w:t>
                  </w:r>
                  <w:r>
                    <w:rPr>
                      <w:rFonts w:ascii="Times New Roman" w:hAnsi="Times New Roman" w:eastAsia="宋体" w:cs="Times New Roman"/>
                      <w:b/>
                      <w:bCs/>
                      <w:color w:val="auto"/>
                      <w:kern w:val="0"/>
                      <w:sz w:val="21"/>
                      <w:szCs w:val="21"/>
                      <w:lang w:val="en-US" w:eastAsia="zh-CN" w:bidi="ar-SA"/>
                    </w:rPr>
                    <w:t>%</w:t>
                  </w:r>
                </w:p>
              </w:tc>
              <w:tc>
                <w:tcPr>
                  <w:tcW w:w="885" w:type="dxa"/>
                  <w:vMerge w:val="restart"/>
                  <w:tcBorders>
                    <w:tl2br w:val="nil"/>
                    <w:tr2bl w:val="nil"/>
                  </w:tcBorders>
                  <w:noWrap w:val="0"/>
                  <w:tcMar>
                    <w:top w:w="0" w:type="dxa"/>
                    <w:left w:w="28" w:type="dxa"/>
                    <w:bottom w:w="0" w:type="dxa"/>
                    <w:right w:w="28" w:type="dxa"/>
                  </w:tcMar>
                  <w:vAlign w:val="center"/>
                </w:tcPr>
                <w:p w14:paraId="1FCAE633">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治理措施</w:t>
                  </w:r>
                </w:p>
              </w:tc>
              <w:tc>
                <w:tcPr>
                  <w:tcW w:w="630" w:type="dxa"/>
                  <w:vMerge w:val="restart"/>
                  <w:tcBorders>
                    <w:tl2br w:val="nil"/>
                    <w:tr2bl w:val="nil"/>
                  </w:tcBorders>
                  <w:noWrap w:val="0"/>
                  <w:tcMar>
                    <w:top w:w="0" w:type="dxa"/>
                    <w:left w:w="28" w:type="dxa"/>
                    <w:bottom w:w="0" w:type="dxa"/>
                    <w:right w:w="28" w:type="dxa"/>
                  </w:tcMar>
                  <w:vAlign w:val="center"/>
                </w:tcPr>
                <w:p w14:paraId="26867FEC">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处理效率</w:t>
                  </w:r>
                </w:p>
                <w:p w14:paraId="344F78D9">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1"/>
                      <w:lang w:val="en-US" w:eastAsia="zh-CN" w:bidi="ar-SA"/>
                    </w:rPr>
                  </w:pPr>
                  <w:r>
                    <w:rPr>
                      <w:rFonts w:ascii="Times New Roman" w:hAnsi="Times New Roman" w:eastAsia="宋体" w:cs="Times New Roman"/>
                      <w:b/>
                      <w:bCs/>
                      <w:color w:val="auto"/>
                      <w:kern w:val="0"/>
                      <w:sz w:val="21"/>
                      <w:szCs w:val="21"/>
                      <w:lang w:val="en-US" w:eastAsia="zh-CN" w:bidi="ar-SA"/>
                    </w:rPr>
                    <w:t>%</w:t>
                  </w:r>
                </w:p>
              </w:tc>
              <w:tc>
                <w:tcPr>
                  <w:tcW w:w="690" w:type="dxa"/>
                  <w:vMerge w:val="restart"/>
                  <w:tcBorders>
                    <w:tl2br w:val="nil"/>
                    <w:tr2bl w:val="nil"/>
                  </w:tcBorders>
                  <w:noWrap w:val="0"/>
                  <w:vAlign w:val="center"/>
                </w:tcPr>
                <w:p w14:paraId="59EBF7D7">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措施技术是否可行</w:t>
                  </w:r>
                </w:p>
              </w:tc>
              <w:tc>
                <w:tcPr>
                  <w:tcW w:w="897" w:type="dxa"/>
                  <w:vMerge w:val="restart"/>
                  <w:tcBorders>
                    <w:tl2br w:val="nil"/>
                    <w:tr2bl w:val="nil"/>
                  </w:tcBorders>
                  <w:noWrap w:val="0"/>
                  <w:tcMar>
                    <w:top w:w="0" w:type="dxa"/>
                    <w:left w:w="28" w:type="dxa"/>
                    <w:bottom w:w="0" w:type="dxa"/>
                    <w:right w:w="28" w:type="dxa"/>
                  </w:tcMar>
                  <w:vAlign w:val="center"/>
                </w:tcPr>
                <w:p w14:paraId="151AE585">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排放形式</w:t>
                  </w:r>
                </w:p>
              </w:tc>
              <w:tc>
                <w:tcPr>
                  <w:tcW w:w="3332" w:type="dxa"/>
                  <w:gridSpan w:val="4"/>
                  <w:tcBorders>
                    <w:tl2br w:val="nil"/>
                    <w:tr2bl w:val="nil"/>
                  </w:tcBorders>
                  <w:noWrap w:val="0"/>
                  <w:tcMar>
                    <w:top w:w="0" w:type="dxa"/>
                    <w:left w:w="28" w:type="dxa"/>
                    <w:bottom w:w="0" w:type="dxa"/>
                    <w:right w:w="28" w:type="dxa"/>
                  </w:tcMar>
                  <w:vAlign w:val="center"/>
                </w:tcPr>
                <w:p w14:paraId="3C2BB4FB">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排放源强</w:t>
                  </w:r>
                </w:p>
              </w:tc>
              <w:tc>
                <w:tcPr>
                  <w:tcW w:w="692" w:type="dxa"/>
                  <w:vMerge w:val="restart"/>
                  <w:tcBorders>
                    <w:tl2br w:val="nil"/>
                    <w:tr2bl w:val="nil"/>
                  </w:tcBorders>
                  <w:noWrap w:val="0"/>
                  <w:vAlign w:val="center"/>
                </w:tcPr>
                <w:p w14:paraId="52BD2AD0">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年排放时间</w:t>
                  </w:r>
                  <w:r>
                    <w:rPr>
                      <w:rFonts w:ascii="Times New Roman" w:hAnsi="Times New Roman" w:eastAsia="宋体" w:cs="Times New Roman"/>
                      <w:b/>
                      <w:bCs/>
                      <w:color w:val="auto"/>
                      <w:kern w:val="0"/>
                      <w:sz w:val="21"/>
                      <w:szCs w:val="21"/>
                      <w:lang w:val="en-US" w:eastAsia="zh-CN" w:bidi="ar-SA"/>
                    </w:rPr>
                    <w:t>h/a</w:t>
                  </w:r>
                </w:p>
              </w:tc>
              <w:tc>
                <w:tcPr>
                  <w:tcW w:w="2479" w:type="dxa"/>
                  <w:gridSpan w:val="10"/>
                  <w:tcBorders>
                    <w:tl2br w:val="nil"/>
                    <w:tr2bl w:val="nil"/>
                  </w:tcBorders>
                  <w:noWrap w:val="0"/>
                  <w:vAlign w:val="center"/>
                </w:tcPr>
                <w:p w14:paraId="77DC46E3">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排气筒概况</w:t>
                  </w:r>
                </w:p>
              </w:tc>
            </w:tr>
            <w:tr w14:paraId="7F5DA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0" w:hRule="atLeast"/>
                <w:jc w:val="center"/>
              </w:trPr>
              <w:tc>
                <w:tcPr>
                  <w:tcW w:w="898" w:type="dxa"/>
                  <w:vMerge w:val="continue"/>
                  <w:tcBorders>
                    <w:tl2br w:val="nil"/>
                    <w:tr2bl w:val="nil"/>
                  </w:tcBorders>
                  <w:noWrap w:val="0"/>
                  <w:vAlign w:val="center"/>
                </w:tcPr>
                <w:p w14:paraId="4924FAF7">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1"/>
                      <w:lang w:val="en-US" w:eastAsia="zh-CN" w:bidi="ar-SA"/>
                    </w:rPr>
                  </w:pPr>
                </w:p>
              </w:tc>
              <w:tc>
                <w:tcPr>
                  <w:tcW w:w="915" w:type="dxa"/>
                  <w:vMerge w:val="continue"/>
                  <w:tcBorders>
                    <w:tl2br w:val="nil"/>
                    <w:tr2bl w:val="nil"/>
                  </w:tcBorders>
                  <w:noWrap w:val="0"/>
                  <w:vAlign w:val="center"/>
                </w:tcPr>
                <w:p w14:paraId="308C52D5">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1"/>
                      <w:lang w:val="en-US" w:eastAsia="zh-CN" w:bidi="ar-SA"/>
                    </w:rPr>
                  </w:pPr>
                </w:p>
              </w:tc>
              <w:tc>
                <w:tcPr>
                  <w:tcW w:w="870" w:type="dxa"/>
                  <w:tcBorders>
                    <w:tl2br w:val="nil"/>
                    <w:tr2bl w:val="nil"/>
                  </w:tcBorders>
                  <w:noWrap w:val="0"/>
                  <w:vAlign w:val="center"/>
                </w:tcPr>
                <w:p w14:paraId="662A04B8">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主要污染物产生量</w:t>
                  </w:r>
                  <w:r>
                    <w:rPr>
                      <w:rFonts w:ascii="Times New Roman" w:hAnsi="Times New Roman" w:eastAsia="宋体" w:cs="Times New Roman"/>
                      <w:b/>
                      <w:bCs/>
                      <w:color w:val="auto"/>
                      <w:kern w:val="0"/>
                      <w:sz w:val="21"/>
                      <w:szCs w:val="21"/>
                      <w:lang w:val="en-US" w:eastAsia="zh-CN" w:bidi="ar-SA"/>
                    </w:rPr>
                    <w:t>t/a</w:t>
                  </w:r>
                </w:p>
              </w:tc>
              <w:tc>
                <w:tcPr>
                  <w:tcW w:w="870" w:type="dxa"/>
                  <w:tcBorders>
                    <w:tl2br w:val="nil"/>
                    <w:tr2bl w:val="nil"/>
                  </w:tcBorders>
                  <w:noWrap w:val="0"/>
                  <w:vAlign w:val="center"/>
                </w:tcPr>
                <w:p w14:paraId="1970B097">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主要污染物产生速率</w:t>
                  </w:r>
                  <w:r>
                    <w:rPr>
                      <w:rFonts w:ascii="Times New Roman" w:hAnsi="Times New Roman" w:eastAsia="宋体" w:cs="Times New Roman"/>
                      <w:b/>
                      <w:bCs/>
                      <w:color w:val="auto"/>
                      <w:kern w:val="0"/>
                      <w:sz w:val="21"/>
                      <w:szCs w:val="21"/>
                      <w:lang w:val="en-US" w:eastAsia="zh-CN" w:bidi="ar-SA"/>
                    </w:rPr>
                    <w:t>kg/h</w:t>
                  </w:r>
                </w:p>
              </w:tc>
              <w:tc>
                <w:tcPr>
                  <w:tcW w:w="870" w:type="dxa"/>
                  <w:vMerge w:val="continue"/>
                  <w:tcBorders>
                    <w:tl2br w:val="nil"/>
                    <w:tr2bl w:val="nil"/>
                  </w:tcBorders>
                  <w:noWrap w:val="0"/>
                  <w:vAlign w:val="center"/>
                </w:tcPr>
                <w:p w14:paraId="51101F13">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1"/>
                      <w:lang w:val="en-US" w:eastAsia="zh-CN" w:bidi="ar-SA"/>
                    </w:rPr>
                  </w:pPr>
                </w:p>
              </w:tc>
              <w:tc>
                <w:tcPr>
                  <w:tcW w:w="585" w:type="dxa"/>
                  <w:vMerge w:val="continue"/>
                  <w:tcBorders>
                    <w:tl2br w:val="nil"/>
                    <w:tr2bl w:val="nil"/>
                  </w:tcBorders>
                  <w:noWrap w:val="0"/>
                  <w:vAlign w:val="center"/>
                </w:tcPr>
                <w:p w14:paraId="5DEA62C9">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1"/>
                      <w:lang w:val="en-US" w:eastAsia="zh-CN" w:bidi="ar-SA"/>
                    </w:rPr>
                  </w:pPr>
                </w:p>
              </w:tc>
              <w:tc>
                <w:tcPr>
                  <w:tcW w:w="885" w:type="dxa"/>
                  <w:vMerge w:val="continue"/>
                  <w:tcBorders>
                    <w:tl2br w:val="nil"/>
                    <w:tr2bl w:val="nil"/>
                  </w:tcBorders>
                  <w:noWrap w:val="0"/>
                  <w:vAlign w:val="center"/>
                </w:tcPr>
                <w:p w14:paraId="509BEE2F">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1"/>
                      <w:lang w:val="en-US" w:eastAsia="zh-CN" w:bidi="ar-SA"/>
                    </w:rPr>
                  </w:pPr>
                </w:p>
              </w:tc>
              <w:tc>
                <w:tcPr>
                  <w:tcW w:w="630" w:type="dxa"/>
                  <w:vMerge w:val="continue"/>
                  <w:tcBorders>
                    <w:tl2br w:val="nil"/>
                    <w:tr2bl w:val="nil"/>
                  </w:tcBorders>
                  <w:noWrap w:val="0"/>
                  <w:vAlign w:val="center"/>
                </w:tcPr>
                <w:p w14:paraId="50FEB25C">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1"/>
                      <w:lang w:val="en-US" w:eastAsia="zh-CN" w:bidi="ar-SA"/>
                    </w:rPr>
                  </w:pPr>
                </w:p>
              </w:tc>
              <w:tc>
                <w:tcPr>
                  <w:tcW w:w="690" w:type="dxa"/>
                  <w:vMerge w:val="continue"/>
                  <w:tcBorders>
                    <w:tl2br w:val="nil"/>
                    <w:tr2bl w:val="nil"/>
                  </w:tcBorders>
                  <w:noWrap w:val="0"/>
                  <w:vAlign w:val="center"/>
                </w:tcPr>
                <w:p w14:paraId="4D4E50BA">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1"/>
                      <w:lang w:val="en-US" w:eastAsia="zh-CN" w:bidi="ar-SA"/>
                    </w:rPr>
                  </w:pPr>
                </w:p>
              </w:tc>
              <w:tc>
                <w:tcPr>
                  <w:tcW w:w="897" w:type="dxa"/>
                  <w:vMerge w:val="continue"/>
                  <w:tcBorders>
                    <w:tl2br w:val="nil"/>
                    <w:tr2bl w:val="nil"/>
                  </w:tcBorders>
                  <w:noWrap w:val="0"/>
                  <w:vAlign w:val="center"/>
                </w:tcPr>
                <w:p w14:paraId="715C3E49">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b/>
                      <w:bCs/>
                      <w:color w:val="auto"/>
                      <w:kern w:val="0"/>
                      <w:sz w:val="21"/>
                      <w:szCs w:val="21"/>
                      <w:lang w:val="en-US" w:eastAsia="zh-CN" w:bidi="ar-SA"/>
                    </w:rPr>
                  </w:pPr>
                </w:p>
              </w:tc>
              <w:tc>
                <w:tcPr>
                  <w:tcW w:w="974" w:type="dxa"/>
                  <w:tcBorders>
                    <w:tl2br w:val="nil"/>
                    <w:tr2bl w:val="nil"/>
                  </w:tcBorders>
                  <w:noWrap w:val="0"/>
                  <w:vAlign w:val="center"/>
                </w:tcPr>
                <w:p w14:paraId="4B05BF0D">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主要污染物排放量</w:t>
                  </w:r>
                  <w:r>
                    <w:rPr>
                      <w:rFonts w:ascii="Times New Roman" w:hAnsi="Times New Roman" w:eastAsia="宋体" w:cs="Times New Roman"/>
                      <w:b/>
                      <w:bCs/>
                      <w:color w:val="auto"/>
                      <w:kern w:val="0"/>
                      <w:sz w:val="21"/>
                      <w:szCs w:val="21"/>
                      <w:lang w:val="en-US" w:eastAsia="zh-CN" w:bidi="ar-SA"/>
                    </w:rPr>
                    <w:t>t/a</w:t>
                  </w:r>
                </w:p>
              </w:tc>
              <w:tc>
                <w:tcPr>
                  <w:tcW w:w="770" w:type="dxa"/>
                  <w:tcBorders>
                    <w:tl2br w:val="nil"/>
                    <w:tr2bl w:val="nil"/>
                  </w:tcBorders>
                  <w:noWrap w:val="0"/>
                  <w:tcMar>
                    <w:top w:w="0" w:type="dxa"/>
                    <w:left w:w="28" w:type="dxa"/>
                    <w:bottom w:w="0" w:type="dxa"/>
                    <w:right w:w="28" w:type="dxa"/>
                  </w:tcMar>
                  <w:vAlign w:val="center"/>
                </w:tcPr>
                <w:p w14:paraId="61BBAFAA">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污染物排放速率</w:t>
                  </w:r>
                  <w:r>
                    <w:rPr>
                      <w:rFonts w:ascii="Times New Roman" w:hAnsi="Times New Roman" w:eastAsia="宋体" w:cs="Times New Roman"/>
                      <w:b/>
                      <w:bCs/>
                      <w:color w:val="auto"/>
                      <w:kern w:val="0"/>
                      <w:sz w:val="21"/>
                      <w:szCs w:val="21"/>
                      <w:lang w:val="en-US" w:eastAsia="zh-CN" w:bidi="ar-SA"/>
                    </w:rPr>
                    <w:t>kg/h</w:t>
                  </w:r>
                </w:p>
              </w:tc>
              <w:tc>
                <w:tcPr>
                  <w:tcW w:w="721" w:type="dxa"/>
                  <w:tcBorders>
                    <w:tl2br w:val="nil"/>
                    <w:tr2bl w:val="nil"/>
                  </w:tcBorders>
                  <w:noWrap w:val="0"/>
                  <w:tcMar>
                    <w:top w:w="0" w:type="dxa"/>
                    <w:left w:w="28" w:type="dxa"/>
                    <w:bottom w:w="0" w:type="dxa"/>
                    <w:right w:w="28" w:type="dxa"/>
                  </w:tcMar>
                  <w:vAlign w:val="center"/>
                </w:tcPr>
                <w:p w14:paraId="24433E8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排气量m</w:t>
                  </w:r>
                  <w:r>
                    <w:rPr>
                      <w:rFonts w:hint="eastAsia" w:ascii="Times New Roman" w:hAnsi="Times New Roman" w:eastAsia="宋体" w:cs="Times New Roman"/>
                      <w:b/>
                      <w:bCs/>
                      <w:color w:val="auto"/>
                      <w:kern w:val="0"/>
                      <w:sz w:val="21"/>
                      <w:szCs w:val="21"/>
                      <w:vertAlign w:val="superscript"/>
                      <w:lang w:val="en-US" w:eastAsia="zh-CN" w:bidi="ar-SA"/>
                    </w:rPr>
                    <w:t>3</w:t>
                  </w:r>
                  <w:r>
                    <w:rPr>
                      <w:rFonts w:hint="eastAsia" w:ascii="Times New Roman" w:hAnsi="Times New Roman" w:eastAsia="宋体" w:cs="Times New Roman"/>
                      <w:b/>
                      <w:bCs/>
                      <w:color w:val="auto"/>
                      <w:kern w:val="0"/>
                      <w:sz w:val="21"/>
                      <w:szCs w:val="21"/>
                      <w:lang w:val="en-US" w:eastAsia="zh-CN" w:bidi="ar-SA"/>
                    </w:rPr>
                    <w:t>/h</w:t>
                  </w:r>
                </w:p>
              </w:tc>
              <w:tc>
                <w:tcPr>
                  <w:tcW w:w="867" w:type="dxa"/>
                  <w:tcBorders>
                    <w:tl2br w:val="nil"/>
                    <w:tr2bl w:val="nil"/>
                  </w:tcBorders>
                  <w:noWrap w:val="0"/>
                  <w:tcMar>
                    <w:top w:w="0" w:type="dxa"/>
                    <w:left w:w="28" w:type="dxa"/>
                    <w:bottom w:w="0" w:type="dxa"/>
                    <w:right w:w="28" w:type="dxa"/>
                  </w:tcMar>
                  <w:vAlign w:val="center"/>
                </w:tcPr>
                <w:p w14:paraId="36BD6A01">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污染物排放浓度</w:t>
                  </w:r>
                  <w:r>
                    <w:rPr>
                      <w:rFonts w:ascii="Times New Roman" w:hAnsi="Times New Roman" w:eastAsia="宋体" w:cs="Times New Roman"/>
                      <w:b/>
                      <w:bCs/>
                      <w:color w:val="auto"/>
                      <w:kern w:val="0"/>
                      <w:sz w:val="21"/>
                      <w:szCs w:val="21"/>
                      <w:lang w:val="en-US" w:eastAsia="zh-CN" w:bidi="ar-SA"/>
                    </w:rPr>
                    <w:t>mg/m</w:t>
                  </w:r>
                  <w:r>
                    <w:rPr>
                      <w:rFonts w:ascii="Times New Roman" w:hAnsi="Times New Roman" w:eastAsia="宋体" w:cs="Times New Roman"/>
                      <w:b/>
                      <w:bCs/>
                      <w:color w:val="auto"/>
                      <w:kern w:val="0"/>
                      <w:sz w:val="21"/>
                      <w:szCs w:val="21"/>
                      <w:vertAlign w:val="superscript"/>
                      <w:lang w:val="en-US" w:eastAsia="zh-CN" w:bidi="ar-SA"/>
                    </w:rPr>
                    <w:t>3</w:t>
                  </w:r>
                </w:p>
              </w:tc>
              <w:tc>
                <w:tcPr>
                  <w:tcW w:w="692" w:type="dxa"/>
                  <w:vMerge w:val="continue"/>
                  <w:tcBorders>
                    <w:tl2br w:val="nil"/>
                    <w:tr2bl w:val="nil"/>
                  </w:tcBorders>
                  <w:noWrap w:val="0"/>
                  <w:tcMar>
                    <w:top w:w="0" w:type="dxa"/>
                    <w:left w:w="28" w:type="dxa"/>
                    <w:bottom w:w="0" w:type="dxa"/>
                    <w:right w:w="28" w:type="dxa"/>
                  </w:tcMar>
                  <w:vAlign w:val="center"/>
                </w:tcPr>
                <w:p w14:paraId="730DD61A">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1"/>
                      <w:lang w:val="en-US" w:eastAsia="zh-CN" w:bidi="ar-SA"/>
                    </w:rPr>
                  </w:pPr>
                </w:p>
              </w:tc>
              <w:tc>
                <w:tcPr>
                  <w:tcW w:w="848" w:type="dxa"/>
                  <w:gridSpan w:val="2"/>
                  <w:tcBorders>
                    <w:tl2br w:val="nil"/>
                    <w:tr2bl w:val="nil"/>
                  </w:tcBorders>
                  <w:noWrap w:val="0"/>
                  <w:tcMar>
                    <w:top w:w="0" w:type="dxa"/>
                    <w:left w:w="28" w:type="dxa"/>
                    <w:bottom w:w="0" w:type="dxa"/>
                    <w:right w:w="28" w:type="dxa"/>
                  </w:tcMar>
                  <w:vAlign w:val="center"/>
                </w:tcPr>
                <w:p w14:paraId="3C61C63D">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编号及名称</w:t>
                  </w:r>
                </w:p>
              </w:tc>
              <w:tc>
                <w:tcPr>
                  <w:tcW w:w="504" w:type="dxa"/>
                  <w:gridSpan w:val="4"/>
                  <w:tcBorders>
                    <w:tl2br w:val="nil"/>
                    <w:tr2bl w:val="nil"/>
                  </w:tcBorders>
                  <w:noWrap w:val="0"/>
                  <w:tcMar>
                    <w:top w:w="0" w:type="dxa"/>
                    <w:left w:w="28" w:type="dxa"/>
                    <w:bottom w:w="0" w:type="dxa"/>
                    <w:right w:w="28" w:type="dxa"/>
                  </w:tcMar>
                  <w:vAlign w:val="center"/>
                </w:tcPr>
                <w:p w14:paraId="528F3A2D">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高度</w:t>
                  </w:r>
                  <w:r>
                    <w:rPr>
                      <w:rFonts w:ascii="Times New Roman" w:hAnsi="Times New Roman" w:eastAsia="宋体" w:cs="Times New Roman"/>
                      <w:b/>
                      <w:bCs/>
                      <w:color w:val="auto"/>
                      <w:kern w:val="0"/>
                      <w:sz w:val="21"/>
                      <w:szCs w:val="21"/>
                      <w:lang w:val="en-US" w:eastAsia="zh-CN" w:bidi="ar-SA"/>
                    </w:rPr>
                    <w:t>m</w:t>
                  </w:r>
                </w:p>
              </w:tc>
              <w:tc>
                <w:tcPr>
                  <w:tcW w:w="548" w:type="dxa"/>
                  <w:gridSpan w:val="2"/>
                  <w:tcBorders>
                    <w:tl2br w:val="nil"/>
                    <w:tr2bl w:val="nil"/>
                  </w:tcBorders>
                  <w:noWrap w:val="0"/>
                  <w:tcMar>
                    <w:top w:w="0" w:type="dxa"/>
                    <w:left w:w="28" w:type="dxa"/>
                    <w:bottom w:w="0" w:type="dxa"/>
                    <w:right w:w="28" w:type="dxa"/>
                  </w:tcMar>
                  <w:vAlign w:val="center"/>
                </w:tcPr>
                <w:p w14:paraId="4980170F">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内径</w:t>
                  </w:r>
                  <w:r>
                    <w:rPr>
                      <w:rFonts w:ascii="Times New Roman" w:hAnsi="Times New Roman" w:eastAsia="宋体" w:cs="Times New Roman"/>
                      <w:b/>
                      <w:bCs/>
                      <w:color w:val="auto"/>
                      <w:kern w:val="0"/>
                      <w:sz w:val="21"/>
                      <w:szCs w:val="21"/>
                      <w:lang w:val="en-US" w:eastAsia="zh-CN" w:bidi="ar-SA"/>
                    </w:rPr>
                    <w:t>m</w:t>
                  </w:r>
                </w:p>
              </w:tc>
              <w:tc>
                <w:tcPr>
                  <w:tcW w:w="579" w:type="dxa"/>
                  <w:gridSpan w:val="2"/>
                  <w:tcBorders>
                    <w:tl2br w:val="nil"/>
                    <w:tr2bl w:val="nil"/>
                  </w:tcBorders>
                  <w:noWrap w:val="0"/>
                  <w:tcMar>
                    <w:top w:w="0" w:type="dxa"/>
                    <w:left w:w="28" w:type="dxa"/>
                    <w:bottom w:w="0" w:type="dxa"/>
                    <w:right w:w="28" w:type="dxa"/>
                  </w:tcMar>
                  <w:vAlign w:val="center"/>
                </w:tcPr>
                <w:p w14:paraId="36B091C4">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温度</w:t>
                  </w:r>
                  <w:r>
                    <w:rPr>
                      <w:rFonts w:hint="default" w:ascii="Times New Roman" w:hAnsi="Times New Roman" w:eastAsia="宋体" w:cs="Times New Roman"/>
                      <w:b/>
                      <w:bCs/>
                      <w:color w:val="auto"/>
                      <w:kern w:val="0"/>
                      <w:sz w:val="21"/>
                      <w:szCs w:val="21"/>
                      <w:lang w:val="en-US" w:eastAsia="zh-CN" w:bidi="ar-SA"/>
                    </w:rPr>
                    <w:t>℃</w:t>
                  </w:r>
                </w:p>
              </w:tc>
            </w:tr>
            <w:tr w14:paraId="3CF4B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7" w:hRule="atLeast"/>
                <w:jc w:val="center"/>
              </w:trPr>
              <w:tc>
                <w:tcPr>
                  <w:tcW w:w="898" w:type="dxa"/>
                  <w:vMerge w:val="restart"/>
                  <w:tcBorders>
                    <w:tl2br w:val="nil"/>
                    <w:tr2bl w:val="nil"/>
                  </w:tcBorders>
                  <w:noWrap w:val="0"/>
                  <w:vAlign w:val="center"/>
                </w:tcPr>
                <w:p w14:paraId="5E2AD5E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铣磨</w:t>
                  </w:r>
                </w:p>
              </w:tc>
              <w:tc>
                <w:tcPr>
                  <w:tcW w:w="915" w:type="dxa"/>
                  <w:vMerge w:val="restart"/>
                  <w:tcBorders>
                    <w:tl2br w:val="nil"/>
                    <w:tr2bl w:val="nil"/>
                  </w:tcBorders>
                  <w:noWrap w:val="0"/>
                  <w:vAlign w:val="center"/>
                </w:tcPr>
                <w:p w14:paraId="2C66C5E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VOCs（非甲烷总烃）</w:t>
                  </w:r>
                </w:p>
              </w:tc>
              <w:tc>
                <w:tcPr>
                  <w:tcW w:w="870" w:type="dxa"/>
                  <w:vMerge w:val="restart"/>
                  <w:tcBorders>
                    <w:tl2br w:val="nil"/>
                    <w:tr2bl w:val="nil"/>
                  </w:tcBorders>
                  <w:noWrap w:val="0"/>
                  <w:vAlign w:val="center"/>
                </w:tcPr>
                <w:p w14:paraId="1C7DBB1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0.0011</w:t>
                  </w:r>
                </w:p>
              </w:tc>
              <w:tc>
                <w:tcPr>
                  <w:tcW w:w="870" w:type="dxa"/>
                  <w:vMerge w:val="restart"/>
                  <w:tcBorders>
                    <w:tl2br w:val="nil"/>
                    <w:tr2bl w:val="nil"/>
                  </w:tcBorders>
                  <w:noWrap w:val="0"/>
                  <w:vAlign w:val="center"/>
                </w:tcPr>
                <w:p w14:paraId="00A8D1A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0.0006</w:t>
                  </w:r>
                </w:p>
              </w:tc>
              <w:tc>
                <w:tcPr>
                  <w:tcW w:w="870" w:type="dxa"/>
                  <w:vMerge w:val="restart"/>
                  <w:tcBorders>
                    <w:tl2br w:val="nil"/>
                    <w:tr2bl w:val="nil"/>
                  </w:tcBorders>
                  <w:noWrap w:val="0"/>
                  <w:vAlign w:val="center"/>
                </w:tcPr>
                <w:p w14:paraId="2E2D02E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设备密闭管道收集</w:t>
                  </w:r>
                </w:p>
              </w:tc>
              <w:tc>
                <w:tcPr>
                  <w:tcW w:w="585" w:type="dxa"/>
                  <w:vMerge w:val="restart"/>
                  <w:tcBorders>
                    <w:tl2br w:val="nil"/>
                    <w:tr2bl w:val="nil"/>
                  </w:tcBorders>
                  <w:noWrap w:val="0"/>
                  <w:vAlign w:val="center"/>
                </w:tcPr>
                <w:p w14:paraId="0192A2E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90</w:t>
                  </w:r>
                </w:p>
              </w:tc>
              <w:tc>
                <w:tcPr>
                  <w:tcW w:w="885" w:type="dxa"/>
                  <w:vMerge w:val="restart"/>
                  <w:tcBorders>
                    <w:tl2br w:val="nil"/>
                    <w:tr2bl w:val="nil"/>
                  </w:tcBorders>
                  <w:noWrap w:val="0"/>
                  <w:vAlign w:val="center"/>
                </w:tcPr>
                <w:p w14:paraId="0D365C4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二级活性炭吸附装置</w:t>
                  </w:r>
                </w:p>
              </w:tc>
              <w:tc>
                <w:tcPr>
                  <w:tcW w:w="630" w:type="dxa"/>
                  <w:vMerge w:val="restart"/>
                  <w:tcBorders>
                    <w:tl2br w:val="nil"/>
                    <w:tr2bl w:val="nil"/>
                  </w:tcBorders>
                  <w:noWrap w:val="0"/>
                  <w:vAlign w:val="center"/>
                </w:tcPr>
                <w:p w14:paraId="4C47B4A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80</w:t>
                  </w:r>
                </w:p>
              </w:tc>
              <w:tc>
                <w:tcPr>
                  <w:tcW w:w="690" w:type="dxa"/>
                  <w:vMerge w:val="restart"/>
                  <w:tcBorders>
                    <w:tl2br w:val="nil"/>
                    <w:tr2bl w:val="nil"/>
                  </w:tcBorders>
                  <w:noWrap w:val="0"/>
                  <w:vAlign w:val="center"/>
                </w:tcPr>
                <w:p w14:paraId="4DBFE22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是</w:t>
                  </w:r>
                </w:p>
              </w:tc>
              <w:tc>
                <w:tcPr>
                  <w:tcW w:w="897" w:type="dxa"/>
                  <w:tcBorders>
                    <w:tl2br w:val="nil"/>
                    <w:tr2bl w:val="nil"/>
                  </w:tcBorders>
                  <w:noWrap w:val="0"/>
                  <w:vAlign w:val="center"/>
                </w:tcPr>
                <w:p w14:paraId="79D7ADA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有组织</w:t>
                  </w:r>
                </w:p>
              </w:tc>
              <w:tc>
                <w:tcPr>
                  <w:tcW w:w="974" w:type="dxa"/>
                  <w:tcBorders>
                    <w:tl2br w:val="nil"/>
                    <w:tr2bl w:val="nil"/>
                  </w:tcBorders>
                  <w:noWrap w:val="0"/>
                  <w:vAlign w:val="center"/>
                </w:tcPr>
                <w:p w14:paraId="12EE3E0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0.0002</w:t>
                  </w:r>
                </w:p>
              </w:tc>
              <w:tc>
                <w:tcPr>
                  <w:tcW w:w="770" w:type="dxa"/>
                  <w:tcBorders>
                    <w:tl2br w:val="nil"/>
                    <w:tr2bl w:val="nil"/>
                  </w:tcBorders>
                  <w:noWrap w:val="0"/>
                  <w:tcMar>
                    <w:top w:w="0" w:type="dxa"/>
                    <w:left w:w="28" w:type="dxa"/>
                    <w:bottom w:w="0" w:type="dxa"/>
                    <w:right w:w="28" w:type="dxa"/>
                  </w:tcMar>
                  <w:vAlign w:val="center"/>
                </w:tcPr>
                <w:p w14:paraId="28EE3B5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0.0001</w:t>
                  </w:r>
                </w:p>
              </w:tc>
              <w:tc>
                <w:tcPr>
                  <w:tcW w:w="721" w:type="dxa"/>
                  <w:tcBorders>
                    <w:tl2br w:val="nil"/>
                    <w:tr2bl w:val="nil"/>
                  </w:tcBorders>
                  <w:noWrap w:val="0"/>
                  <w:tcMar>
                    <w:top w:w="0" w:type="dxa"/>
                    <w:left w:w="28" w:type="dxa"/>
                    <w:bottom w:w="0" w:type="dxa"/>
                    <w:right w:w="28" w:type="dxa"/>
                  </w:tcMar>
                  <w:vAlign w:val="center"/>
                </w:tcPr>
                <w:p w14:paraId="610A945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3000</w:t>
                  </w:r>
                </w:p>
              </w:tc>
              <w:tc>
                <w:tcPr>
                  <w:tcW w:w="867" w:type="dxa"/>
                  <w:tcBorders>
                    <w:tl2br w:val="nil"/>
                    <w:tr2bl w:val="nil"/>
                  </w:tcBorders>
                  <w:noWrap w:val="0"/>
                  <w:tcMar>
                    <w:top w:w="0" w:type="dxa"/>
                    <w:left w:w="28" w:type="dxa"/>
                    <w:bottom w:w="0" w:type="dxa"/>
                    <w:right w:w="28" w:type="dxa"/>
                  </w:tcMar>
                  <w:vAlign w:val="center"/>
                </w:tcPr>
                <w:p w14:paraId="78659F4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0.03</w:t>
                  </w:r>
                </w:p>
              </w:tc>
              <w:tc>
                <w:tcPr>
                  <w:tcW w:w="692" w:type="dxa"/>
                  <w:vMerge w:val="restart"/>
                  <w:tcBorders>
                    <w:tl2br w:val="nil"/>
                    <w:tr2bl w:val="nil"/>
                  </w:tcBorders>
                  <w:noWrap w:val="0"/>
                  <w:tcMar>
                    <w:top w:w="0" w:type="dxa"/>
                    <w:left w:w="28" w:type="dxa"/>
                    <w:bottom w:w="0" w:type="dxa"/>
                    <w:right w:w="28" w:type="dxa"/>
                  </w:tcMar>
                  <w:vAlign w:val="center"/>
                </w:tcPr>
                <w:p w14:paraId="137BFD9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2400</w:t>
                  </w:r>
                </w:p>
              </w:tc>
              <w:tc>
                <w:tcPr>
                  <w:tcW w:w="848" w:type="dxa"/>
                  <w:gridSpan w:val="2"/>
                  <w:tcBorders>
                    <w:tl2br w:val="nil"/>
                    <w:tr2bl w:val="nil"/>
                  </w:tcBorders>
                  <w:noWrap w:val="0"/>
                  <w:tcMar>
                    <w:top w:w="0" w:type="dxa"/>
                    <w:left w:w="28" w:type="dxa"/>
                    <w:bottom w:w="0" w:type="dxa"/>
                    <w:right w:w="28" w:type="dxa"/>
                  </w:tcMar>
                  <w:vAlign w:val="center"/>
                </w:tcPr>
                <w:p w14:paraId="2B9EEA4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DA001</w:t>
                  </w:r>
                </w:p>
              </w:tc>
              <w:tc>
                <w:tcPr>
                  <w:tcW w:w="504" w:type="dxa"/>
                  <w:gridSpan w:val="4"/>
                  <w:tcBorders>
                    <w:tl2br w:val="nil"/>
                    <w:tr2bl w:val="nil"/>
                  </w:tcBorders>
                  <w:noWrap w:val="0"/>
                  <w:tcMar>
                    <w:top w:w="0" w:type="dxa"/>
                    <w:left w:w="28" w:type="dxa"/>
                    <w:bottom w:w="0" w:type="dxa"/>
                    <w:right w:w="28" w:type="dxa"/>
                  </w:tcMar>
                  <w:vAlign w:val="center"/>
                </w:tcPr>
                <w:p w14:paraId="66B11D4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40</w:t>
                  </w:r>
                </w:p>
              </w:tc>
              <w:tc>
                <w:tcPr>
                  <w:tcW w:w="548" w:type="dxa"/>
                  <w:gridSpan w:val="2"/>
                  <w:tcBorders>
                    <w:tl2br w:val="nil"/>
                    <w:tr2bl w:val="nil"/>
                  </w:tcBorders>
                  <w:noWrap w:val="0"/>
                  <w:tcMar>
                    <w:top w:w="0" w:type="dxa"/>
                    <w:left w:w="28" w:type="dxa"/>
                    <w:bottom w:w="0" w:type="dxa"/>
                    <w:right w:w="28" w:type="dxa"/>
                  </w:tcMar>
                  <w:vAlign w:val="center"/>
                </w:tcPr>
                <w:p w14:paraId="0D0D78C2">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0.5</w:t>
                  </w:r>
                </w:p>
              </w:tc>
              <w:tc>
                <w:tcPr>
                  <w:tcW w:w="579" w:type="dxa"/>
                  <w:gridSpan w:val="2"/>
                  <w:tcBorders>
                    <w:tl2br w:val="nil"/>
                    <w:tr2bl w:val="nil"/>
                  </w:tcBorders>
                  <w:noWrap w:val="0"/>
                  <w:tcMar>
                    <w:top w:w="0" w:type="dxa"/>
                    <w:left w:w="28" w:type="dxa"/>
                    <w:bottom w:w="0" w:type="dxa"/>
                    <w:right w:w="28" w:type="dxa"/>
                  </w:tcMar>
                  <w:vAlign w:val="center"/>
                </w:tcPr>
                <w:p w14:paraId="21299C55">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25</w:t>
                  </w:r>
                </w:p>
              </w:tc>
            </w:tr>
            <w:tr w14:paraId="0A26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7" w:hRule="atLeast"/>
                <w:jc w:val="center"/>
              </w:trPr>
              <w:tc>
                <w:tcPr>
                  <w:tcW w:w="898" w:type="dxa"/>
                  <w:vMerge w:val="continue"/>
                  <w:tcBorders>
                    <w:tl2br w:val="nil"/>
                    <w:tr2bl w:val="nil"/>
                  </w:tcBorders>
                  <w:noWrap w:val="0"/>
                  <w:vAlign w:val="center"/>
                </w:tcPr>
                <w:p w14:paraId="1C64D341">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915" w:type="dxa"/>
                  <w:vMerge w:val="continue"/>
                  <w:tcBorders>
                    <w:tl2br w:val="nil"/>
                    <w:tr2bl w:val="nil"/>
                  </w:tcBorders>
                  <w:noWrap w:val="0"/>
                  <w:vAlign w:val="center"/>
                </w:tcPr>
                <w:p w14:paraId="24829C2D">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870" w:type="dxa"/>
                  <w:vMerge w:val="continue"/>
                  <w:tcBorders>
                    <w:tl2br w:val="nil"/>
                    <w:tr2bl w:val="nil"/>
                  </w:tcBorders>
                  <w:noWrap w:val="0"/>
                  <w:vAlign w:val="center"/>
                </w:tcPr>
                <w:p w14:paraId="42B7831F">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870" w:type="dxa"/>
                  <w:vMerge w:val="continue"/>
                  <w:tcBorders>
                    <w:tl2br w:val="nil"/>
                    <w:tr2bl w:val="nil"/>
                  </w:tcBorders>
                  <w:noWrap w:val="0"/>
                  <w:vAlign w:val="center"/>
                </w:tcPr>
                <w:p w14:paraId="4824B1C8">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870" w:type="dxa"/>
                  <w:vMerge w:val="continue"/>
                  <w:tcBorders>
                    <w:tl2br w:val="nil"/>
                    <w:tr2bl w:val="nil"/>
                  </w:tcBorders>
                  <w:noWrap w:val="0"/>
                  <w:vAlign w:val="center"/>
                </w:tcPr>
                <w:p w14:paraId="3168245C">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585" w:type="dxa"/>
                  <w:vMerge w:val="continue"/>
                  <w:tcBorders>
                    <w:tl2br w:val="nil"/>
                    <w:tr2bl w:val="nil"/>
                  </w:tcBorders>
                  <w:noWrap w:val="0"/>
                  <w:vAlign w:val="center"/>
                </w:tcPr>
                <w:p w14:paraId="3BFD1B8E">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885" w:type="dxa"/>
                  <w:vMerge w:val="continue"/>
                  <w:tcBorders>
                    <w:tl2br w:val="nil"/>
                    <w:tr2bl w:val="nil"/>
                  </w:tcBorders>
                  <w:noWrap w:val="0"/>
                  <w:vAlign w:val="center"/>
                </w:tcPr>
                <w:p w14:paraId="4F6DAAD7">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630" w:type="dxa"/>
                  <w:vMerge w:val="continue"/>
                  <w:tcBorders>
                    <w:tl2br w:val="nil"/>
                    <w:tr2bl w:val="nil"/>
                  </w:tcBorders>
                  <w:noWrap w:val="0"/>
                  <w:vAlign w:val="center"/>
                </w:tcPr>
                <w:p w14:paraId="7E10E766">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690" w:type="dxa"/>
                  <w:vMerge w:val="continue"/>
                  <w:tcBorders>
                    <w:tl2br w:val="nil"/>
                    <w:tr2bl w:val="nil"/>
                  </w:tcBorders>
                  <w:noWrap w:val="0"/>
                  <w:vAlign w:val="center"/>
                </w:tcPr>
                <w:p w14:paraId="4A666856">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897" w:type="dxa"/>
                  <w:tcBorders>
                    <w:tl2br w:val="nil"/>
                    <w:tr2bl w:val="nil"/>
                  </w:tcBorders>
                  <w:noWrap w:val="0"/>
                  <w:vAlign w:val="center"/>
                </w:tcPr>
                <w:p w14:paraId="28848EFF">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无组织</w:t>
                  </w:r>
                </w:p>
              </w:tc>
              <w:tc>
                <w:tcPr>
                  <w:tcW w:w="974" w:type="dxa"/>
                  <w:tcBorders>
                    <w:tl2br w:val="nil"/>
                    <w:tr2bl w:val="nil"/>
                  </w:tcBorders>
                  <w:noWrap w:val="0"/>
                  <w:vAlign w:val="center"/>
                </w:tcPr>
                <w:p w14:paraId="12565D5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0.0001</w:t>
                  </w:r>
                </w:p>
              </w:tc>
              <w:tc>
                <w:tcPr>
                  <w:tcW w:w="770" w:type="dxa"/>
                  <w:tcBorders>
                    <w:tl2br w:val="nil"/>
                    <w:tr2bl w:val="nil"/>
                  </w:tcBorders>
                  <w:noWrap w:val="0"/>
                  <w:tcMar>
                    <w:top w:w="0" w:type="dxa"/>
                    <w:left w:w="28" w:type="dxa"/>
                    <w:bottom w:w="0" w:type="dxa"/>
                    <w:right w:w="28" w:type="dxa"/>
                  </w:tcMar>
                  <w:vAlign w:val="center"/>
                </w:tcPr>
                <w:p w14:paraId="7BBB68C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721" w:type="dxa"/>
                  <w:tcBorders>
                    <w:tl2br w:val="nil"/>
                    <w:tr2bl w:val="nil"/>
                  </w:tcBorders>
                  <w:noWrap w:val="0"/>
                  <w:tcMar>
                    <w:top w:w="0" w:type="dxa"/>
                    <w:left w:w="28" w:type="dxa"/>
                    <w:bottom w:w="0" w:type="dxa"/>
                    <w:right w:w="28" w:type="dxa"/>
                  </w:tcMar>
                  <w:vAlign w:val="center"/>
                </w:tcPr>
                <w:p w14:paraId="0674E101">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867" w:type="dxa"/>
                  <w:tcBorders>
                    <w:tl2br w:val="nil"/>
                    <w:tr2bl w:val="nil"/>
                  </w:tcBorders>
                  <w:noWrap w:val="0"/>
                  <w:tcMar>
                    <w:top w:w="0" w:type="dxa"/>
                    <w:left w:w="28" w:type="dxa"/>
                    <w:bottom w:w="0" w:type="dxa"/>
                    <w:right w:w="28" w:type="dxa"/>
                  </w:tcMar>
                  <w:vAlign w:val="center"/>
                </w:tcPr>
                <w:p w14:paraId="5525B3D1">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692" w:type="dxa"/>
                  <w:vMerge w:val="continue"/>
                  <w:tcBorders>
                    <w:tl2br w:val="nil"/>
                    <w:tr2bl w:val="nil"/>
                  </w:tcBorders>
                  <w:noWrap w:val="0"/>
                  <w:tcMar>
                    <w:top w:w="0" w:type="dxa"/>
                    <w:left w:w="28" w:type="dxa"/>
                    <w:bottom w:w="0" w:type="dxa"/>
                    <w:right w:w="28" w:type="dxa"/>
                  </w:tcMar>
                  <w:vAlign w:val="center"/>
                </w:tcPr>
                <w:p w14:paraId="14E08B68">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2479" w:type="dxa"/>
                  <w:gridSpan w:val="10"/>
                  <w:tcBorders>
                    <w:tl2br w:val="nil"/>
                    <w:tr2bl w:val="nil"/>
                  </w:tcBorders>
                  <w:noWrap w:val="0"/>
                  <w:tcMar>
                    <w:top w:w="0" w:type="dxa"/>
                    <w:left w:w="28" w:type="dxa"/>
                    <w:bottom w:w="0" w:type="dxa"/>
                    <w:right w:w="28" w:type="dxa"/>
                  </w:tcMar>
                  <w:vAlign w:val="center"/>
                </w:tcPr>
                <w:p w14:paraId="6707333E">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r>
            <w:tr w14:paraId="4F149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7" w:hRule="atLeast"/>
                <w:jc w:val="center"/>
              </w:trPr>
              <w:tc>
                <w:tcPr>
                  <w:tcW w:w="898" w:type="dxa"/>
                  <w:vMerge w:val="restart"/>
                  <w:tcBorders>
                    <w:tl2br w:val="nil"/>
                    <w:tr2bl w:val="nil"/>
                  </w:tcBorders>
                  <w:noWrap w:val="0"/>
                  <w:vAlign w:val="center"/>
                </w:tcPr>
                <w:p w14:paraId="730D422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擦拭检测</w:t>
                  </w:r>
                </w:p>
              </w:tc>
              <w:tc>
                <w:tcPr>
                  <w:tcW w:w="915" w:type="dxa"/>
                  <w:vMerge w:val="restart"/>
                  <w:tcBorders>
                    <w:tl2br w:val="nil"/>
                    <w:tr2bl w:val="nil"/>
                  </w:tcBorders>
                  <w:noWrap w:val="0"/>
                  <w:vAlign w:val="center"/>
                </w:tcPr>
                <w:p w14:paraId="0F9DB6B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VOCs（非甲烷总烃）</w:t>
                  </w:r>
                </w:p>
              </w:tc>
              <w:tc>
                <w:tcPr>
                  <w:tcW w:w="870" w:type="dxa"/>
                  <w:vMerge w:val="restart"/>
                  <w:tcBorders>
                    <w:tl2br w:val="nil"/>
                    <w:tr2bl w:val="nil"/>
                  </w:tcBorders>
                  <w:noWrap w:val="0"/>
                  <w:vAlign w:val="center"/>
                </w:tcPr>
                <w:p w14:paraId="120FA20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0.38</w:t>
                  </w:r>
                </w:p>
              </w:tc>
              <w:tc>
                <w:tcPr>
                  <w:tcW w:w="870" w:type="dxa"/>
                  <w:vMerge w:val="restart"/>
                  <w:tcBorders>
                    <w:tl2br w:val="nil"/>
                    <w:tr2bl w:val="nil"/>
                  </w:tcBorders>
                  <w:noWrap w:val="0"/>
                  <w:vAlign w:val="center"/>
                </w:tcPr>
                <w:p w14:paraId="5D08F3B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0.158</w:t>
                  </w:r>
                </w:p>
              </w:tc>
              <w:tc>
                <w:tcPr>
                  <w:tcW w:w="870" w:type="dxa"/>
                  <w:vMerge w:val="restart"/>
                  <w:tcBorders>
                    <w:tl2br w:val="nil"/>
                    <w:tr2bl w:val="nil"/>
                  </w:tcBorders>
                  <w:noWrap w:val="0"/>
                  <w:vAlign w:val="center"/>
                </w:tcPr>
                <w:p w14:paraId="3A3722F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车间密闭，负压收集</w:t>
                  </w:r>
                </w:p>
              </w:tc>
              <w:tc>
                <w:tcPr>
                  <w:tcW w:w="585" w:type="dxa"/>
                  <w:vMerge w:val="restart"/>
                  <w:tcBorders>
                    <w:tl2br w:val="nil"/>
                    <w:tr2bl w:val="nil"/>
                  </w:tcBorders>
                  <w:noWrap w:val="0"/>
                  <w:vAlign w:val="center"/>
                </w:tcPr>
                <w:p w14:paraId="53892B5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90</w:t>
                  </w:r>
                </w:p>
              </w:tc>
              <w:tc>
                <w:tcPr>
                  <w:tcW w:w="885" w:type="dxa"/>
                  <w:vMerge w:val="restart"/>
                  <w:tcBorders>
                    <w:tl2br w:val="nil"/>
                    <w:tr2bl w:val="nil"/>
                  </w:tcBorders>
                  <w:noWrap w:val="0"/>
                  <w:vAlign w:val="center"/>
                </w:tcPr>
                <w:p w14:paraId="0F1A72F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二级活性炭吸附装置</w:t>
                  </w:r>
                </w:p>
              </w:tc>
              <w:tc>
                <w:tcPr>
                  <w:tcW w:w="630" w:type="dxa"/>
                  <w:vMerge w:val="restart"/>
                  <w:tcBorders>
                    <w:tl2br w:val="nil"/>
                    <w:tr2bl w:val="nil"/>
                  </w:tcBorders>
                  <w:noWrap w:val="0"/>
                  <w:vAlign w:val="center"/>
                </w:tcPr>
                <w:p w14:paraId="542E0FB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80</w:t>
                  </w:r>
                </w:p>
              </w:tc>
              <w:tc>
                <w:tcPr>
                  <w:tcW w:w="690" w:type="dxa"/>
                  <w:vMerge w:val="restart"/>
                  <w:tcBorders>
                    <w:tl2br w:val="nil"/>
                    <w:tr2bl w:val="nil"/>
                  </w:tcBorders>
                  <w:noWrap w:val="0"/>
                  <w:vAlign w:val="center"/>
                </w:tcPr>
                <w:p w14:paraId="3E39B44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是</w:t>
                  </w:r>
                </w:p>
              </w:tc>
              <w:tc>
                <w:tcPr>
                  <w:tcW w:w="897" w:type="dxa"/>
                  <w:tcBorders>
                    <w:tl2br w:val="nil"/>
                    <w:tr2bl w:val="nil"/>
                  </w:tcBorders>
                  <w:noWrap w:val="0"/>
                  <w:vAlign w:val="center"/>
                </w:tcPr>
                <w:p w14:paraId="0C559873">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有组织</w:t>
                  </w:r>
                </w:p>
              </w:tc>
              <w:tc>
                <w:tcPr>
                  <w:tcW w:w="974" w:type="dxa"/>
                  <w:tcBorders>
                    <w:tl2br w:val="nil"/>
                    <w:tr2bl w:val="nil"/>
                  </w:tcBorders>
                  <w:noWrap w:val="0"/>
                  <w:vAlign w:val="center"/>
                </w:tcPr>
                <w:p w14:paraId="3196C04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0.0684</w:t>
                  </w:r>
                </w:p>
              </w:tc>
              <w:tc>
                <w:tcPr>
                  <w:tcW w:w="770" w:type="dxa"/>
                  <w:tcBorders>
                    <w:tl2br w:val="nil"/>
                    <w:tr2bl w:val="nil"/>
                  </w:tcBorders>
                  <w:noWrap w:val="0"/>
                  <w:tcMar>
                    <w:top w:w="0" w:type="dxa"/>
                    <w:left w:w="28" w:type="dxa"/>
                    <w:bottom w:w="0" w:type="dxa"/>
                    <w:right w:w="28" w:type="dxa"/>
                  </w:tcMar>
                  <w:vAlign w:val="center"/>
                </w:tcPr>
                <w:p w14:paraId="0785550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0.0285</w:t>
                  </w:r>
                </w:p>
              </w:tc>
              <w:tc>
                <w:tcPr>
                  <w:tcW w:w="721" w:type="dxa"/>
                  <w:tcBorders>
                    <w:tl2br w:val="nil"/>
                    <w:tr2bl w:val="nil"/>
                  </w:tcBorders>
                  <w:noWrap w:val="0"/>
                  <w:tcMar>
                    <w:top w:w="0" w:type="dxa"/>
                    <w:left w:w="28" w:type="dxa"/>
                    <w:bottom w:w="0" w:type="dxa"/>
                    <w:right w:w="28" w:type="dxa"/>
                  </w:tcMar>
                  <w:vAlign w:val="center"/>
                </w:tcPr>
                <w:p w14:paraId="0875151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3000</w:t>
                  </w:r>
                </w:p>
              </w:tc>
              <w:tc>
                <w:tcPr>
                  <w:tcW w:w="867" w:type="dxa"/>
                  <w:tcBorders>
                    <w:tl2br w:val="nil"/>
                    <w:tr2bl w:val="nil"/>
                  </w:tcBorders>
                  <w:noWrap w:val="0"/>
                  <w:tcMar>
                    <w:top w:w="0" w:type="dxa"/>
                    <w:left w:w="28" w:type="dxa"/>
                    <w:bottom w:w="0" w:type="dxa"/>
                    <w:right w:w="28" w:type="dxa"/>
                  </w:tcMar>
                  <w:vAlign w:val="center"/>
                </w:tcPr>
                <w:p w14:paraId="6B2D8A0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9.50</w:t>
                  </w:r>
                </w:p>
              </w:tc>
              <w:tc>
                <w:tcPr>
                  <w:tcW w:w="692" w:type="dxa"/>
                  <w:vMerge w:val="restart"/>
                  <w:tcBorders>
                    <w:tl2br w:val="nil"/>
                    <w:tr2bl w:val="nil"/>
                  </w:tcBorders>
                  <w:noWrap w:val="0"/>
                  <w:tcMar>
                    <w:top w:w="0" w:type="dxa"/>
                    <w:left w:w="28" w:type="dxa"/>
                    <w:bottom w:w="0" w:type="dxa"/>
                    <w:right w:w="28" w:type="dxa"/>
                  </w:tcMar>
                  <w:vAlign w:val="center"/>
                </w:tcPr>
                <w:p w14:paraId="6DD1A9E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2400</w:t>
                  </w:r>
                </w:p>
              </w:tc>
              <w:tc>
                <w:tcPr>
                  <w:tcW w:w="854" w:type="dxa"/>
                  <w:gridSpan w:val="3"/>
                  <w:tcBorders>
                    <w:tl2br w:val="nil"/>
                    <w:tr2bl w:val="nil"/>
                  </w:tcBorders>
                  <w:noWrap w:val="0"/>
                  <w:tcMar>
                    <w:top w:w="0" w:type="dxa"/>
                    <w:left w:w="28" w:type="dxa"/>
                    <w:bottom w:w="0" w:type="dxa"/>
                    <w:right w:w="28" w:type="dxa"/>
                  </w:tcMar>
                  <w:vAlign w:val="center"/>
                </w:tcPr>
                <w:p w14:paraId="776FA54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DA001</w:t>
                  </w:r>
                </w:p>
              </w:tc>
              <w:tc>
                <w:tcPr>
                  <w:tcW w:w="495" w:type="dxa"/>
                  <w:gridSpan w:val="2"/>
                  <w:tcBorders>
                    <w:tl2br w:val="nil"/>
                    <w:tr2bl w:val="nil"/>
                  </w:tcBorders>
                  <w:noWrap w:val="0"/>
                  <w:tcMar>
                    <w:top w:w="0" w:type="dxa"/>
                    <w:left w:w="28" w:type="dxa"/>
                    <w:bottom w:w="0" w:type="dxa"/>
                    <w:right w:w="28" w:type="dxa"/>
                  </w:tcMar>
                  <w:vAlign w:val="center"/>
                </w:tcPr>
                <w:p w14:paraId="4349648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40</w:t>
                  </w:r>
                </w:p>
              </w:tc>
              <w:tc>
                <w:tcPr>
                  <w:tcW w:w="555" w:type="dxa"/>
                  <w:gridSpan w:val="4"/>
                  <w:tcBorders>
                    <w:tl2br w:val="nil"/>
                    <w:tr2bl w:val="nil"/>
                  </w:tcBorders>
                  <w:noWrap w:val="0"/>
                  <w:tcMar>
                    <w:top w:w="0" w:type="dxa"/>
                    <w:left w:w="28" w:type="dxa"/>
                    <w:bottom w:w="0" w:type="dxa"/>
                    <w:right w:w="28" w:type="dxa"/>
                  </w:tcMar>
                  <w:vAlign w:val="center"/>
                </w:tcPr>
                <w:p w14:paraId="399B5ED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0.5</w:t>
                  </w:r>
                </w:p>
              </w:tc>
              <w:tc>
                <w:tcPr>
                  <w:tcW w:w="575" w:type="dxa"/>
                  <w:tcBorders>
                    <w:tl2br w:val="nil"/>
                    <w:tr2bl w:val="nil"/>
                  </w:tcBorders>
                  <w:noWrap w:val="0"/>
                  <w:tcMar>
                    <w:top w:w="0" w:type="dxa"/>
                    <w:left w:w="28" w:type="dxa"/>
                    <w:bottom w:w="0" w:type="dxa"/>
                    <w:right w:w="28" w:type="dxa"/>
                  </w:tcMar>
                  <w:vAlign w:val="center"/>
                </w:tcPr>
                <w:p w14:paraId="11A2971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25</w:t>
                  </w:r>
                </w:p>
              </w:tc>
            </w:tr>
            <w:tr w14:paraId="7C11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7" w:hRule="atLeast"/>
                <w:jc w:val="center"/>
              </w:trPr>
              <w:tc>
                <w:tcPr>
                  <w:tcW w:w="898" w:type="dxa"/>
                  <w:vMerge w:val="continue"/>
                  <w:tcBorders>
                    <w:tl2br w:val="nil"/>
                    <w:tr2bl w:val="nil"/>
                  </w:tcBorders>
                  <w:noWrap w:val="0"/>
                  <w:vAlign w:val="center"/>
                </w:tcPr>
                <w:p w14:paraId="7DE48758">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915" w:type="dxa"/>
                  <w:vMerge w:val="continue"/>
                  <w:tcBorders>
                    <w:tl2br w:val="nil"/>
                    <w:tr2bl w:val="nil"/>
                  </w:tcBorders>
                  <w:noWrap w:val="0"/>
                  <w:vAlign w:val="center"/>
                </w:tcPr>
                <w:p w14:paraId="556D6490">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870" w:type="dxa"/>
                  <w:vMerge w:val="continue"/>
                  <w:tcBorders>
                    <w:tl2br w:val="nil"/>
                    <w:tr2bl w:val="nil"/>
                  </w:tcBorders>
                  <w:noWrap w:val="0"/>
                  <w:vAlign w:val="center"/>
                </w:tcPr>
                <w:p w14:paraId="5ED155AF">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870" w:type="dxa"/>
                  <w:vMerge w:val="continue"/>
                  <w:tcBorders>
                    <w:tl2br w:val="nil"/>
                    <w:tr2bl w:val="nil"/>
                  </w:tcBorders>
                  <w:noWrap w:val="0"/>
                  <w:vAlign w:val="center"/>
                </w:tcPr>
                <w:p w14:paraId="79992C9C">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870" w:type="dxa"/>
                  <w:vMerge w:val="continue"/>
                  <w:tcBorders>
                    <w:tl2br w:val="nil"/>
                    <w:tr2bl w:val="nil"/>
                  </w:tcBorders>
                  <w:noWrap w:val="0"/>
                  <w:vAlign w:val="center"/>
                </w:tcPr>
                <w:p w14:paraId="6D518762">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585" w:type="dxa"/>
                  <w:vMerge w:val="continue"/>
                  <w:tcBorders>
                    <w:tl2br w:val="nil"/>
                    <w:tr2bl w:val="nil"/>
                  </w:tcBorders>
                  <w:noWrap w:val="0"/>
                  <w:vAlign w:val="center"/>
                </w:tcPr>
                <w:p w14:paraId="05892E69">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885" w:type="dxa"/>
                  <w:vMerge w:val="continue"/>
                  <w:tcBorders>
                    <w:tl2br w:val="nil"/>
                    <w:tr2bl w:val="nil"/>
                  </w:tcBorders>
                  <w:noWrap w:val="0"/>
                  <w:vAlign w:val="center"/>
                </w:tcPr>
                <w:p w14:paraId="5B7D34B1">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630" w:type="dxa"/>
                  <w:vMerge w:val="continue"/>
                  <w:tcBorders>
                    <w:tl2br w:val="nil"/>
                    <w:tr2bl w:val="nil"/>
                  </w:tcBorders>
                  <w:noWrap w:val="0"/>
                  <w:vAlign w:val="center"/>
                </w:tcPr>
                <w:p w14:paraId="1819ADD9">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690" w:type="dxa"/>
                  <w:vMerge w:val="continue"/>
                  <w:tcBorders>
                    <w:tl2br w:val="nil"/>
                    <w:tr2bl w:val="nil"/>
                  </w:tcBorders>
                  <w:noWrap w:val="0"/>
                  <w:vAlign w:val="center"/>
                </w:tcPr>
                <w:p w14:paraId="6DCEC77C">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897" w:type="dxa"/>
                  <w:tcBorders>
                    <w:tl2br w:val="nil"/>
                    <w:tr2bl w:val="nil"/>
                  </w:tcBorders>
                  <w:noWrap w:val="0"/>
                  <w:vAlign w:val="center"/>
                </w:tcPr>
                <w:p w14:paraId="6746F384">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无组织</w:t>
                  </w:r>
                </w:p>
              </w:tc>
              <w:tc>
                <w:tcPr>
                  <w:tcW w:w="974" w:type="dxa"/>
                  <w:tcBorders>
                    <w:tl2br w:val="nil"/>
                    <w:tr2bl w:val="nil"/>
                  </w:tcBorders>
                  <w:noWrap w:val="0"/>
                  <w:vAlign w:val="center"/>
                </w:tcPr>
                <w:p w14:paraId="60E5E5A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0.038</w:t>
                  </w:r>
                </w:p>
              </w:tc>
              <w:tc>
                <w:tcPr>
                  <w:tcW w:w="770" w:type="dxa"/>
                  <w:tcBorders>
                    <w:tl2br w:val="nil"/>
                    <w:tr2bl w:val="nil"/>
                  </w:tcBorders>
                  <w:noWrap w:val="0"/>
                  <w:tcMar>
                    <w:top w:w="0" w:type="dxa"/>
                    <w:left w:w="28" w:type="dxa"/>
                    <w:bottom w:w="0" w:type="dxa"/>
                    <w:right w:w="28" w:type="dxa"/>
                  </w:tcMar>
                  <w:vAlign w:val="center"/>
                </w:tcPr>
                <w:p w14:paraId="18D817E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0.0158</w:t>
                  </w:r>
                </w:p>
              </w:tc>
              <w:tc>
                <w:tcPr>
                  <w:tcW w:w="721" w:type="dxa"/>
                  <w:tcBorders>
                    <w:tl2br w:val="nil"/>
                    <w:tr2bl w:val="nil"/>
                  </w:tcBorders>
                  <w:noWrap w:val="0"/>
                  <w:tcMar>
                    <w:top w:w="0" w:type="dxa"/>
                    <w:left w:w="28" w:type="dxa"/>
                    <w:bottom w:w="0" w:type="dxa"/>
                    <w:right w:w="28" w:type="dxa"/>
                  </w:tcMar>
                  <w:vAlign w:val="center"/>
                </w:tcPr>
                <w:p w14:paraId="24F77D3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867" w:type="dxa"/>
                  <w:tcBorders>
                    <w:tl2br w:val="nil"/>
                    <w:tr2bl w:val="nil"/>
                  </w:tcBorders>
                  <w:noWrap w:val="0"/>
                  <w:tcMar>
                    <w:top w:w="0" w:type="dxa"/>
                    <w:left w:w="28" w:type="dxa"/>
                    <w:bottom w:w="0" w:type="dxa"/>
                    <w:right w:w="28" w:type="dxa"/>
                  </w:tcMar>
                  <w:vAlign w:val="center"/>
                </w:tcPr>
                <w:p w14:paraId="37150C5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692" w:type="dxa"/>
                  <w:vMerge w:val="continue"/>
                  <w:tcBorders>
                    <w:tl2br w:val="nil"/>
                    <w:tr2bl w:val="nil"/>
                  </w:tcBorders>
                  <w:noWrap w:val="0"/>
                  <w:tcMar>
                    <w:top w:w="0" w:type="dxa"/>
                    <w:left w:w="28" w:type="dxa"/>
                    <w:bottom w:w="0" w:type="dxa"/>
                    <w:right w:w="28" w:type="dxa"/>
                  </w:tcMar>
                  <w:vAlign w:val="center"/>
                </w:tcPr>
                <w:p w14:paraId="0BCC1D37">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2479" w:type="dxa"/>
                  <w:gridSpan w:val="10"/>
                  <w:tcBorders>
                    <w:tl2br w:val="nil"/>
                    <w:tr2bl w:val="nil"/>
                  </w:tcBorders>
                  <w:noWrap w:val="0"/>
                  <w:tcMar>
                    <w:top w:w="0" w:type="dxa"/>
                    <w:left w:w="28" w:type="dxa"/>
                    <w:bottom w:w="0" w:type="dxa"/>
                    <w:right w:w="28" w:type="dxa"/>
                  </w:tcMar>
                  <w:vAlign w:val="center"/>
                </w:tcPr>
                <w:p w14:paraId="7A287D8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r>
            <w:tr w14:paraId="06BC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7" w:hRule="atLeast"/>
                <w:jc w:val="center"/>
              </w:trPr>
              <w:tc>
                <w:tcPr>
                  <w:tcW w:w="898" w:type="dxa"/>
                  <w:vMerge w:val="restart"/>
                  <w:tcBorders>
                    <w:tl2br w:val="nil"/>
                    <w:tr2bl w:val="nil"/>
                  </w:tcBorders>
                  <w:noWrap w:val="0"/>
                  <w:vAlign w:val="center"/>
                </w:tcPr>
                <w:p w14:paraId="1FF61B9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超声波清洗</w:t>
                  </w:r>
                </w:p>
              </w:tc>
              <w:tc>
                <w:tcPr>
                  <w:tcW w:w="915" w:type="dxa"/>
                  <w:vMerge w:val="restart"/>
                  <w:tcBorders>
                    <w:tl2br w:val="nil"/>
                    <w:tr2bl w:val="nil"/>
                  </w:tcBorders>
                  <w:noWrap w:val="0"/>
                  <w:vAlign w:val="center"/>
                </w:tcPr>
                <w:p w14:paraId="320F55A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VOCs（以非甲烷总烃计）</w:t>
                  </w:r>
                </w:p>
              </w:tc>
              <w:tc>
                <w:tcPr>
                  <w:tcW w:w="870" w:type="dxa"/>
                  <w:vMerge w:val="restart"/>
                  <w:tcBorders>
                    <w:tl2br w:val="nil"/>
                    <w:tr2bl w:val="nil"/>
                  </w:tcBorders>
                  <w:noWrap w:val="0"/>
                  <w:vAlign w:val="center"/>
                </w:tcPr>
                <w:p w14:paraId="12C8327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0.0122</w:t>
                  </w:r>
                </w:p>
              </w:tc>
              <w:tc>
                <w:tcPr>
                  <w:tcW w:w="870" w:type="dxa"/>
                  <w:vMerge w:val="restart"/>
                  <w:tcBorders>
                    <w:tl2br w:val="nil"/>
                    <w:tr2bl w:val="nil"/>
                  </w:tcBorders>
                  <w:noWrap w:val="0"/>
                  <w:vAlign w:val="center"/>
                </w:tcPr>
                <w:p w14:paraId="6A15417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0.0005</w:t>
                  </w:r>
                </w:p>
              </w:tc>
              <w:tc>
                <w:tcPr>
                  <w:tcW w:w="870" w:type="dxa"/>
                  <w:vMerge w:val="restart"/>
                  <w:tcBorders>
                    <w:tl2br w:val="nil"/>
                    <w:tr2bl w:val="nil"/>
                  </w:tcBorders>
                  <w:noWrap w:val="0"/>
                  <w:vAlign w:val="center"/>
                </w:tcPr>
                <w:p w14:paraId="005E426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车间密闭，负压收集</w:t>
                  </w:r>
                </w:p>
              </w:tc>
              <w:tc>
                <w:tcPr>
                  <w:tcW w:w="585" w:type="dxa"/>
                  <w:vMerge w:val="restart"/>
                  <w:tcBorders>
                    <w:tl2br w:val="nil"/>
                    <w:tr2bl w:val="nil"/>
                  </w:tcBorders>
                  <w:noWrap w:val="0"/>
                  <w:vAlign w:val="center"/>
                </w:tcPr>
                <w:p w14:paraId="29D2BF9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90</w:t>
                  </w:r>
                </w:p>
              </w:tc>
              <w:tc>
                <w:tcPr>
                  <w:tcW w:w="885" w:type="dxa"/>
                  <w:vMerge w:val="restart"/>
                  <w:tcBorders>
                    <w:tl2br w:val="nil"/>
                    <w:tr2bl w:val="nil"/>
                  </w:tcBorders>
                  <w:noWrap w:val="0"/>
                  <w:vAlign w:val="center"/>
                </w:tcPr>
                <w:p w14:paraId="751170E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二级活性炭吸附装置</w:t>
                  </w:r>
                </w:p>
              </w:tc>
              <w:tc>
                <w:tcPr>
                  <w:tcW w:w="630" w:type="dxa"/>
                  <w:vMerge w:val="restart"/>
                  <w:tcBorders>
                    <w:tl2br w:val="nil"/>
                    <w:tr2bl w:val="nil"/>
                  </w:tcBorders>
                  <w:noWrap w:val="0"/>
                  <w:vAlign w:val="center"/>
                </w:tcPr>
                <w:p w14:paraId="31C6EA8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80</w:t>
                  </w:r>
                </w:p>
              </w:tc>
              <w:tc>
                <w:tcPr>
                  <w:tcW w:w="690" w:type="dxa"/>
                  <w:vMerge w:val="restart"/>
                  <w:tcBorders>
                    <w:tl2br w:val="nil"/>
                    <w:tr2bl w:val="nil"/>
                  </w:tcBorders>
                  <w:noWrap w:val="0"/>
                  <w:vAlign w:val="center"/>
                </w:tcPr>
                <w:p w14:paraId="087D4530">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是</w:t>
                  </w:r>
                </w:p>
              </w:tc>
              <w:tc>
                <w:tcPr>
                  <w:tcW w:w="897" w:type="dxa"/>
                  <w:tcBorders>
                    <w:tl2br w:val="nil"/>
                    <w:tr2bl w:val="nil"/>
                  </w:tcBorders>
                  <w:noWrap w:val="0"/>
                  <w:vAlign w:val="center"/>
                </w:tcPr>
                <w:p w14:paraId="6626F2B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有组织</w:t>
                  </w:r>
                </w:p>
              </w:tc>
              <w:tc>
                <w:tcPr>
                  <w:tcW w:w="974" w:type="dxa"/>
                  <w:tcBorders>
                    <w:tl2br w:val="nil"/>
                    <w:tr2bl w:val="nil"/>
                  </w:tcBorders>
                  <w:noWrap w:val="0"/>
                  <w:vAlign w:val="center"/>
                </w:tcPr>
                <w:p w14:paraId="3DBD1E4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0.0022</w:t>
                  </w:r>
                </w:p>
              </w:tc>
              <w:tc>
                <w:tcPr>
                  <w:tcW w:w="770" w:type="dxa"/>
                  <w:tcBorders>
                    <w:tl2br w:val="nil"/>
                    <w:tr2bl w:val="nil"/>
                  </w:tcBorders>
                  <w:noWrap w:val="0"/>
                  <w:tcMar>
                    <w:top w:w="0" w:type="dxa"/>
                    <w:left w:w="28" w:type="dxa"/>
                    <w:bottom w:w="0" w:type="dxa"/>
                    <w:right w:w="28" w:type="dxa"/>
                  </w:tcMar>
                  <w:vAlign w:val="center"/>
                </w:tcPr>
                <w:p w14:paraId="5B811F9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0.0009</w:t>
                  </w:r>
                </w:p>
              </w:tc>
              <w:tc>
                <w:tcPr>
                  <w:tcW w:w="721" w:type="dxa"/>
                  <w:tcBorders>
                    <w:tl2br w:val="nil"/>
                    <w:tr2bl w:val="nil"/>
                  </w:tcBorders>
                  <w:noWrap w:val="0"/>
                  <w:tcMar>
                    <w:top w:w="0" w:type="dxa"/>
                    <w:left w:w="28" w:type="dxa"/>
                    <w:bottom w:w="0" w:type="dxa"/>
                    <w:right w:w="28" w:type="dxa"/>
                  </w:tcMar>
                  <w:vAlign w:val="center"/>
                </w:tcPr>
                <w:p w14:paraId="44A1059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3000</w:t>
                  </w:r>
                </w:p>
              </w:tc>
              <w:tc>
                <w:tcPr>
                  <w:tcW w:w="867" w:type="dxa"/>
                  <w:tcBorders>
                    <w:tl2br w:val="nil"/>
                    <w:tr2bl w:val="nil"/>
                  </w:tcBorders>
                  <w:noWrap w:val="0"/>
                  <w:tcMar>
                    <w:top w:w="0" w:type="dxa"/>
                    <w:left w:w="28" w:type="dxa"/>
                    <w:bottom w:w="0" w:type="dxa"/>
                    <w:right w:w="28" w:type="dxa"/>
                  </w:tcMar>
                  <w:vAlign w:val="center"/>
                </w:tcPr>
                <w:p w14:paraId="5A32EA7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2.5512</w:t>
                  </w:r>
                </w:p>
              </w:tc>
              <w:tc>
                <w:tcPr>
                  <w:tcW w:w="692" w:type="dxa"/>
                  <w:vMerge w:val="restart"/>
                  <w:tcBorders>
                    <w:tl2br w:val="nil"/>
                    <w:tr2bl w:val="nil"/>
                  </w:tcBorders>
                  <w:noWrap w:val="0"/>
                  <w:tcMar>
                    <w:top w:w="0" w:type="dxa"/>
                    <w:left w:w="28" w:type="dxa"/>
                    <w:bottom w:w="0" w:type="dxa"/>
                    <w:right w:w="28" w:type="dxa"/>
                  </w:tcMar>
                  <w:vAlign w:val="center"/>
                </w:tcPr>
                <w:p w14:paraId="50491D9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2400</w:t>
                  </w:r>
                </w:p>
              </w:tc>
              <w:tc>
                <w:tcPr>
                  <w:tcW w:w="854" w:type="dxa"/>
                  <w:gridSpan w:val="3"/>
                  <w:tcBorders>
                    <w:tl2br w:val="nil"/>
                    <w:tr2bl w:val="nil"/>
                  </w:tcBorders>
                  <w:noWrap w:val="0"/>
                  <w:tcMar>
                    <w:top w:w="0" w:type="dxa"/>
                    <w:left w:w="28" w:type="dxa"/>
                    <w:bottom w:w="0" w:type="dxa"/>
                    <w:right w:w="28" w:type="dxa"/>
                  </w:tcMar>
                  <w:vAlign w:val="center"/>
                </w:tcPr>
                <w:p w14:paraId="1902499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DA001</w:t>
                  </w:r>
                </w:p>
              </w:tc>
              <w:tc>
                <w:tcPr>
                  <w:tcW w:w="495" w:type="dxa"/>
                  <w:gridSpan w:val="2"/>
                  <w:tcBorders>
                    <w:tl2br w:val="nil"/>
                    <w:tr2bl w:val="nil"/>
                  </w:tcBorders>
                  <w:noWrap w:val="0"/>
                  <w:tcMar>
                    <w:top w:w="0" w:type="dxa"/>
                    <w:left w:w="28" w:type="dxa"/>
                    <w:bottom w:w="0" w:type="dxa"/>
                    <w:right w:w="28" w:type="dxa"/>
                  </w:tcMar>
                  <w:vAlign w:val="center"/>
                </w:tcPr>
                <w:p w14:paraId="27378D5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40</w:t>
                  </w:r>
                </w:p>
              </w:tc>
              <w:tc>
                <w:tcPr>
                  <w:tcW w:w="555" w:type="dxa"/>
                  <w:gridSpan w:val="4"/>
                  <w:tcBorders>
                    <w:tl2br w:val="nil"/>
                    <w:tr2bl w:val="nil"/>
                  </w:tcBorders>
                  <w:noWrap w:val="0"/>
                  <w:tcMar>
                    <w:top w:w="0" w:type="dxa"/>
                    <w:left w:w="28" w:type="dxa"/>
                    <w:bottom w:w="0" w:type="dxa"/>
                    <w:right w:w="28" w:type="dxa"/>
                  </w:tcMar>
                  <w:vAlign w:val="center"/>
                </w:tcPr>
                <w:p w14:paraId="2E694A9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0.5</w:t>
                  </w:r>
                </w:p>
              </w:tc>
              <w:tc>
                <w:tcPr>
                  <w:tcW w:w="575" w:type="dxa"/>
                  <w:tcBorders>
                    <w:tl2br w:val="nil"/>
                    <w:tr2bl w:val="nil"/>
                  </w:tcBorders>
                  <w:noWrap w:val="0"/>
                  <w:tcMar>
                    <w:top w:w="0" w:type="dxa"/>
                    <w:left w:w="28" w:type="dxa"/>
                    <w:bottom w:w="0" w:type="dxa"/>
                    <w:right w:w="28" w:type="dxa"/>
                  </w:tcMar>
                  <w:vAlign w:val="center"/>
                </w:tcPr>
                <w:p w14:paraId="1885540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25</w:t>
                  </w:r>
                </w:p>
              </w:tc>
            </w:tr>
            <w:tr w14:paraId="207AD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7" w:hRule="atLeast"/>
                <w:jc w:val="center"/>
              </w:trPr>
              <w:tc>
                <w:tcPr>
                  <w:tcW w:w="898" w:type="dxa"/>
                  <w:vMerge w:val="continue"/>
                  <w:tcBorders>
                    <w:tl2br w:val="nil"/>
                    <w:tr2bl w:val="nil"/>
                  </w:tcBorders>
                  <w:noWrap w:val="0"/>
                  <w:vAlign w:val="center"/>
                </w:tcPr>
                <w:p w14:paraId="06F787D4">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1"/>
                      <w:lang w:val="en-US" w:eastAsia="zh-CN" w:bidi="ar-SA"/>
                    </w:rPr>
                  </w:pPr>
                </w:p>
              </w:tc>
              <w:tc>
                <w:tcPr>
                  <w:tcW w:w="915" w:type="dxa"/>
                  <w:vMerge w:val="continue"/>
                  <w:tcBorders>
                    <w:tl2br w:val="nil"/>
                    <w:tr2bl w:val="nil"/>
                  </w:tcBorders>
                  <w:noWrap w:val="0"/>
                  <w:vAlign w:val="center"/>
                </w:tcPr>
                <w:p w14:paraId="1E5CB745">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1"/>
                      <w:lang w:val="en-US" w:eastAsia="zh-CN" w:bidi="ar-SA"/>
                    </w:rPr>
                  </w:pPr>
                </w:p>
              </w:tc>
              <w:tc>
                <w:tcPr>
                  <w:tcW w:w="870" w:type="dxa"/>
                  <w:vMerge w:val="continue"/>
                  <w:tcBorders>
                    <w:tl2br w:val="nil"/>
                    <w:tr2bl w:val="nil"/>
                  </w:tcBorders>
                  <w:noWrap w:val="0"/>
                  <w:vAlign w:val="center"/>
                </w:tcPr>
                <w:p w14:paraId="4EE02F2A">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1"/>
                      <w:lang w:val="en-US" w:eastAsia="zh-CN" w:bidi="ar-SA"/>
                    </w:rPr>
                  </w:pPr>
                </w:p>
              </w:tc>
              <w:tc>
                <w:tcPr>
                  <w:tcW w:w="870" w:type="dxa"/>
                  <w:vMerge w:val="continue"/>
                  <w:tcBorders>
                    <w:tl2br w:val="nil"/>
                    <w:tr2bl w:val="nil"/>
                  </w:tcBorders>
                  <w:noWrap w:val="0"/>
                  <w:vAlign w:val="center"/>
                </w:tcPr>
                <w:p w14:paraId="19733D4C">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1"/>
                      <w:lang w:val="en-US" w:eastAsia="zh-CN" w:bidi="ar-SA"/>
                    </w:rPr>
                  </w:pPr>
                </w:p>
              </w:tc>
              <w:tc>
                <w:tcPr>
                  <w:tcW w:w="870" w:type="dxa"/>
                  <w:vMerge w:val="continue"/>
                  <w:tcBorders>
                    <w:tl2br w:val="nil"/>
                    <w:tr2bl w:val="nil"/>
                  </w:tcBorders>
                  <w:noWrap w:val="0"/>
                  <w:vAlign w:val="center"/>
                </w:tcPr>
                <w:p w14:paraId="40DF8D35">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1"/>
                      <w:lang w:val="en-US" w:eastAsia="zh-CN" w:bidi="ar-SA"/>
                    </w:rPr>
                  </w:pPr>
                </w:p>
              </w:tc>
              <w:tc>
                <w:tcPr>
                  <w:tcW w:w="585" w:type="dxa"/>
                  <w:vMerge w:val="continue"/>
                  <w:tcBorders>
                    <w:tl2br w:val="nil"/>
                    <w:tr2bl w:val="nil"/>
                  </w:tcBorders>
                  <w:noWrap w:val="0"/>
                  <w:vAlign w:val="center"/>
                </w:tcPr>
                <w:p w14:paraId="2B57C121">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1"/>
                      <w:lang w:val="en-US" w:eastAsia="zh-CN" w:bidi="ar-SA"/>
                    </w:rPr>
                  </w:pPr>
                </w:p>
              </w:tc>
              <w:tc>
                <w:tcPr>
                  <w:tcW w:w="885" w:type="dxa"/>
                  <w:vMerge w:val="continue"/>
                  <w:tcBorders>
                    <w:tl2br w:val="nil"/>
                    <w:tr2bl w:val="nil"/>
                  </w:tcBorders>
                  <w:noWrap w:val="0"/>
                  <w:vAlign w:val="center"/>
                </w:tcPr>
                <w:p w14:paraId="69E24886">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1"/>
                      <w:lang w:val="en-US" w:eastAsia="zh-CN" w:bidi="ar-SA"/>
                    </w:rPr>
                  </w:pPr>
                </w:p>
              </w:tc>
              <w:tc>
                <w:tcPr>
                  <w:tcW w:w="630" w:type="dxa"/>
                  <w:vMerge w:val="continue"/>
                  <w:tcBorders>
                    <w:tl2br w:val="nil"/>
                    <w:tr2bl w:val="nil"/>
                  </w:tcBorders>
                  <w:noWrap w:val="0"/>
                  <w:vAlign w:val="center"/>
                </w:tcPr>
                <w:p w14:paraId="47B8D8A2">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1"/>
                      <w:lang w:val="en-US" w:eastAsia="zh-CN" w:bidi="ar-SA"/>
                    </w:rPr>
                  </w:pPr>
                </w:p>
              </w:tc>
              <w:tc>
                <w:tcPr>
                  <w:tcW w:w="690" w:type="dxa"/>
                  <w:vMerge w:val="continue"/>
                  <w:tcBorders>
                    <w:tl2br w:val="nil"/>
                    <w:tr2bl w:val="nil"/>
                  </w:tcBorders>
                  <w:noWrap w:val="0"/>
                  <w:vAlign w:val="center"/>
                </w:tcPr>
                <w:p w14:paraId="2FFCBCF4">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1"/>
                      <w:lang w:val="en-US" w:eastAsia="zh-CN" w:bidi="ar-SA"/>
                    </w:rPr>
                  </w:pPr>
                </w:p>
              </w:tc>
              <w:tc>
                <w:tcPr>
                  <w:tcW w:w="897" w:type="dxa"/>
                  <w:tcBorders>
                    <w:tl2br w:val="nil"/>
                    <w:tr2bl w:val="nil"/>
                  </w:tcBorders>
                  <w:noWrap w:val="0"/>
                  <w:vAlign w:val="center"/>
                </w:tcPr>
                <w:p w14:paraId="61B0FE5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无组织</w:t>
                  </w:r>
                </w:p>
              </w:tc>
              <w:tc>
                <w:tcPr>
                  <w:tcW w:w="974" w:type="dxa"/>
                  <w:tcBorders>
                    <w:tl2br w:val="nil"/>
                    <w:tr2bl w:val="nil"/>
                  </w:tcBorders>
                  <w:noWrap w:val="0"/>
                  <w:vAlign w:val="center"/>
                </w:tcPr>
                <w:p w14:paraId="77D950E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0.012</w:t>
                  </w:r>
                </w:p>
              </w:tc>
              <w:tc>
                <w:tcPr>
                  <w:tcW w:w="770" w:type="dxa"/>
                  <w:tcBorders>
                    <w:tl2br w:val="nil"/>
                    <w:tr2bl w:val="nil"/>
                  </w:tcBorders>
                  <w:noWrap w:val="0"/>
                  <w:tcMar>
                    <w:top w:w="0" w:type="dxa"/>
                    <w:left w:w="28" w:type="dxa"/>
                    <w:bottom w:w="0" w:type="dxa"/>
                    <w:right w:w="28" w:type="dxa"/>
                  </w:tcMar>
                  <w:vAlign w:val="center"/>
                </w:tcPr>
                <w:p w14:paraId="4315836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0.0005</w:t>
                  </w:r>
                </w:p>
              </w:tc>
              <w:tc>
                <w:tcPr>
                  <w:tcW w:w="721" w:type="dxa"/>
                  <w:tcBorders>
                    <w:tl2br w:val="nil"/>
                    <w:tr2bl w:val="nil"/>
                  </w:tcBorders>
                  <w:noWrap w:val="0"/>
                  <w:tcMar>
                    <w:top w:w="0" w:type="dxa"/>
                    <w:left w:w="28" w:type="dxa"/>
                    <w:bottom w:w="0" w:type="dxa"/>
                    <w:right w:w="28" w:type="dxa"/>
                  </w:tcMar>
                  <w:vAlign w:val="center"/>
                </w:tcPr>
                <w:p w14:paraId="5EFB756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867" w:type="dxa"/>
                  <w:tcBorders>
                    <w:tl2br w:val="nil"/>
                    <w:tr2bl w:val="nil"/>
                  </w:tcBorders>
                  <w:noWrap w:val="0"/>
                  <w:tcMar>
                    <w:top w:w="0" w:type="dxa"/>
                    <w:left w:w="28" w:type="dxa"/>
                    <w:bottom w:w="0" w:type="dxa"/>
                    <w:right w:w="28" w:type="dxa"/>
                  </w:tcMar>
                  <w:vAlign w:val="center"/>
                </w:tcPr>
                <w:p w14:paraId="025FB17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692" w:type="dxa"/>
                  <w:vMerge w:val="continue"/>
                  <w:tcBorders>
                    <w:tl2br w:val="nil"/>
                    <w:tr2bl w:val="nil"/>
                  </w:tcBorders>
                  <w:noWrap w:val="0"/>
                  <w:tcMar>
                    <w:top w:w="0" w:type="dxa"/>
                    <w:left w:w="28" w:type="dxa"/>
                    <w:bottom w:w="0" w:type="dxa"/>
                    <w:right w:w="28" w:type="dxa"/>
                  </w:tcMar>
                  <w:vAlign w:val="center"/>
                </w:tcPr>
                <w:p w14:paraId="3DE17870">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2479" w:type="dxa"/>
                  <w:gridSpan w:val="10"/>
                  <w:tcBorders>
                    <w:tl2br w:val="nil"/>
                    <w:tr2bl w:val="nil"/>
                  </w:tcBorders>
                  <w:noWrap w:val="0"/>
                  <w:tcMar>
                    <w:top w:w="0" w:type="dxa"/>
                    <w:left w:w="28" w:type="dxa"/>
                    <w:bottom w:w="0" w:type="dxa"/>
                    <w:right w:w="28" w:type="dxa"/>
                  </w:tcMar>
                  <w:vAlign w:val="center"/>
                </w:tcPr>
                <w:p w14:paraId="7E5CE8B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r>
            <w:tr w14:paraId="7FBDF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7" w:hRule="atLeast"/>
                <w:jc w:val="center"/>
              </w:trPr>
              <w:tc>
                <w:tcPr>
                  <w:tcW w:w="898" w:type="dxa"/>
                  <w:vMerge w:val="restart"/>
                  <w:tcBorders>
                    <w:tl2br w:val="nil"/>
                    <w:tr2bl w:val="nil"/>
                  </w:tcBorders>
                  <w:noWrap w:val="0"/>
                  <w:vAlign w:val="center"/>
                </w:tcPr>
                <w:p w14:paraId="2D3EBCA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915" w:type="dxa"/>
                  <w:vMerge w:val="restart"/>
                  <w:tcBorders>
                    <w:tl2br w:val="nil"/>
                    <w:tr2bl w:val="nil"/>
                  </w:tcBorders>
                  <w:noWrap w:val="0"/>
                  <w:vAlign w:val="center"/>
                </w:tcPr>
                <w:p w14:paraId="4772C2F6">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VOCs、乙醇、乙醚、丙酮（以非甲烷总烃计）</w:t>
                  </w:r>
                </w:p>
              </w:tc>
              <w:tc>
                <w:tcPr>
                  <w:tcW w:w="870" w:type="dxa"/>
                  <w:vMerge w:val="restart"/>
                  <w:tcBorders>
                    <w:tl2br w:val="nil"/>
                    <w:tr2bl w:val="nil"/>
                  </w:tcBorders>
                  <w:noWrap w:val="0"/>
                  <w:vAlign w:val="center"/>
                </w:tcPr>
                <w:p w14:paraId="31B0808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0.3933</w:t>
                  </w:r>
                </w:p>
              </w:tc>
              <w:tc>
                <w:tcPr>
                  <w:tcW w:w="870" w:type="dxa"/>
                  <w:vMerge w:val="restart"/>
                  <w:tcBorders>
                    <w:tl2br w:val="nil"/>
                    <w:tr2bl w:val="nil"/>
                  </w:tcBorders>
                  <w:noWrap w:val="0"/>
                  <w:vAlign w:val="center"/>
                </w:tcPr>
                <w:p w14:paraId="57F7AFF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870" w:type="dxa"/>
                  <w:vMerge w:val="restart"/>
                  <w:tcBorders>
                    <w:tl2br w:val="nil"/>
                    <w:tr2bl w:val="nil"/>
                  </w:tcBorders>
                  <w:noWrap w:val="0"/>
                  <w:vAlign w:val="center"/>
                </w:tcPr>
                <w:p w14:paraId="17000BA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585" w:type="dxa"/>
                  <w:vMerge w:val="restart"/>
                  <w:tcBorders>
                    <w:tl2br w:val="nil"/>
                    <w:tr2bl w:val="nil"/>
                  </w:tcBorders>
                  <w:noWrap w:val="0"/>
                  <w:vAlign w:val="center"/>
                </w:tcPr>
                <w:p w14:paraId="294F1AE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885" w:type="dxa"/>
                  <w:vMerge w:val="restart"/>
                  <w:tcBorders>
                    <w:tl2br w:val="nil"/>
                    <w:tr2bl w:val="nil"/>
                  </w:tcBorders>
                  <w:noWrap w:val="0"/>
                  <w:vAlign w:val="center"/>
                </w:tcPr>
                <w:p w14:paraId="08E7339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630" w:type="dxa"/>
                  <w:vMerge w:val="restart"/>
                  <w:tcBorders>
                    <w:tl2br w:val="nil"/>
                    <w:tr2bl w:val="nil"/>
                  </w:tcBorders>
                  <w:noWrap w:val="0"/>
                  <w:vAlign w:val="center"/>
                </w:tcPr>
                <w:p w14:paraId="0A7E95A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690" w:type="dxa"/>
                  <w:vMerge w:val="restart"/>
                  <w:tcBorders>
                    <w:tl2br w:val="nil"/>
                    <w:tr2bl w:val="nil"/>
                  </w:tcBorders>
                  <w:noWrap w:val="0"/>
                  <w:vAlign w:val="center"/>
                </w:tcPr>
                <w:p w14:paraId="144FAA7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897" w:type="dxa"/>
                  <w:tcBorders>
                    <w:tl2br w:val="nil"/>
                    <w:tr2bl w:val="nil"/>
                  </w:tcBorders>
                  <w:noWrap w:val="0"/>
                  <w:vAlign w:val="center"/>
                </w:tcPr>
                <w:p w14:paraId="1B00C3A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有组织</w:t>
                  </w:r>
                </w:p>
              </w:tc>
              <w:tc>
                <w:tcPr>
                  <w:tcW w:w="974" w:type="dxa"/>
                  <w:tcBorders>
                    <w:tl2br w:val="nil"/>
                    <w:tr2bl w:val="nil"/>
                  </w:tcBorders>
                  <w:noWrap w:val="0"/>
                  <w:vAlign w:val="center"/>
                </w:tcPr>
                <w:p w14:paraId="5CC42D8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0.0708</w:t>
                  </w:r>
                </w:p>
              </w:tc>
              <w:tc>
                <w:tcPr>
                  <w:tcW w:w="770" w:type="dxa"/>
                  <w:vMerge w:val="restart"/>
                  <w:tcBorders>
                    <w:tl2br w:val="nil"/>
                    <w:tr2bl w:val="nil"/>
                  </w:tcBorders>
                  <w:noWrap w:val="0"/>
                  <w:tcMar>
                    <w:top w:w="0" w:type="dxa"/>
                    <w:left w:w="28" w:type="dxa"/>
                    <w:bottom w:w="0" w:type="dxa"/>
                    <w:right w:w="28" w:type="dxa"/>
                  </w:tcMar>
                  <w:vAlign w:val="center"/>
                </w:tcPr>
                <w:p w14:paraId="5C71AEE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721" w:type="dxa"/>
                  <w:vMerge w:val="restart"/>
                  <w:tcBorders>
                    <w:tl2br w:val="nil"/>
                    <w:tr2bl w:val="nil"/>
                  </w:tcBorders>
                  <w:noWrap w:val="0"/>
                  <w:tcMar>
                    <w:top w:w="0" w:type="dxa"/>
                    <w:left w:w="28" w:type="dxa"/>
                    <w:bottom w:w="0" w:type="dxa"/>
                    <w:right w:w="28" w:type="dxa"/>
                  </w:tcMar>
                  <w:vAlign w:val="center"/>
                </w:tcPr>
                <w:p w14:paraId="232C738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867" w:type="dxa"/>
                  <w:vMerge w:val="restart"/>
                  <w:tcBorders>
                    <w:tl2br w:val="nil"/>
                    <w:tr2bl w:val="nil"/>
                  </w:tcBorders>
                  <w:noWrap w:val="0"/>
                  <w:tcMar>
                    <w:top w:w="0" w:type="dxa"/>
                    <w:left w:w="28" w:type="dxa"/>
                    <w:bottom w:w="0" w:type="dxa"/>
                    <w:right w:w="28" w:type="dxa"/>
                  </w:tcMar>
                  <w:vAlign w:val="center"/>
                </w:tcPr>
                <w:p w14:paraId="753FE7C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692" w:type="dxa"/>
                  <w:vMerge w:val="restart"/>
                  <w:tcBorders>
                    <w:tl2br w:val="nil"/>
                    <w:tr2bl w:val="nil"/>
                  </w:tcBorders>
                  <w:noWrap w:val="0"/>
                  <w:tcMar>
                    <w:top w:w="0" w:type="dxa"/>
                    <w:left w:w="28" w:type="dxa"/>
                    <w:bottom w:w="0" w:type="dxa"/>
                    <w:right w:w="28" w:type="dxa"/>
                  </w:tcMar>
                  <w:vAlign w:val="center"/>
                </w:tcPr>
                <w:p w14:paraId="3202958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2400</w:t>
                  </w:r>
                </w:p>
              </w:tc>
              <w:tc>
                <w:tcPr>
                  <w:tcW w:w="2479" w:type="dxa"/>
                  <w:gridSpan w:val="10"/>
                  <w:vMerge w:val="restart"/>
                  <w:tcBorders>
                    <w:tl2br w:val="nil"/>
                    <w:tr2bl w:val="nil"/>
                  </w:tcBorders>
                  <w:noWrap w:val="0"/>
                  <w:tcMar>
                    <w:top w:w="0" w:type="dxa"/>
                    <w:left w:w="28" w:type="dxa"/>
                    <w:bottom w:w="0" w:type="dxa"/>
                    <w:right w:w="28" w:type="dxa"/>
                  </w:tcMar>
                  <w:vAlign w:val="center"/>
                </w:tcPr>
                <w:p w14:paraId="5CA297E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r>
            <w:tr w14:paraId="0955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7" w:hRule="atLeast"/>
                <w:jc w:val="center"/>
              </w:trPr>
              <w:tc>
                <w:tcPr>
                  <w:tcW w:w="898" w:type="dxa"/>
                  <w:vMerge w:val="continue"/>
                  <w:tcBorders>
                    <w:tl2br w:val="nil"/>
                    <w:tr2bl w:val="nil"/>
                  </w:tcBorders>
                  <w:noWrap w:val="0"/>
                  <w:vAlign w:val="center"/>
                </w:tcPr>
                <w:p w14:paraId="79B3CFD2">
                  <w:pPr>
                    <w:widowControl w:val="0"/>
                    <w:bidi w:val="0"/>
                    <w:adjustRightInd w:val="0"/>
                    <w:snapToGrid w:val="0"/>
                    <w:spacing w:before="10" w:beforeLines="10" w:after="10" w:afterLines="10" w:line="240" w:lineRule="auto"/>
                    <w:jc w:val="center"/>
                    <w:rPr>
                      <w:rFonts w:ascii="Times New Roman" w:hAnsi="Times New Roman" w:eastAsia="宋体"/>
                      <w:color w:val="auto"/>
                      <w:sz w:val="21"/>
                      <w:szCs w:val="21"/>
                    </w:rPr>
                  </w:pPr>
                </w:p>
              </w:tc>
              <w:tc>
                <w:tcPr>
                  <w:tcW w:w="915" w:type="dxa"/>
                  <w:vMerge w:val="continue"/>
                  <w:tcBorders>
                    <w:tl2br w:val="nil"/>
                    <w:tr2bl w:val="nil"/>
                  </w:tcBorders>
                  <w:noWrap w:val="0"/>
                  <w:vAlign w:val="center"/>
                </w:tcPr>
                <w:p w14:paraId="156E13D6">
                  <w:pPr>
                    <w:widowControl w:val="0"/>
                    <w:bidi w:val="0"/>
                    <w:adjustRightInd w:val="0"/>
                    <w:snapToGrid w:val="0"/>
                    <w:spacing w:before="10" w:beforeLines="10" w:after="10" w:afterLines="10" w:line="240" w:lineRule="auto"/>
                    <w:jc w:val="center"/>
                    <w:rPr>
                      <w:rFonts w:ascii="Times New Roman" w:hAnsi="Times New Roman" w:eastAsia="宋体"/>
                      <w:color w:val="auto"/>
                      <w:sz w:val="21"/>
                      <w:szCs w:val="21"/>
                    </w:rPr>
                  </w:pPr>
                </w:p>
              </w:tc>
              <w:tc>
                <w:tcPr>
                  <w:tcW w:w="870" w:type="dxa"/>
                  <w:vMerge w:val="continue"/>
                  <w:tcBorders>
                    <w:tl2br w:val="nil"/>
                    <w:tr2bl w:val="nil"/>
                  </w:tcBorders>
                  <w:noWrap w:val="0"/>
                  <w:vAlign w:val="center"/>
                </w:tcPr>
                <w:p w14:paraId="66DB06A4">
                  <w:pPr>
                    <w:widowControl w:val="0"/>
                    <w:bidi w:val="0"/>
                    <w:adjustRightInd w:val="0"/>
                    <w:snapToGrid w:val="0"/>
                    <w:spacing w:before="10" w:beforeLines="10" w:after="10" w:afterLines="10" w:line="240" w:lineRule="auto"/>
                    <w:jc w:val="center"/>
                    <w:rPr>
                      <w:rFonts w:ascii="Times New Roman" w:hAnsi="Times New Roman" w:eastAsia="宋体"/>
                      <w:color w:val="auto"/>
                      <w:sz w:val="21"/>
                      <w:szCs w:val="21"/>
                    </w:rPr>
                  </w:pPr>
                </w:p>
              </w:tc>
              <w:tc>
                <w:tcPr>
                  <w:tcW w:w="870" w:type="dxa"/>
                  <w:vMerge w:val="continue"/>
                  <w:tcBorders>
                    <w:tl2br w:val="nil"/>
                    <w:tr2bl w:val="nil"/>
                  </w:tcBorders>
                  <w:noWrap w:val="0"/>
                  <w:vAlign w:val="center"/>
                </w:tcPr>
                <w:p w14:paraId="2ECE65C9">
                  <w:pPr>
                    <w:widowControl w:val="0"/>
                    <w:bidi w:val="0"/>
                    <w:adjustRightInd w:val="0"/>
                    <w:snapToGrid w:val="0"/>
                    <w:spacing w:before="10" w:beforeLines="10" w:after="10" w:afterLines="10" w:line="240" w:lineRule="auto"/>
                    <w:jc w:val="center"/>
                    <w:rPr>
                      <w:rFonts w:ascii="Times New Roman" w:hAnsi="Times New Roman" w:eastAsia="宋体"/>
                      <w:color w:val="auto"/>
                      <w:sz w:val="21"/>
                      <w:szCs w:val="21"/>
                    </w:rPr>
                  </w:pPr>
                </w:p>
              </w:tc>
              <w:tc>
                <w:tcPr>
                  <w:tcW w:w="870" w:type="dxa"/>
                  <w:vMerge w:val="continue"/>
                  <w:tcBorders>
                    <w:tl2br w:val="nil"/>
                    <w:tr2bl w:val="nil"/>
                  </w:tcBorders>
                  <w:noWrap w:val="0"/>
                  <w:vAlign w:val="center"/>
                </w:tcPr>
                <w:p w14:paraId="0DD7F033">
                  <w:pPr>
                    <w:widowControl w:val="0"/>
                    <w:bidi w:val="0"/>
                    <w:adjustRightInd w:val="0"/>
                    <w:snapToGrid w:val="0"/>
                    <w:spacing w:before="10" w:beforeLines="10" w:after="10" w:afterLines="10" w:line="240" w:lineRule="auto"/>
                    <w:jc w:val="center"/>
                    <w:rPr>
                      <w:rFonts w:ascii="Times New Roman" w:hAnsi="Times New Roman" w:eastAsia="宋体"/>
                      <w:color w:val="auto"/>
                      <w:sz w:val="21"/>
                      <w:szCs w:val="21"/>
                    </w:rPr>
                  </w:pPr>
                </w:p>
              </w:tc>
              <w:tc>
                <w:tcPr>
                  <w:tcW w:w="585" w:type="dxa"/>
                  <w:vMerge w:val="continue"/>
                  <w:tcBorders>
                    <w:tl2br w:val="nil"/>
                    <w:tr2bl w:val="nil"/>
                  </w:tcBorders>
                  <w:noWrap w:val="0"/>
                  <w:vAlign w:val="center"/>
                </w:tcPr>
                <w:p w14:paraId="4CAC5EB5">
                  <w:pPr>
                    <w:widowControl w:val="0"/>
                    <w:bidi w:val="0"/>
                    <w:adjustRightInd w:val="0"/>
                    <w:snapToGrid w:val="0"/>
                    <w:spacing w:before="10" w:beforeLines="10" w:after="10" w:afterLines="10" w:line="240" w:lineRule="auto"/>
                    <w:jc w:val="center"/>
                    <w:rPr>
                      <w:rFonts w:ascii="Times New Roman" w:hAnsi="Times New Roman" w:eastAsia="宋体"/>
                      <w:color w:val="auto"/>
                      <w:sz w:val="21"/>
                      <w:szCs w:val="21"/>
                    </w:rPr>
                  </w:pPr>
                </w:p>
              </w:tc>
              <w:tc>
                <w:tcPr>
                  <w:tcW w:w="885" w:type="dxa"/>
                  <w:vMerge w:val="continue"/>
                  <w:tcBorders>
                    <w:tl2br w:val="nil"/>
                    <w:tr2bl w:val="nil"/>
                  </w:tcBorders>
                  <w:noWrap w:val="0"/>
                  <w:vAlign w:val="center"/>
                </w:tcPr>
                <w:p w14:paraId="2531E86F">
                  <w:pPr>
                    <w:widowControl w:val="0"/>
                    <w:bidi w:val="0"/>
                    <w:adjustRightInd w:val="0"/>
                    <w:snapToGrid w:val="0"/>
                    <w:spacing w:before="10" w:beforeLines="10" w:after="10" w:afterLines="10" w:line="240" w:lineRule="auto"/>
                    <w:jc w:val="center"/>
                    <w:rPr>
                      <w:rFonts w:ascii="Times New Roman" w:hAnsi="Times New Roman" w:eastAsia="宋体"/>
                      <w:color w:val="auto"/>
                      <w:sz w:val="21"/>
                      <w:szCs w:val="21"/>
                    </w:rPr>
                  </w:pPr>
                </w:p>
              </w:tc>
              <w:tc>
                <w:tcPr>
                  <w:tcW w:w="630" w:type="dxa"/>
                  <w:vMerge w:val="continue"/>
                  <w:tcBorders>
                    <w:tl2br w:val="nil"/>
                    <w:tr2bl w:val="nil"/>
                  </w:tcBorders>
                  <w:noWrap w:val="0"/>
                  <w:vAlign w:val="center"/>
                </w:tcPr>
                <w:p w14:paraId="129CBAD8">
                  <w:pPr>
                    <w:widowControl w:val="0"/>
                    <w:bidi w:val="0"/>
                    <w:adjustRightInd w:val="0"/>
                    <w:snapToGrid w:val="0"/>
                    <w:spacing w:before="10" w:beforeLines="10" w:after="10" w:afterLines="10" w:line="240" w:lineRule="auto"/>
                    <w:jc w:val="center"/>
                    <w:rPr>
                      <w:rFonts w:ascii="Times New Roman" w:hAnsi="Times New Roman" w:eastAsia="宋体"/>
                      <w:color w:val="auto"/>
                      <w:sz w:val="21"/>
                      <w:szCs w:val="21"/>
                    </w:rPr>
                  </w:pPr>
                </w:p>
              </w:tc>
              <w:tc>
                <w:tcPr>
                  <w:tcW w:w="690" w:type="dxa"/>
                  <w:vMerge w:val="continue"/>
                  <w:tcBorders>
                    <w:tl2br w:val="nil"/>
                    <w:tr2bl w:val="nil"/>
                  </w:tcBorders>
                  <w:noWrap w:val="0"/>
                  <w:vAlign w:val="center"/>
                </w:tcPr>
                <w:p w14:paraId="793CC3F7">
                  <w:pPr>
                    <w:widowControl w:val="0"/>
                    <w:bidi w:val="0"/>
                    <w:adjustRightInd w:val="0"/>
                    <w:snapToGrid w:val="0"/>
                    <w:spacing w:before="10" w:beforeLines="10" w:after="10" w:afterLines="10" w:line="240" w:lineRule="auto"/>
                    <w:jc w:val="center"/>
                    <w:rPr>
                      <w:rFonts w:ascii="Times New Roman" w:hAnsi="Times New Roman" w:eastAsia="宋体"/>
                      <w:color w:val="auto"/>
                      <w:sz w:val="21"/>
                      <w:szCs w:val="21"/>
                    </w:rPr>
                  </w:pPr>
                </w:p>
              </w:tc>
              <w:tc>
                <w:tcPr>
                  <w:tcW w:w="897" w:type="dxa"/>
                  <w:tcBorders>
                    <w:tl2br w:val="nil"/>
                    <w:tr2bl w:val="nil"/>
                  </w:tcBorders>
                  <w:noWrap w:val="0"/>
                  <w:vAlign w:val="center"/>
                </w:tcPr>
                <w:p w14:paraId="36DB491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无组织</w:t>
                  </w:r>
                </w:p>
              </w:tc>
              <w:tc>
                <w:tcPr>
                  <w:tcW w:w="974" w:type="dxa"/>
                  <w:tcBorders>
                    <w:tl2br w:val="nil"/>
                    <w:tr2bl w:val="nil"/>
                  </w:tcBorders>
                  <w:noWrap w:val="0"/>
                  <w:vAlign w:val="center"/>
                </w:tcPr>
                <w:p w14:paraId="382FAC6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0.0501</w:t>
                  </w:r>
                </w:p>
              </w:tc>
              <w:tc>
                <w:tcPr>
                  <w:tcW w:w="770" w:type="dxa"/>
                  <w:vMerge w:val="continue"/>
                  <w:tcBorders>
                    <w:tl2br w:val="nil"/>
                    <w:tr2bl w:val="nil"/>
                  </w:tcBorders>
                  <w:noWrap w:val="0"/>
                  <w:tcMar>
                    <w:top w:w="0" w:type="dxa"/>
                    <w:left w:w="28" w:type="dxa"/>
                    <w:bottom w:w="0" w:type="dxa"/>
                    <w:right w:w="28" w:type="dxa"/>
                  </w:tcMar>
                  <w:vAlign w:val="center"/>
                </w:tcPr>
                <w:p w14:paraId="4CAD963F">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721" w:type="dxa"/>
                  <w:vMerge w:val="continue"/>
                  <w:tcBorders>
                    <w:tl2br w:val="nil"/>
                    <w:tr2bl w:val="nil"/>
                  </w:tcBorders>
                  <w:noWrap w:val="0"/>
                  <w:tcMar>
                    <w:top w:w="0" w:type="dxa"/>
                    <w:left w:w="28" w:type="dxa"/>
                    <w:bottom w:w="0" w:type="dxa"/>
                    <w:right w:w="28" w:type="dxa"/>
                  </w:tcMar>
                  <w:vAlign w:val="center"/>
                </w:tcPr>
                <w:p w14:paraId="4C59C78E">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867" w:type="dxa"/>
                  <w:vMerge w:val="continue"/>
                  <w:tcBorders>
                    <w:tl2br w:val="nil"/>
                    <w:tr2bl w:val="nil"/>
                  </w:tcBorders>
                  <w:noWrap w:val="0"/>
                  <w:tcMar>
                    <w:top w:w="0" w:type="dxa"/>
                    <w:left w:w="28" w:type="dxa"/>
                    <w:bottom w:w="0" w:type="dxa"/>
                    <w:right w:w="28" w:type="dxa"/>
                  </w:tcMar>
                  <w:vAlign w:val="center"/>
                </w:tcPr>
                <w:p w14:paraId="2E08337D">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692" w:type="dxa"/>
                  <w:vMerge w:val="continue"/>
                  <w:tcBorders>
                    <w:tl2br w:val="nil"/>
                    <w:tr2bl w:val="nil"/>
                  </w:tcBorders>
                  <w:noWrap w:val="0"/>
                  <w:tcMar>
                    <w:top w:w="0" w:type="dxa"/>
                    <w:left w:w="28" w:type="dxa"/>
                    <w:bottom w:w="0" w:type="dxa"/>
                    <w:right w:w="28" w:type="dxa"/>
                  </w:tcMar>
                  <w:vAlign w:val="center"/>
                </w:tcPr>
                <w:p w14:paraId="661E4C73">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2479" w:type="dxa"/>
                  <w:gridSpan w:val="10"/>
                  <w:vMerge w:val="continue"/>
                  <w:tcBorders>
                    <w:tl2br w:val="nil"/>
                    <w:tr2bl w:val="nil"/>
                  </w:tcBorders>
                  <w:noWrap w:val="0"/>
                  <w:tcMar>
                    <w:top w:w="0" w:type="dxa"/>
                    <w:left w:w="28" w:type="dxa"/>
                    <w:bottom w:w="0" w:type="dxa"/>
                    <w:right w:w="28" w:type="dxa"/>
                  </w:tcMar>
                  <w:vAlign w:val="center"/>
                </w:tcPr>
                <w:p w14:paraId="362C8B30">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r>
            <w:tr w14:paraId="52FD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7" w:hRule="atLeast"/>
                <w:jc w:val="center"/>
              </w:trPr>
              <w:tc>
                <w:tcPr>
                  <w:tcW w:w="898" w:type="dxa"/>
                  <w:vMerge w:val="continue"/>
                  <w:tcBorders>
                    <w:tl2br w:val="nil"/>
                    <w:tr2bl w:val="nil"/>
                  </w:tcBorders>
                  <w:noWrap w:val="0"/>
                  <w:vAlign w:val="center"/>
                </w:tcPr>
                <w:p w14:paraId="101D2DEF">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915" w:type="dxa"/>
                  <w:vMerge w:val="continue"/>
                  <w:tcBorders>
                    <w:tl2br w:val="nil"/>
                    <w:tr2bl w:val="nil"/>
                  </w:tcBorders>
                  <w:noWrap w:val="0"/>
                  <w:vAlign w:val="center"/>
                </w:tcPr>
                <w:p w14:paraId="079EDEDF">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870" w:type="dxa"/>
                  <w:vMerge w:val="continue"/>
                  <w:tcBorders>
                    <w:tl2br w:val="nil"/>
                    <w:tr2bl w:val="nil"/>
                  </w:tcBorders>
                  <w:noWrap w:val="0"/>
                  <w:vAlign w:val="center"/>
                </w:tcPr>
                <w:p w14:paraId="226D3A34">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870" w:type="dxa"/>
                  <w:vMerge w:val="continue"/>
                  <w:tcBorders>
                    <w:tl2br w:val="nil"/>
                    <w:tr2bl w:val="nil"/>
                  </w:tcBorders>
                  <w:noWrap w:val="0"/>
                  <w:vAlign w:val="center"/>
                </w:tcPr>
                <w:p w14:paraId="227DCD8E">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870" w:type="dxa"/>
                  <w:vMerge w:val="continue"/>
                  <w:tcBorders>
                    <w:tl2br w:val="nil"/>
                    <w:tr2bl w:val="nil"/>
                  </w:tcBorders>
                  <w:noWrap w:val="0"/>
                  <w:vAlign w:val="center"/>
                </w:tcPr>
                <w:p w14:paraId="3FD7BB53">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585" w:type="dxa"/>
                  <w:vMerge w:val="continue"/>
                  <w:tcBorders>
                    <w:tl2br w:val="nil"/>
                    <w:tr2bl w:val="nil"/>
                  </w:tcBorders>
                  <w:noWrap w:val="0"/>
                  <w:vAlign w:val="center"/>
                </w:tcPr>
                <w:p w14:paraId="26D96C77">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885" w:type="dxa"/>
                  <w:vMerge w:val="continue"/>
                  <w:tcBorders>
                    <w:tl2br w:val="nil"/>
                    <w:tr2bl w:val="nil"/>
                  </w:tcBorders>
                  <w:noWrap w:val="0"/>
                  <w:vAlign w:val="center"/>
                </w:tcPr>
                <w:p w14:paraId="7D4B254E">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630" w:type="dxa"/>
                  <w:vMerge w:val="continue"/>
                  <w:tcBorders>
                    <w:tl2br w:val="nil"/>
                    <w:tr2bl w:val="nil"/>
                  </w:tcBorders>
                  <w:noWrap w:val="0"/>
                  <w:vAlign w:val="center"/>
                </w:tcPr>
                <w:p w14:paraId="04BE0939">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690" w:type="dxa"/>
                  <w:vMerge w:val="continue"/>
                  <w:tcBorders>
                    <w:tl2br w:val="nil"/>
                    <w:tr2bl w:val="nil"/>
                  </w:tcBorders>
                  <w:noWrap w:val="0"/>
                  <w:vAlign w:val="center"/>
                </w:tcPr>
                <w:p w14:paraId="3B840FC9">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897" w:type="dxa"/>
                  <w:tcBorders>
                    <w:tl2br w:val="nil"/>
                    <w:tr2bl w:val="nil"/>
                  </w:tcBorders>
                  <w:noWrap w:val="0"/>
                  <w:vAlign w:val="center"/>
                </w:tcPr>
                <w:p w14:paraId="759F017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合计</w:t>
                  </w:r>
                </w:p>
              </w:tc>
              <w:tc>
                <w:tcPr>
                  <w:tcW w:w="974" w:type="dxa"/>
                  <w:tcBorders>
                    <w:tl2br w:val="nil"/>
                    <w:tr2bl w:val="nil"/>
                  </w:tcBorders>
                  <w:noWrap w:val="0"/>
                  <w:vAlign w:val="center"/>
                </w:tcPr>
                <w:p w14:paraId="217253E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0.1209</w:t>
                  </w:r>
                </w:p>
              </w:tc>
              <w:tc>
                <w:tcPr>
                  <w:tcW w:w="770" w:type="dxa"/>
                  <w:vMerge w:val="continue"/>
                  <w:tcBorders>
                    <w:tl2br w:val="nil"/>
                    <w:tr2bl w:val="nil"/>
                  </w:tcBorders>
                  <w:noWrap w:val="0"/>
                  <w:tcMar>
                    <w:top w:w="0" w:type="dxa"/>
                    <w:left w:w="28" w:type="dxa"/>
                    <w:bottom w:w="0" w:type="dxa"/>
                    <w:right w:w="28" w:type="dxa"/>
                  </w:tcMar>
                  <w:vAlign w:val="center"/>
                </w:tcPr>
                <w:p w14:paraId="66D33C58">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721" w:type="dxa"/>
                  <w:vMerge w:val="continue"/>
                  <w:tcBorders>
                    <w:tl2br w:val="nil"/>
                    <w:tr2bl w:val="nil"/>
                  </w:tcBorders>
                  <w:noWrap w:val="0"/>
                  <w:tcMar>
                    <w:top w:w="0" w:type="dxa"/>
                    <w:left w:w="28" w:type="dxa"/>
                    <w:bottom w:w="0" w:type="dxa"/>
                    <w:right w:w="28" w:type="dxa"/>
                  </w:tcMar>
                  <w:vAlign w:val="center"/>
                </w:tcPr>
                <w:p w14:paraId="1324F719">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867" w:type="dxa"/>
                  <w:vMerge w:val="continue"/>
                  <w:tcBorders>
                    <w:tl2br w:val="nil"/>
                    <w:tr2bl w:val="nil"/>
                  </w:tcBorders>
                  <w:noWrap w:val="0"/>
                  <w:tcMar>
                    <w:top w:w="0" w:type="dxa"/>
                    <w:left w:w="28" w:type="dxa"/>
                    <w:bottom w:w="0" w:type="dxa"/>
                    <w:right w:w="28" w:type="dxa"/>
                  </w:tcMar>
                  <w:vAlign w:val="center"/>
                </w:tcPr>
                <w:p w14:paraId="29F039D5">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692" w:type="dxa"/>
                  <w:vMerge w:val="continue"/>
                  <w:tcBorders>
                    <w:tl2br w:val="nil"/>
                    <w:tr2bl w:val="nil"/>
                  </w:tcBorders>
                  <w:noWrap w:val="0"/>
                  <w:tcMar>
                    <w:top w:w="0" w:type="dxa"/>
                    <w:left w:w="28" w:type="dxa"/>
                    <w:bottom w:w="0" w:type="dxa"/>
                    <w:right w:w="28" w:type="dxa"/>
                  </w:tcMar>
                  <w:vAlign w:val="center"/>
                </w:tcPr>
                <w:p w14:paraId="6689B3F7">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c>
                <w:tcPr>
                  <w:tcW w:w="2479" w:type="dxa"/>
                  <w:gridSpan w:val="10"/>
                  <w:vMerge w:val="continue"/>
                  <w:tcBorders>
                    <w:tl2br w:val="nil"/>
                    <w:tr2bl w:val="nil"/>
                  </w:tcBorders>
                  <w:noWrap w:val="0"/>
                  <w:tcMar>
                    <w:top w:w="0" w:type="dxa"/>
                    <w:left w:w="28" w:type="dxa"/>
                    <w:bottom w:w="0" w:type="dxa"/>
                    <w:right w:w="28" w:type="dxa"/>
                  </w:tcMar>
                  <w:vAlign w:val="center"/>
                </w:tcPr>
                <w:p w14:paraId="56097CE9">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p>
              </w:tc>
            </w:tr>
            <w:tr w14:paraId="6CBE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5" w:hRule="atLeast"/>
                <w:jc w:val="center"/>
              </w:trPr>
              <w:tc>
                <w:tcPr>
                  <w:tcW w:w="898" w:type="dxa"/>
                  <w:vMerge w:val="restart"/>
                  <w:tcBorders>
                    <w:tl2br w:val="nil"/>
                    <w:tr2bl w:val="nil"/>
                  </w:tcBorders>
                  <w:noWrap w:val="0"/>
                  <w:vAlign w:val="center"/>
                </w:tcPr>
                <w:p w14:paraId="6B17D73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宋体"/>
                      <w:color w:val="auto"/>
                      <w:kern w:val="2"/>
                      <w:sz w:val="21"/>
                      <w:szCs w:val="21"/>
                      <w:vertAlign w:val="baseline"/>
                      <w:lang w:val="en-US" w:eastAsia="zh-CN" w:bidi="ar-SA"/>
                    </w:rPr>
                    <w:t>喷淋塔废气</w:t>
                  </w:r>
                </w:p>
              </w:tc>
              <w:tc>
                <w:tcPr>
                  <w:tcW w:w="915" w:type="dxa"/>
                  <w:vMerge w:val="restart"/>
                  <w:tcBorders>
                    <w:tl2br w:val="nil"/>
                    <w:tr2bl w:val="nil"/>
                  </w:tcBorders>
                  <w:noWrap w:val="0"/>
                  <w:vAlign w:val="center"/>
                </w:tcPr>
                <w:p w14:paraId="3FD8066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宋体"/>
                      <w:color w:val="auto"/>
                      <w:kern w:val="2"/>
                      <w:sz w:val="21"/>
                      <w:szCs w:val="21"/>
                      <w:vertAlign w:val="baseline"/>
                      <w:lang w:val="en-US" w:eastAsia="zh-CN" w:bidi="ar-SA"/>
                    </w:rPr>
                    <w:t>硝酸雾（按NOx计）</w:t>
                  </w:r>
                </w:p>
              </w:tc>
              <w:tc>
                <w:tcPr>
                  <w:tcW w:w="870" w:type="dxa"/>
                  <w:vMerge w:val="restart"/>
                  <w:tcBorders>
                    <w:tl2br w:val="nil"/>
                    <w:tr2bl w:val="nil"/>
                  </w:tcBorders>
                  <w:noWrap w:val="0"/>
                  <w:vAlign w:val="center"/>
                </w:tcPr>
                <w:p w14:paraId="0B70982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0.9434</w:t>
                  </w:r>
                </w:p>
              </w:tc>
              <w:tc>
                <w:tcPr>
                  <w:tcW w:w="870" w:type="dxa"/>
                  <w:vMerge w:val="restart"/>
                  <w:tcBorders>
                    <w:tl2br w:val="nil"/>
                    <w:tr2bl w:val="nil"/>
                  </w:tcBorders>
                  <w:noWrap w:val="0"/>
                  <w:vAlign w:val="center"/>
                </w:tcPr>
                <w:p w14:paraId="76626E6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0.393</w:t>
                  </w:r>
                </w:p>
              </w:tc>
              <w:tc>
                <w:tcPr>
                  <w:tcW w:w="870" w:type="dxa"/>
                  <w:vMerge w:val="restart"/>
                  <w:tcBorders>
                    <w:tl2br w:val="nil"/>
                    <w:tr2bl w:val="nil"/>
                  </w:tcBorders>
                  <w:noWrap w:val="0"/>
                  <w:vAlign w:val="center"/>
                </w:tcPr>
                <w:p w14:paraId="3354A75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车间密闭，负压收集</w:t>
                  </w:r>
                </w:p>
              </w:tc>
              <w:tc>
                <w:tcPr>
                  <w:tcW w:w="585" w:type="dxa"/>
                  <w:vMerge w:val="restart"/>
                  <w:tcBorders>
                    <w:tl2br w:val="nil"/>
                    <w:tr2bl w:val="nil"/>
                  </w:tcBorders>
                  <w:noWrap w:val="0"/>
                  <w:vAlign w:val="center"/>
                </w:tcPr>
                <w:p w14:paraId="180B118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90</w:t>
                  </w:r>
                </w:p>
              </w:tc>
              <w:tc>
                <w:tcPr>
                  <w:tcW w:w="885" w:type="dxa"/>
                  <w:vMerge w:val="restart"/>
                  <w:tcBorders>
                    <w:tl2br w:val="nil"/>
                    <w:tr2bl w:val="nil"/>
                  </w:tcBorders>
                  <w:noWrap w:val="0"/>
                  <w:vAlign w:val="center"/>
                </w:tcPr>
                <w:p w14:paraId="3CCF363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喷淋塔</w:t>
                  </w:r>
                </w:p>
              </w:tc>
              <w:tc>
                <w:tcPr>
                  <w:tcW w:w="630" w:type="dxa"/>
                  <w:vMerge w:val="restart"/>
                  <w:tcBorders>
                    <w:tl2br w:val="nil"/>
                    <w:tr2bl w:val="nil"/>
                  </w:tcBorders>
                  <w:noWrap w:val="0"/>
                  <w:vAlign w:val="center"/>
                </w:tcPr>
                <w:p w14:paraId="2C046BB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80</w:t>
                  </w:r>
                </w:p>
              </w:tc>
              <w:tc>
                <w:tcPr>
                  <w:tcW w:w="690" w:type="dxa"/>
                  <w:vMerge w:val="restart"/>
                  <w:tcBorders>
                    <w:tl2br w:val="nil"/>
                    <w:tr2bl w:val="nil"/>
                  </w:tcBorders>
                  <w:noWrap w:val="0"/>
                  <w:vAlign w:val="center"/>
                </w:tcPr>
                <w:p w14:paraId="4E25096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是</w:t>
                  </w:r>
                </w:p>
              </w:tc>
              <w:tc>
                <w:tcPr>
                  <w:tcW w:w="897" w:type="dxa"/>
                  <w:tcBorders>
                    <w:tl2br w:val="nil"/>
                    <w:tr2bl w:val="nil"/>
                  </w:tcBorders>
                  <w:noWrap w:val="0"/>
                  <w:vAlign w:val="center"/>
                </w:tcPr>
                <w:p w14:paraId="3315568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有组织</w:t>
                  </w:r>
                </w:p>
              </w:tc>
              <w:tc>
                <w:tcPr>
                  <w:tcW w:w="974" w:type="dxa"/>
                  <w:tcBorders>
                    <w:tl2br w:val="nil"/>
                    <w:tr2bl w:val="nil"/>
                  </w:tcBorders>
                  <w:noWrap w:val="0"/>
                  <w:vAlign w:val="center"/>
                </w:tcPr>
                <w:p w14:paraId="0F931B4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0.1698</w:t>
                  </w:r>
                </w:p>
              </w:tc>
              <w:tc>
                <w:tcPr>
                  <w:tcW w:w="770" w:type="dxa"/>
                  <w:tcBorders>
                    <w:tl2br w:val="nil"/>
                    <w:tr2bl w:val="nil"/>
                  </w:tcBorders>
                  <w:noWrap w:val="0"/>
                  <w:tcMar>
                    <w:top w:w="0" w:type="dxa"/>
                    <w:left w:w="28" w:type="dxa"/>
                    <w:bottom w:w="0" w:type="dxa"/>
                    <w:right w:w="28" w:type="dxa"/>
                  </w:tcMar>
                  <w:vAlign w:val="center"/>
                </w:tcPr>
                <w:p w14:paraId="4B5DC09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0.0708</w:t>
                  </w:r>
                </w:p>
              </w:tc>
              <w:tc>
                <w:tcPr>
                  <w:tcW w:w="721" w:type="dxa"/>
                  <w:tcBorders>
                    <w:tl2br w:val="nil"/>
                    <w:tr2bl w:val="nil"/>
                  </w:tcBorders>
                  <w:noWrap w:val="0"/>
                  <w:tcMar>
                    <w:top w:w="0" w:type="dxa"/>
                    <w:left w:w="28" w:type="dxa"/>
                    <w:bottom w:w="0" w:type="dxa"/>
                    <w:right w:w="28" w:type="dxa"/>
                  </w:tcMar>
                  <w:vAlign w:val="center"/>
                </w:tcPr>
                <w:p w14:paraId="214D8E2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3000</w:t>
                  </w:r>
                </w:p>
              </w:tc>
              <w:tc>
                <w:tcPr>
                  <w:tcW w:w="867" w:type="dxa"/>
                  <w:tcBorders>
                    <w:tl2br w:val="nil"/>
                    <w:tr2bl w:val="nil"/>
                  </w:tcBorders>
                  <w:noWrap w:val="0"/>
                  <w:tcMar>
                    <w:top w:w="0" w:type="dxa"/>
                    <w:left w:w="28" w:type="dxa"/>
                    <w:bottom w:w="0" w:type="dxa"/>
                    <w:right w:w="28" w:type="dxa"/>
                  </w:tcMar>
                  <w:vAlign w:val="center"/>
                </w:tcPr>
                <w:p w14:paraId="5B49E9C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23.59</w:t>
                  </w:r>
                </w:p>
              </w:tc>
              <w:tc>
                <w:tcPr>
                  <w:tcW w:w="692" w:type="dxa"/>
                  <w:vMerge w:val="restart"/>
                  <w:tcBorders>
                    <w:tl2br w:val="nil"/>
                    <w:tr2bl w:val="nil"/>
                  </w:tcBorders>
                  <w:noWrap w:val="0"/>
                  <w:tcMar>
                    <w:top w:w="0" w:type="dxa"/>
                    <w:left w:w="28" w:type="dxa"/>
                    <w:bottom w:w="0" w:type="dxa"/>
                    <w:right w:w="28" w:type="dxa"/>
                  </w:tcMar>
                  <w:vAlign w:val="center"/>
                </w:tcPr>
                <w:p w14:paraId="1441494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2400</w:t>
                  </w:r>
                </w:p>
              </w:tc>
              <w:tc>
                <w:tcPr>
                  <w:tcW w:w="619" w:type="dxa"/>
                  <w:tcBorders>
                    <w:tl2br w:val="nil"/>
                    <w:tr2bl w:val="nil"/>
                  </w:tcBorders>
                  <w:noWrap w:val="0"/>
                  <w:tcMar>
                    <w:top w:w="0" w:type="dxa"/>
                    <w:left w:w="28" w:type="dxa"/>
                    <w:bottom w:w="0" w:type="dxa"/>
                    <w:right w:w="28" w:type="dxa"/>
                  </w:tcMar>
                  <w:vAlign w:val="center"/>
                </w:tcPr>
                <w:p w14:paraId="3AD9B8C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DA002</w:t>
                  </w:r>
                </w:p>
              </w:tc>
              <w:tc>
                <w:tcPr>
                  <w:tcW w:w="619" w:type="dxa"/>
                  <w:gridSpan w:val="3"/>
                  <w:tcBorders>
                    <w:tl2br w:val="nil"/>
                    <w:tr2bl w:val="nil"/>
                  </w:tcBorders>
                  <w:noWrap w:val="0"/>
                  <w:tcMar>
                    <w:top w:w="0" w:type="dxa"/>
                    <w:left w:w="28" w:type="dxa"/>
                    <w:bottom w:w="0" w:type="dxa"/>
                    <w:right w:w="28" w:type="dxa"/>
                  </w:tcMar>
                  <w:vAlign w:val="center"/>
                </w:tcPr>
                <w:p w14:paraId="5EFE905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40</w:t>
                  </w:r>
                </w:p>
              </w:tc>
              <w:tc>
                <w:tcPr>
                  <w:tcW w:w="619" w:type="dxa"/>
                  <w:gridSpan w:val="3"/>
                  <w:tcBorders>
                    <w:tl2br w:val="nil"/>
                    <w:tr2bl w:val="nil"/>
                  </w:tcBorders>
                  <w:noWrap w:val="0"/>
                  <w:tcMar>
                    <w:top w:w="0" w:type="dxa"/>
                    <w:left w:w="28" w:type="dxa"/>
                    <w:bottom w:w="0" w:type="dxa"/>
                    <w:right w:w="28" w:type="dxa"/>
                  </w:tcMar>
                  <w:vAlign w:val="center"/>
                </w:tcPr>
                <w:p w14:paraId="285F3E9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0.5</w:t>
                  </w:r>
                </w:p>
              </w:tc>
              <w:tc>
                <w:tcPr>
                  <w:tcW w:w="622" w:type="dxa"/>
                  <w:gridSpan w:val="3"/>
                  <w:tcBorders>
                    <w:tl2br w:val="nil"/>
                    <w:tr2bl w:val="nil"/>
                  </w:tcBorders>
                  <w:noWrap w:val="0"/>
                  <w:tcMar>
                    <w:top w:w="0" w:type="dxa"/>
                    <w:left w:w="28" w:type="dxa"/>
                    <w:bottom w:w="0" w:type="dxa"/>
                    <w:right w:w="28" w:type="dxa"/>
                  </w:tcMar>
                  <w:vAlign w:val="center"/>
                </w:tcPr>
                <w:p w14:paraId="00F4C66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25</w:t>
                  </w:r>
                </w:p>
              </w:tc>
            </w:tr>
            <w:tr w14:paraId="78390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5" w:hRule="atLeast"/>
                <w:jc w:val="center"/>
              </w:trPr>
              <w:tc>
                <w:tcPr>
                  <w:tcW w:w="898" w:type="dxa"/>
                  <w:vMerge w:val="continue"/>
                  <w:tcBorders>
                    <w:tl2br w:val="nil"/>
                    <w:tr2bl w:val="nil"/>
                  </w:tcBorders>
                  <w:noWrap w:val="0"/>
                  <w:vAlign w:val="center"/>
                </w:tcPr>
                <w:p w14:paraId="6C6C1ADA">
                  <w:pPr>
                    <w:widowControl w:val="0"/>
                    <w:bidi w:val="0"/>
                    <w:adjustRightInd w:val="0"/>
                    <w:snapToGrid w:val="0"/>
                    <w:spacing w:before="10" w:beforeLines="10" w:after="10" w:afterLines="10" w:line="240" w:lineRule="auto"/>
                    <w:jc w:val="center"/>
                    <w:rPr>
                      <w:rFonts w:ascii="Times New Roman" w:hAnsi="Times New Roman" w:eastAsia="宋体"/>
                      <w:color w:val="auto"/>
                      <w:sz w:val="21"/>
                      <w:szCs w:val="21"/>
                    </w:rPr>
                  </w:pPr>
                </w:p>
              </w:tc>
              <w:tc>
                <w:tcPr>
                  <w:tcW w:w="915" w:type="dxa"/>
                  <w:vMerge w:val="continue"/>
                  <w:tcBorders>
                    <w:tl2br w:val="nil"/>
                    <w:tr2bl w:val="nil"/>
                  </w:tcBorders>
                  <w:noWrap w:val="0"/>
                  <w:vAlign w:val="center"/>
                </w:tcPr>
                <w:p w14:paraId="55DB3EE8">
                  <w:pPr>
                    <w:widowControl w:val="0"/>
                    <w:bidi w:val="0"/>
                    <w:adjustRightInd w:val="0"/>
                    <w:snapToGrid w:val="0"/>
                    <w:spacing w:before="10" w:beforeLines="10" w:after="10" w:afterLines="10" w:line="240" w:lineRule="auto"/>
                    <w:jc w:val="center"/>
                    <w:rPr>
                      <w:rFonts w:ascii="Times New Roman" w:hAnsi="Times New Roman" w:eastAsia="宋体"/>
                      <w:color w:val="auto"/>
                      <w:sz w:val="21"/>
                      <w:szCs w:val="21"/>
                    </w:rPr>
                  </w:pPr>
                </w:p>
              </w:tc>
              <w:tc>
                <w:tcPr>
                  <w:tcW w:w="870" w:type="dxa"/>
                  <w:vMerge w:val="continue"/>
                  <w:tcBorders>
                    <w:tl2br w:val="nil"/>
                    <w:tr2bl w:val="nil"/>
                  </w:tcBorders>
                  <w:noWrap w:val="0"/>
                  <w:vAlign w:val="center"/>
                </w:tcPr>
                <w:p w14:paraId="7835DF4F">
                  <w:pPr>
                    <w:widowControl w:val="0"/>
                    <w:bidi w:val="0"/>
                    <w:adjustRightInd w:val="0"/>
                    <w:snapToGrid w:val="0"/>
                    <w:spacing w:before="10" w:beforeLines="10" w:after="10" w:afterLines="10" w:line="240" w:lineRule="auto"/>
                    <w:jc w:val="center"/>
                    <w:rPr>
                      <w:rFonts w:ascii="Times New Roman" w:hAnsi="Times New Roman" w:eastAsia="宋体"/>
                      <w:color w:val="auto"/>
                      <w:sz w:val="21"/>
                      <w:szCs w:val="21"/>
                    </w:rPr>
                  </w:pPr>
                </w:p>
              </w:tc>
              <w:tc>
                <w:tcPr>
                  <w:tcW w:w="870" w:type="dxa"/>
                  <w:vMerge w:val="continue"/>
                  <w:tcBorders>
                    <w:tl2br w:val="nil"/>
                    <w:tr2bl w:val="nil"/>
                  </w:tcBorders>
                  <w:noWrap w:val="0"/>
                  <w:vAlign w:val="center"/>
                </w:tcPr>
                <w:p w14:paraId="16E10C54">
                  <w:pPr>
                    <w:widowControl w:val="0"/>
                    <w:bidi w:val="0"/>
                    <w:adjustRightInd w:val="0"/>
                    <w:snapToGrid w:val="0"/>
                    <w:spacing w:before="10" w:beforeLines="10" w:after="10" w:afterLines="10" w:line="240" w:lineRule="auto"/>
                    <w:jc w:val="center"/>
                    <w:rPr>
                      <w:rFonts w:ascii="Times New Roman" w:hAnsi="Times New Roman" w:eastAsia="宋体"/>
                      <w:color w:val="auto"/>
                      <w:sz w:val="21"/>
                      <w:szCs w:val="21"/>
                    </w:rPr>
                  </w:pPr>
                </w:p>
              </w:tc>
              <w:tc>
                <w:tcPr>
                  <w:tcW w:w="870" w:type="dxa"/>
                  <w:vMerge w:val="continue"/>
                  <w:tcBorders>
                    <w:tl2br w:val="nil"/>
                    <w:tr2bl w:val="nil"/>
                  </w:tcBorders>
                  <w:noWrap w:val="0"/>
                  <w:vAlign w:val="center"/>
                </w:tcPr>
                <w:p w14:paraId="426B4803">
                  <w:pPr>
                    <w:widowControl w:val="0"/>
                    <w:bidi w:val="0"/>
                    <w:adjustRightInd w:val="0"/>
                    <w:snapToGrid w:val="0"/>
                    <w:spacing w:before="10" w:beforeLines="10" w:after="10" w:afterLines="10" w:line="240" w:lineRule="auto"/>
                    <w:jc w:val="center"/>
                    <w:rPr>
                      <w:rFonts w:ascii="Times New Roman" w:hAnsi="Times New Roman" w:eastAsia="宋体"/>
                      <w:color w:val="auto"/>
                      <w:sz w:val="21"/>
                      <w:szCs w:val="21"/>
                    </w:rPr>
                  </w:pPr>
                </w:p>
              </w:tc>
              <w:tc>
                <w:tcPr>
                  <w:tcW w:w="585" w:type="dxa"/>
                  <w:vMerge w:val="continue"/>
                  <w:tcBorders>
                    <w:tl2br w:val="nil"/>
                    <w:tr2bl w:val="nil"/>
                  </w:tcBorders>
                  <w:noWrap w:val="0"/>
                  <w:vAlign w:val="center"/>
                </w:tcPr>
                <w:p w14:paraId="268F6261">
                  <w:pPr>
                    <w:widowControl w:val="0"/>
                    <w:bidi w:val="0"/>
                    <w:adjustRightInd w:val="0"/>
                    <w:snapToGrid w:val="0"/>
                    <w:spacing w:before="10" w:beforeLines="10" w:after="10" w:afterLines="10" w:line="240" w:lineRule="auto"/>
                    <w:jc w:val="center"/>
                    <w:rPr>
                      <w:rFonts w:ascii="Times New Roman" w:hAnsi="Times New Roman" w:eastAsia="宋体"/>
                      <w:color w:val="auto"/>
                      <w:sz w:val="21"/>
                      <w:szCs w:val="21"/>
                    </w:rPr>
                  </w:pPr>
                </w:p>
              </w:tc>
              <w:tc>
                <w:tcPr>
                  <w:tcW w:w="885" w:type="dxa"/>
                  <w:vMerge w:val="continue"/>
                  <w:tcBorders>
                    <w:tl2br w:val="nil"/>
                    <w:tr2bl w:val="nil"/>
                  </w:tcBorders>
                  <w:noWrap w:val="0"/>
                  <w:vAlign w:val="center"/>
                </w:tcPr>
                <w:p w14:paraId="1230A08A">
                  <w:pPr>
                    <w:widowControl w:val="0"/>
                    <w:bidi w:val="0"/>
                    <w:adjustRightInd w:val="0"/>
                    <w:snapToGrid w:val="0"/>
                    <w:spacing w:before="10" w:beforeLines="10" w:after="10" w:afterLines="10" w:line="240" w:lineRule="auto"/>
                    <w:jc w:val="center"/>
                    <w:rPr>
                      <w:rFonts w:ascii="Times New Roman" w:hAnsi="Times New Roman" w:eastAsia="宋体"/>
                      <w:color w:val="auto"/>
                      <w:sz w:val="21"/>
                      <w:szCs w:val="21"/>
                    </w:rPr>
                  </w:pPr>
                </w:p>
              </w:tc>
              <w:tc>
                <w:tcPr>
                  <w:tcW w:w="630" w:type="dxa"/>
                  <w:vMerge w:val="continue"/>
                  <w:tcBorders>
                    <w:tl2br w:val="nil"/>
                    <w:tr2bl w:val="nil"/>
                  </w:tcBorders>
                  <w:noWrap w:val="0"/>
                  <w:vAlign w:val="center"/>
                </w:tcPr>
                <w:p w14:paraId="471F8C41">
                  <w:pPr>
                    <w:widowControl w:val="0"/>
                    <w:bidi w:val="0"/>
                    <w:adjustRightInd w:val="0"/>
                    <w:snapToGrid w:val="0"/>
                    <w:spacing w:before="10" w:beforeLines="10" w:after="10" w:afterLines="10" w:line="240" w:lineRule="auto"/>
                    <w:jc w:val="center"/>
                    <w:rPr>
                      <w:rFonts w:ascii="Times New Roman" w:hAnsi="Times New Roman" w:eastAsia="宋体"/>
                      <w:color w:val="auto"/>
                      <w:sz w:val="21"/>
                      <w:szCs w:val="21"/>
                    </w:rPr>
                  </w:pPr>
                </w:p>
              </w:tc>
              <w:tc>
                <w:tcPr>
                  <w:tcW w:w="690" w:type="dxa"/>
                  <w:vMerge w:val="continue"/>
                  <w:tcBorders>
                    <w:tl2br w:val="nil"/>
                    <w:tr2bl w:val="nil"/>
                  </w:tcBorders>
                  <w:noWrap w:val="0"/>
                  <w:vAlign w:val="center"/>
                </w:tcPr>
                <w:p w14:paraId="00B62551">
                  <w:pPr>
                    <w:widowControl w:val="0"/>
                    <w:bidi w:val="0"/>
                    <w:adjustRightInd w:val="0"/>
                    <w:snapToGrid w:val="0"/>
                    <w:spacing w:before="10" w:beforeLines="10" w:after="10" w:afterLines="10" w:line="240" w:lineRule="auto"/>
                    <w:jc w:val="center"/>
                    <w:rPr>
                      <w:rFonts w:ascii="Times New Roman" w:hAnsi="Times New Roman" w:eastAsia="宋体"/>
                      <w:color w:val="auto"/>
                      <w:sz w:val="21"/>
                      <w:szCs w:val="21"/>
                    </w:rPr>
                  </w:pPr>
                </w:p>
              </w:tc>
              <w:tc>
                <w:tcPr>
                  <w:tcW w:w="897" w:type="dxa"/>
                  <w:tcBorders>
                    <w:tl2br w:val="nil"/>
                    <w:tr2bl w:val="nil"/>
                  </w:tcBorders>
                  <w:noWrap w:val="0"/>
                  <w:vAlign w:val="center"/>
                </w:tcPr>
                <w:p w14:paraId="378140C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无组织</w:t>
                  </w:r>
                </w:p>
              </w:tc>
              <w:tc>
                <w:tcPr>
                  <w:tcW w:w="974" w:type="dxa"/>
                  <w:tcBorders>
                    <w:tl2br w:val="nil"/>
                    <w:tr2bl w:val="nil"/>
                  </w:tcBorders>
                  <w:noWrap w:val="0"/>
                  <w:vAlign w:val="center"/>
                </w:tcPr>
                <w:p w14:paraId="75268BB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0.094</w:t>
                  </w:r>
                </w:p>
              </w:tc>
              <w:tc>
                <w:tcPr>
                  <w:tcW w:w="770" w:type="dxa"/>
                  <w:tcBorders>
                    <w:tl2br w:val="nil"/>
                    <w:tr2bl w:val="nil"/>
                  </w:tcBorders>
                  <w:noWrap w:val="0"/>
                  <w:tcMar>
                    <w:top w:w="0" w:type="dxa"/>
                    <w:left w:w="28" w:type="dxa"/>
                    <w:bottom w:w="0" w:type="dxa"/>
                    <w:right w:w="28" w:type="dxa"/>
                  </w:tcMar>
                  <w:vAlign w:val="center"/>
                </w:tcPr>
                <w:p w14:paraId="7B66232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0.0393</w:t>
                  </w:r>
                </w:p>
              </w:tc>
              <w:tc>
                <w:tcPr>
                  <w:tcW w:w="721" w:type="dxa"/>
                  <w:tcBorders>
                    <w:tl2br w:val="nil"/>
                    <w:tr2bl w:val="nil"/>
                  </w:tcBorders>
                  <w:noWrap w:val="0"/>
                  <w:tcMar>
                    <w:top w:w="0" w:type="dxa"/>
                    <w:left w:w="28" w:type="dxa"/>
                    <w:bottom w:w="0" w:type="dxa"/>
                    <w:right w:w="28" w:type="dxa"/>
                  </w:tcMar>
                  <w:vAlign w:val="center"/>
                </w:tcPr>
                <w:p w14:paraId="41E003C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867" w:type="dxa"/>
                  <w:tcBorders>
                    <w:tl2br w:val="nil"/>
                    <w:tr2bl w:val="nil"/>
                  </w:tcBorders>
                  <w:noWrap w:val="0"/>
                  <w:tcMar>
                    <w:top w:w="0" w:type="dxa"/>
                    <w:left w:w="28" w:type="dxa"/>
                    <w:bottom w:w="0" w:type="dxa"/>
                    <w:right w:w="28" w:type="dxa"/>
                  </w:tcMar>
                  <w:vAlign w:val="center"/>
                </w:tcPr>
                <w:p w14:paraId="2D3E543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692" w:type="dxa"/>
                  <w:vMerge w:val="continue"/>
                  <w:tcBorders>
                    <w:tl2br w:val="nil"/>
                    <w:tr2bl w:val="nil"/>
                  </w:tcBorders>
                  <w:noWrap w:val="0"/>
                  <w:tcMar>
                    <w:top w:w="0" w:type="dxa"/>
                    <w:left w:w="28" w:type="dxa"/>
                    <w:bottom w:w="0" w:type="dxa"/>
                    <w:right w:w="28" w:type="dxa"/>
                  </w:tcMar>
                  <w:vAlign w:val="center"/>
                </w:tcPr>
                <w:p w14:paraId="71D10C8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p>
              </w:tc>
              <w:tc>
                <w:tcPr>
                  <w:tcW w:w="2479" w:type="dxa"/>
                  <w:gridSpan w:val="10"/>
                  <w:tcBorders>
                    <w:tl2br w:val="nil"/>
                    <w:tr2bl w:val="nil"/>
                  </w:tcBorders>
                  <w:noWrap w:val="0"/>
                  <w:tcMar>
                    <w:top w:w="0" w:type="dxa"/>
                    <w:left w:w="28" w:type="dxa"/>
                    <w:bottom w:w="0" w:type="dxa"/>
                    <w:right w:w="28" w:type="dxa"/>
                  </w:tcMar>
                  <w:vAlign w:val="center"/>
                </w:tcPr>
                <w:p w14:paraId="1445037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w:t>
                  </w:r>
                </w:p>
              </w:tc>
            </w:tr>
            <w:tr w14:paraId="6B51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7" w:hRule="atLeast"/>
                <w:jc w:val="center"/>
              </w:trPr>
              <w:tc>
                <w:tcPr>
                  <w:tcW w:w="898" w:type="dxa"/>
                  <w:tcBorders>
                    <w:tl2br w:val="nil"/>
                    <w:tr2bl w:val="nil"/>
                  </w:tcBorders>
                  <w:shd w:val="clear" w:color="auto" w:fill="auto"/>
                  <w:noWrap w:val="0"/>
                  <w:vAlign w:val="center"/>
                </w:tcPr>
                <w:p w14:paraId="3C868E51">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原料倒边抛光投料废气</w:t>
                  </w:r>
                </w:p>
              </w:tc>
              <w:tc>
                <w:tcPr>
                  <w:tcW w:w="915" w:type="dxa"/>
                  <w:tcBorders>
                    <w:tl2br w:val="nil"/>
                    <w:tr2bl w:val="nil"/>
                  </w:tcBorders>
                  <w:shd w:val="clear" w:color="auto" w:fill="auto"/>
                  <w:noWrap w:val="0"/>
                  <w:vAlign w:val="center"/>
                </w:tcPr>
                <w:p w14:paraId="548B60C0">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颗粒物</w:t>
                  </w:r>
                </w:p>
              </w:tc>
              <w:tc>
                <w:tcPr>
                  <w:tcW w:w="870" w:type="dxa"/>
                  <w:tcBorders>
                    <w:tl2br w:val="nil"/>
                    <w:tr2bl w:val="nil"/>
                  </w:tcBorders>
                  <w:shd w:val="clear" w:color="auto" w:fill="auto"/>
                  <w:noWrap w:val="0"/>
                  <w:vAlign w:val="center"/>
                </w:tcPr>
                <w:p w14:paraId="178F7E79">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0.006</w:t>
                  </w:r>
                </w:p>
              </w:tc>
              <w:tc>
                <w:tcPr>
                  <w:tcW w:w="870" w:type="dxa"/>
                  <w:tcBorders>
                    <w:tl2br w:val="nil"/>
                    <w:tr2bl w:val="nil"/>
                  </w:tcBorders>
                  <w:shd w:val="clear" w:color="auto" w:fill="auto"/>
                  <w:noWrap w:val="0"/>
                  <w:vAlign w:val="center"/>
                </w:tcPr>
                <w:p w14:paraId="56070122">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870" w:type="dxa"/>
                  <w:tcBorders>
                    <w:tl2br w:val="nil"/>
                    <w:tr2bl w:val="nil"/>
                  </w:tcBorders>
                  <w:shd w:val="clear" w:color="auto" w:fill="auto"/>
                  <w:noWrap w:val="0"/>
                  <w:vAlign w:val="center"/>
                </w:tcPr>
                <w:p w14:paraId="628C4B91">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车间密闭</w:t>
                  </w:r>
                </w:p>
              </w:tc>
              <w:tc>
                <w:tcPr>
                  <w:tcW w:w="585" w:type="dxa"/>
                  <w:tcBorders>
                    <w:tl2br w:val="nil"/>
                    <w:tr2bl w:val="nil"/>
                  </w:tcBorders>
                  <w:shd w:val="clear" w:color="auto" w:fill="auto"/>
                  <w:noWrap w:val="0"/>
                  <w:vAlign w:val="center"/>
                </w:tcPr>
                <w:p w14:paraId="0CDF4FF3">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50</w:t>
                  </w:r>
                </w:p>
              </w:tc>
              <w:tc>
                <w:tcPr>
                  <w:tcW w:w="885" w:type="dxa"/>
                  <w:tcBorders>
                    <w:tl2br w:val="nil"/>
                    <w:tr2bl w:val="nil"/>
                  </w:tcBorders>
                  <w:shd w:val="clear" w:color="auto" w:fill="auto"/>
                  <w:noWrap w:val="0"/>
                  <w:vAlign w:val="center"/>
                </w:tcPr>
                <w:p w14:paraId="207DDB77">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630" w:type="dxa"/>
                  <w:tcBorders>
                    <w:tl2br w:val="nil"/>
                    <w:tr2bl w:val="nil"/>
                  </w:tcBorders>
                  <w:shd w:val="clear" w:color="auto" w:fill="auto"/>
                  <w:noWrap w:val="0"/>
                  <w:vAlign w:val="center"/>
                </w:tcPr>
                <w:p w14:paraId="1BC8657B">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690" w:type="dxa"/>
                  <w:tcBorders>
                    <w:tl2br w:val="nil"/>
                    <w:tr2bl w:val="nil"/>
                  </w:tcBorders>
                  <w:shd w:val="clear" w:color="auto" w:fill="auto"/>
                  <w:noWrap w:val="0"/>
                  <w:vAlign w:val="center"/>
                </w:tcPr>
                <w:p w14:paraId="68950347">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897" w:type="dxa"/>
                  <w:tcBorders>
                    <w:tl2br w:val="nil"/>
                    <w:tr2bl w:val="nil"/>
                  </w:tcBorders>
                  <w:shd w:val="clear" w:color="auto" w:fill="auto"/>
                  <w:noWrap w:val="0"/>
                  <w:vAlign w:val="center"/>
                </w:tcPr>
                <w:p w14:paraId="6FBAB530">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无组织</w:t>
                  </w:r>
                </w:p>
              </w:tc>
              <w:tc>
                <w:tcPr>
                  <w:tcW w:w="974" w:type="dxa"/>
                  <w:tcBorders>
                    <w:tl2br w:val="nil"/>
                    <w:tr2bl w:val="nil"/>
                  </w:tcBorders>
                  <w:shd w:val="clear" w:color="auto" w:fill="auto"/>
                  <w:noWrap w:val="0"/>
                  <w:vAlign w:val="center"/>
                </w:tcPr>
                <w:p w14:paraId="00071B39">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0.003</w:t>
                  </w:r>
                </w:p>
              </w:tc>
              <w:tc>
                <w:tcPr>
                  <w:tcW w:w="770" w:type="dxa"/>
                  <w:tcBorders>
                    <w:tl2br w:val="nil"/>
                    <w:tr2bl w:val="nil"/>
                  </w:tcBorders>
                  <w:shd w:val="clear" w:color="auto" w:fill="auto"/>
                  <w:noWrap w:val="0"/>
                  <w:tcMar>
                    <w:top w:w="0" w:type="dxa"/>
                    <w:left w:w="28" w:type="dxa"/>
                    <w:bottom w:w="0" w:type="dxa"/>
                    <w:right w:w="28" w:type="dxa"/>
                  </w:tcMar>
                  <w:vAlign w:val="center"/>
                </w:tcPr>
                <w:p w14:paraId="2613B997">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721" w:type="dxa"/>
                  <w:tcBorders>
                    <w:tl2br w:val="nil"/>
                    <w:tr2bl w:val="nil"/>
                  </w:tcBorders>
                  <w:shd w:val="clear" w:color="auto" w:fill="auto"/>
                  <w:noWrap w:val="0"/>
                  <w:tcMar>
                    <w:top w:w="0" w:type="dxa"/>
                    <w:left w:w="28" w:type="dxa"/>
                    <w:bottom w:w="0" w:type="dxa"/>
                    <w:right w:w="28" w:type="dxa"/>
                  </w:tcMar>
                  <w:vAlign w:val="center"/>
                </w:tcPr>
                <w:p w14:paraId="2DCC8C31">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867" w:type="dxa"/>
                  <w:tcBorders>
                    <w:tl2br w:val="nil"/>
                    <w:tr2bl w:val="nil"/>
                  </w:tcBorders>
                  <w:shd w:val="clear" w:color="auto" w:fill="auto"/>
                  <w:noWrap w:val="0"/>
                  <w:tcMar>
                    <w:top w:w="0" w:type="dxa"/>
                    <w:left w:w="28" w:type="dxa"/>
                    <w:bottom w:w="0" w:type="dxa"/>
                    <w:right w:w="28" w:type="dxa"/>
                  </w:tcMar>
                  <w:vAlign w:val="center"/>
                </w:tcPr>
                <w:p w14:paraId="470916FB">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692" w:type="dxa"/>
                  <w:tcBorders>
                    <w:tl2br w:val="nil"/>
                    <w:tr2bl w:val="nil"/>
                  </w:tcBorders>
                  <w:shd w:val="clear" w:color="auto" w:fill="auto"/>
                  <w:noWrap w:val="0"/>
                  <w:tcMar>
                    <w:top w:w="0" w:type="dxa"/>
                    <w:left w:w="28" w:type="dxa"/>
                    <w:bottom w:w="0" w:type="dxa"/>
                    <w:right w:w="28" w:type="dxa"/>
                  </w:tcMar>
                  <w:vAlign w:val="center"/>
                </w:tcPr>
                <w:p w14:paraId="54A027F3">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c>
                <w:tcPr>
                  <w:tcW w:w="2479" w:type="dxa"/>
                  <w:gridSpan w:val="10"/>
                  <w:tcBorders>
                    <w:tl2br w:val="nil"/>
                    <w:tr2bl w:val="nil"/>
                  </w:tcBorders>
                  <w:shd w:val="clear" w:color="auto" w:fill="auto"/>
                  <w:noWrap w:val="0"/>
                  <w:tcMar>
                    <w:top w:w="0" w:type="dxa"/>
                    <w:left w:w="28" w:type="dxa"/>
                    <w:bottom w:w="0" w:type="dxa"/>
                    <w:right w:w="28" w:type="dxa"/>
                  </w:tcMar>
                  <w:vAlign w:val="center"/>
                </w:tcPr>
                <w:p w14:paraId="38284F02">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p>
              </w:tc>
            </w:tr>
            <w:tr w14:paraId="63E03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7" w:hRule="atLeast"/>
                <w:jc w:val="center"/>
              </w:trPr>
              <w:tc>
                <w:tcPr>
                  <w:tcW w:w="898" w:type="dxa"/>
                  <w:tcBorders>
                    <w:tl2br w:val="nil"/>
                    <w:tr2bl w:val="nil"/>
                  </w:tcBorders>
                  <w:shd w:val="clear" w:color="auto" w:fill="auto"/>
                  <w:noWrap w:val="0"/>
                  <w:vAlign w:val="center"/>
                </w:tcPr>
                <w:p w14:paraId="31EF5A4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晶体生长废气</w:t>
                  </w:r>
                </w:p>
              </w:tc>
              <w:tc>
                <w:tcPr>
                  <w:tcW w:w="915" w:type="dxa"/>
                  <w:tcBorders>
                    <w:tl2br w:val="nil"/>
                    <w:tr2bl w:val="nil"/>
                  </w:tcBorders>
                  <w:shd w:val="clear" w:color="auto" w:fill="auto"/>
                  <w:noWrap w:val="0"/>
                  <w:vAlign w:val="center"/>
                </w:tcPr>
                <w:p w14:paraId="5FD2C7C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氨</w:t>
                  </w:r>
                </w:p>
              </w:tc>
              <w:tc>
                <w:tcPr>
                  <w:tcW w:w="870" w:type="dxa"/>
                  <w:tcBorders>
                    <w:tl2br w:val="nil"/>
                    <w:tr2bl w:val="nil"/>
                  </w:tcBorders>
                  <w:shd w:val="clear" w:color="auto" w:fill="auto"/>
                  <w:noWrap w:val="0"/>
                  <w:vAlign w:val="center"/>
                </w:tcPr>
                <w:p w14:paraId="2415A879">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ascii="Times New Roman" w:hAnsi="Times New Roman" w:eastAsia="宋体" w:cs="宋体"/>
                      <w:color w:val="auto"/>
                      <w:sz w:val="24"/>
                      <w:szCs w:val="24"/>
                    </w:rPr>
                    <w:t>0.002429</w:t>
                  </w:r>
                </w:p>
              </w:tc>
              <w:tc>
                <w:tcPr>
                  <w:tcW w:w="870" w:type="dxa"/>
                  <w:tcBorders>
                    <w:tl2br w:val="nil"/>
                    <w:tr2bl w:val="nil"/>
                  </w:tcBorders>
                  <w:shd w:val="clear" w:color="auto" w:fill="auto"/>
                  <w:noWrap w:val="0"/>
                  <w:vAlign w:val="center"/>
                </w:tcPr>
                <w:p w14:paraId="580DA10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w:t>
                  </w:r>
                </w:p>
              </w:tc>
              <w:tc>
                <w:tcPr>
                  <w:tcW w:w="870" w:type="dxa"/>
                  <w:tcBorders>
                    <w:tl2br w:val="nil"/>
                    <w:tr2bl w:val="nil"/>
                  </w:tcBorders>
                  <w:shd w:val="clear" w:color="auto" w:fill="auto"/>
                  <w:noWrap w:val="0"/>
                  <w:vAlign w:val="center"/>
                </w:tcPr>
                <w:p w14:paraId="3E50027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车间密闭，设置通风橱</w:t>
                  </w:r>
                </w:p>
              </w:tc>
              <w:tc>
                <w:tcPr>
                  <w:tcW w:w="585" w:type="dxa"/>
                  <w:tcBorders>
                    <w:tl2br w:val="nil"/>
                    <w:tr2bl w:val="nil"/>
                  </w:tcBorders>
                  <w:shd w:val="clear" w:color="auto" w:fill="auto"/>
                  <w:noWrap w:val="0"/>
                  <w:vAlign w:val="center"/>
                </w:tcPr>
                <w:p w14:paraId="2F0D698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90</w:t>
                  </w:r>
                </w:p>
              </w:tc>
              <w:tc>
                <w:tcPr>
                  <w:tcW w:w="885" w:type="dxa"/>
                  <w:tcBorders>
                    <w:tl2br w:val="nil"/>
                    <w:tr2bl w:val="nil"/>
                  </w:tcBorders>
                  <w:shd w:val="clear" w:color="auto" w:fill="auto"/>
                  <w:noWrap w:val="0"/>
                  <w:vAlign w:val="center"/>
                </w:tcPr>
                <w:p w14:paraId="5C06FF3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w:t>
                  </w:r>
                </w:p>
              </w:tc>
              <w:tc>
                <w:tcPr>
                  <w:tcW w:w="630" w:type="dxa"/>
                  <w:tcBorders>
                    <w:tl2br w:val="nil"/>
                    <w:tr2bl w:val="nil"/>
                  </w:tcBorders>
                  <w:shd w:val="clear" w:color="auto" w:fill="auto"/>
                  <w:noWrap w:val="0"/>
                  <w:vAlign w:val="center"/>
                </w:tcPr>
                <w:p w14:paraId="0BB6D5E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w:t>
                  </w:r>
                </w:p>
              </w:tc>
              <w:tc>
                <w:tcPr>
                  <w:tcW w:w="690" w:type="dxa"/>
                  <w:tcBorders>
                    <w:tl2br w:val="nil"/>
                    <w:tr2bl w:val="nil"/>
                  </w:tcBorders>
                  <w:shd w:val="clear" w:color="auto" w:fill="auto"/>
                  <w:noWrap w:val="0"/>
                  <w:vAlign w:val="center"/>
                </w:tcPr>
                <w:p w14:paraId="579BEAA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w:t>
                  </w:r>
                </w:p>
              </w:tc>
              <w:tc>
                <w:tcPr>
                  <w:tcW w:w="897" w:type="dxa"/>
                  <w:tcBorders>
                    <w:tl2br w:val="nil"/>
                    <w:tr2bl w:val="nil"/>
                  </w:tcBorders>
                  <w:shd w:val="clear" w:color="auto" w:fill="auto"/>
                  <w:noWrap w:val="0"/>
                  <w:vAlign w:val="center"/>
                </w:tcPr>
                <w:p w14:paraId="7793F63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无组织</w:t>
                  </w:r>
                </w:p>
              </w:tc>
              <w:tc>
                <w:tcPr>
                  <w:tcW w:w="974" w:type="dxa"/>
                  <w:tcBorders>
                    <w:tl2br w:val="nil"/>
                    <w:tr2bl w:val="nil"/>
                  </w:tcBorders>
                  <w:shd w:val="clear" w:color="auto" w:fill="auto"/>
                  <w:noWrap w:val="0"/>
                  <w:vAlign w:val="center"/>
                </w:tcPr>
                <w:p w14:paraId="18761991">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0.0000243</w:t>
                  </w:r>
                </w:p>
              </w:tc>
              <w:tc>
                <w:tcPr>
                  <w:tcW w:w="770" w:type="dxa"/>
                  <w:tcBorders>
                    <w:tl2br w:val="nil"/>
                    <w:tr2bl w:val="nil"/>
                  </w:tcBorders>
                  <w:shd w:val="clear" w:color="auto" w:fill="auto"/>
                  <w:noWrap w:val="0"/>
                  <w:tcMar>
                    <w:top w:w="0" w:type="dxa"/>
                    <w:left w:w="28" w:type="dxa"/>
                    <w:bottom w:w="0" w:type="dxa"/>
                    <w:right w:w="28" w:type="dxa"/>
                  </w:tcMar>
                  <w:vAlign w:val="center"/>
                </w:tcPr>
                <w:p w14:paraId="06298B0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w:t>
                  </w:r>
                </w:p>
              </w:tc>
              <w:tc>
                <w:tcPr>
                  <w:tcW w:w="721" w:type="dxa"/>
                  <w:tcBorders>
                    <w:tl2br w:val="nil"/>
                    <w:tr2bl w:val="nil"/>
                  </w:tcBorders>
                  <w:shd w:val="clear" w:color="auto" w:fill="auto"/>
                  <w:noWrap w:val="0"/>
                  <w:tcMar>
                    <w:top w:w="0" w:type="dxa"/>
                    <w:left w:w="28" w:type="dxa"/>
                    <w:bottom w:w="0" w:type="dxa"/>
                    <w:right w:w="28" w:type="dxa"/>
                  </w:tcMar>
                  <w:vAlign w:val="center"/>
                </w:tcPr>
                <w:p w14:paraId="70B571D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w:t>
                  </w:r>
                </w:p>
              </w:tc>
              <w:tc>
                <w:tcPr>
                  <w:tcW w:w="867" w:type="dxa"/>
                  <w:tcBorders>
                    <w:tl2br w:val="nil"/>
                    <w:tr2bl w:val="nil"/>
                  </w:tcBorders>
                  <w:shd w:val="clear" w:color="auto" w:fill="auto"/>
                  <w:noWrap w:val="0"/>
                  <w:tcMar>
                    <w:top w:w="0" w:type="dxa"/>
                    <w:left w:w="28" w:type="dxa"/>
                    <w:bottom w:w="0" w:type="dxa"/>
                    <w:right w:w="28" w:type="dxa"/>
                  </w:tcMar>
                  <w:vAlign w:val="center"/>
                </w:tcPr>
                <w:p w14:paraId="05F79E0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w:t>
                  </w:r>
                </w:p>
              </w:tc>
              <w:tc>
                <w:tcPr>
                  <w:tcW w:w="692" w:type="dxa"/>
                  <w:tcBorders>
                    <w:tl2br w:val="nil"/>
                    <w:tr2bl w:val="nil"/>
                  </w:tcBorders>
                  <w:shd w:val="clear" w:color="auto" w:fill="auto"/>
                  <w:noWrap w:val="0"/>
                  <w:tcMar>
                    <w:top w:w="0" w:type="dxa"/>
                    <w:left w:w="28" w:type="dxa"/>
                    <w:bottom w:w="0" w:type="dxa"/>
                    <w:right w:w="28" w:type="dxa"/>
                  </w:tcMar>
                  <w:vAlign w:val="center"/>
                </w:tcPr>
                <w:p w14:paraId="4BB32F6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w:t>
                  </w:r>
                </w:p>
              </w:tc>
              <w:tc>
                <w:tcPr>
                  <w:tcW w:w="2479" w:type="dxa"/>
                  <w:gridSpan w:val="10"/>
                  <w:tcBorders>
                    <w:tl2br w:val="nil"/>
                    <w:tr2bl w:val="nil"/>
                  </w:tcBorders>
                  <w:shd w:val="clear" w:color="auto" w:fill="auto"/>
                  <w:noWrap w:val="0"/>
                  <w:tcMar>
                    <w:top w:w="0" w:type="dxa"/>
                    <w:left w:w="28" w:type="dxa"/>
                    <w:bottom w:w="0" w:type="dxa"/>
                    <w:right w:w="28" w:type="dxa"/>
                  </w:tcMar>
                  <w:vAlign w:val="center"/>
                </w:tcPr>
                <w:p w14:paraId="142D3B3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w:t>
                  </w:r>
                </w:p>
              </w:tc>
            </w:tr>
          </w:tbl>
          <w:p w14:paraId="7844A1A0">
            <w:pPr>
              <w:bidi w:val="0"/>
              <w:jc w:val="both"/>
              <w:rPr>
                <w:rFonts w:hint="default" w:ascii="Times New Roman" w:hAnsi="Times New Roman" w:eastAsia="宋体" w:cs="Times New Roman"/>
                <w:color w:val="auto"/>
                <w:lang w:val="en-US" w:eastAsia="zh-CN"/>
              </w:rPr>
            </w:pPr>
          </w:p>
        </w:tc>
      </w:tr>
    </w:tbl>
    <w:p w14:paraId="325D47A2">
      <w:pPr>
        <w:rPr>
          <w:rFonts w:hint="eastAsia"/>
          <w:color w:val="auto"/>
        </w:rPr>
        <w:sectPr>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41F7F8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788" w:hRule="atLeast"/>
          <w:jc w:val="center"/>
        </w:trPr>
        <w:tc>
          <w:tcPr>
            <w:tcW w:w="746" w:type="dxa"/>
            <w:noWrap w:val="0"/>
            <w:tcMar>
              <w:left w:w="28" w:type="dxa"/>
              <w:right w:w="28" w:type="dxa"/>
            </w:tcMar>
            <w:vAlign w:val="center"/>
          </w:tcPr>
          <w:p w14:paraId="39395DFB">
            <w:pPr>
              <w:adjustRightInd w:val="0"/>
              <w:snapToGrid w:val="0"/>
              <w:jc w:val="center"/>
              <w:rPr>
                <w:rFonts w:hint="eastAsia" w:ascii="宋体" w:hAnsi="宋体" w:eastAsia="宋体" w:cs="宋体"/>
                <w:bCs/>
                <w:color w:val="auto"/>
                <w:szCs w:val="21"/>
              </w:rPr>
            </w:pPr>
            <w:r>
              <w:rPr>
                <w:rFonts w:hint="eastAsia" w:ascii="宋体" w:hAnsi="宋体" w:eastAsia="宋体" w:cs="宋体"/>
                <w:bCs/>
                <w:color w:val="auto"/>
                <w:szCs w:val="21"/>
              </w:rPr>
              <w:t>运营</w:t>
            </w:r>
          </w:p>
          <w:p w14:paraId="49552C50">
            <w:pPr>
              <w:adjustRightInd w:val="0"/>
              <w:snapToGrid w:val="0"/>
              <w:jc w:val="center"/>
              <w:rPr>
                <w:rFonts w:hint="eastAsia" w:ascii="宋体" w:hAnsi="宋体" w:eastAsia="宋体" w:cs="宋体"/>
                <w:bCs/>
                <w:color w:val="auto"/>
                <w:szCs w:val="21"/>
              </w:rPr>
            </w:pPr>
            <w:r>
              <w:rPr>
                <w:rFonts w:hint="eastAsia" w:ascii="宋体" w:hAnsi="宋体" w:eastAsia="宋体" w:cs="宋体"/>
                <w:bCs/>
                <w:color w:val="auto"/>
                <w:szCs w:val="21"/>
              </w:rPr>
              <w:t>期环</w:t>
            </w:r>
          </w:p>
          <w:p w14:paraId="0DFA7CF5">
            <w:pPr>
              <w:adjustRightInd w:val="0"/>
              <w:snapToGrid w:val="0"/>
              <w:jc w:val="center"/>
              <w:rPr>
                <w:rFonts w:hint="eastAsia" w:ascii="宋体" w:hAnsi="宋体" w:eastAsia="宋体" w:cs="宋体"/>
                <w:bCs/>
                <w:color w:val="auto"/>
                <w:szCs w:val="21"/>
              </w:rPr>
            </w:pPr>
            <w:r>
              <w:rPr>
                <w:rFonts w:hint="eastAsia" w:ascii="宋体" w:hAnsi="宋体" w:eastAsia="宋体" w:cs="宋体"/>
                <w:bCs/>
                <w:color w:val="auto"/>
                <w:szCs w:val="21"/>
              </w:rPr>
              <w:t>境影</w:t>
            </w:r>
          </w:p>
          <w:p w14:paraId="64EF1C58">
            <w:pPr>
              <w:adjustRightInd w:val="0"/>
              <w:snapToGrid w:val="0"/>
              <w:jc w:val="center"/>
              <w:rPr>
                <w:rFonts w:hint="eastAsia" w:ascii="宋体" w:hAnsi="宋体" w:eastAsia="宋体" w:cs="宋体"/>
                <w:bCs/>
                <w:color w:val="auto"/>
                <w:szCs w:val="21"/>
              </w:rPr>
            </w:pPr>
            <w:r>
              <w:rPr>
                <w:rFonts w:hint="eastAsia" w:ascii="宋体" w:hAnsi="宋体" w:eastAsia="宋体" w:cs="宋体"/>
                <w:bCs/>
                <w:color w:val="auto"/>
                <w:szCs w:val="21"/>
              </w:rPr>
              <w:t>响和</w:t>
            </w:r>
          </w:p>
          <w:p w14:paraId="7DB50F1F">
            <w:pPr>
              <w:adjustRightInd w:val="0"/>
              <w:snapToGrid w:val="0"/>
              <w:jc w:val="center"/>
              <w:rPr>
                <w:rFonts w:hint="eastAsia" w:ascii="宋体" w:hAnsi="宋体" w:eastAsia="宋体" w:cs="宋体"/>
                <w:bCs/>
                <w:color w:val="auto"/>
                <w:szCs w:val="21"/>
              </w:rPr>
            </w:pPr>
            <w:r>
              <w:rPr>
                <w:rFonts w:hint="eastAsia" w:ascii="宋体" w:hAnsi="宋体" w:eastAsia="宋体" w:cs="宋体"/>
                <w:bCs/>
                <w:color w:val="auto"/>
                <w:szCs w:val="21"/>
              </w:rPr>
              <w:t>保护</w:t>
            </w:r>
          </w:p>
          <w:p w14:paraId="14DDAE74">
            <w:pPr>
              <w:adjustRightInd w:val="0"/>
              <w:snapToGrid w:val="0"/>
              <w:jc w:val="center"/>
              <w:rPr>
                <w:rFonts w:ascii="宋体" w:hAnsi="宋体" w:eastAsia="宋体" w:cs="宋体"/>
                <w:bCs/>
                <w:color w:val="auto"/>
                <w:szCs w:val="21"/>
              </w:rPr>
            </w:pPr>
            <w:r>
              <w:rPr>
                <w:rFonts w:hint="eastAsia" w:ascii="宋体" w:hAnsi="宋体" w:eastAsia="宋体" w:cs="宋体"/>
                <w:bCs/>
                <w:color w:val="auto"/>
                <w:szCs w:val="21"/>
              </w:rPr>
              <w:t>措施</w:t>
            </w:r>
          </w:p>
        </w:tc>
        <w:tc>
          <w:tcPr>
            <w:tcW w:w="8162" w:type="dxa"/>
            <w:noWrap w:val="0"/>
            <w:vAlign w:val="center"/>
          </w:tcPr>
          <w:p w14:paraId="4D352EDB">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64" w:name="_Toc20124"/>
            <w:r>
              <w:rPr>
                <w:rFonts w:hint="eastAsia" w:ascii="Times New Roman" w:hAnsi="Times New Roman" w:eastAsia="宋体" w:cs="Times New Roman"/>
                <w:b/>
                <w:color w:val="auto"/>
                <w:kern w:val="2"/>
                <w:sz w:val="24"/>
                <w:szCs w:val="24"/>
                <w:lang w:val="en-US" w:eastAsia="zh-CN" w:bidi="ar-SA"/>
              </w:rPr>
              <w:t>4.2.2运营期废气治理措施及达标分析</w:t>
            </w:r>
            <w:bookmarkEnd w:id="64"/>
          </w:p>
          <w:p w14:paraId="64251A07">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本项目运营期产生的废气的污染物因子为VOCs（以非甲烷总烃计）、颗粒物。</w:t>
            </w:r>
          </w:p>
          <w:p w14:paraId="740E7790">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（1）VOCs（以非甲烷总烃计）治理措施可行性分析</w:t>
            </w:r>
          </w:p>
          <w:p w14:paraId="0411309A">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倒边废气通过设备密闭管道收集，擦拭检测车间、超声波清洗车间密闭负压收集废气，通过集气管道输送至一套二级活性炭吸附装置处理，处理后的废气通过一根40m排气筒排放。</w:t>
            </w:r>
          </w:p>
          <w:p w14:paraId="165F9921">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活性炭，是一种具有多孔结构和大的内部比表面积的材料。由于其大的比表面积、微孔结构、高的吸附能力和很高的表面活性而成为独特的多功能吸附剂，且其价廉易得，可再生活化，同时它可有效去除废水、废气中的大部分有机物和某些无机物，所以它被世界各国广泛地应用于污水及废气的处理、空气净化、回收溶剂等环境保护和资源回收等领域。活性炭分为粉末活性炭、粒状活性炭及活性炭纤维，但是由于粉末活性炭产生二次污染且不能再生而被限制使用。</w:t>
            </w:r>
          </w:p>
          <w:p w14:paraId="17842FC3">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根据《吸附法工业有机废气治理工程技术规范》（HJ2026-2013）吸附剂的选择符合以下条件：当采用热气流吹扫方式再生时，煤质颗粒活性炭的性能应满足GB/T 7701.5的要求，采用非煤质活性炭作吸附剂时可参照执行。颗粒分子筛的BET比表面积应不低于350m</w:t>
            </w:r>
            <w:r>
              <w:rPr>
                <w:rFonts w:hint="eastAsia" w:ascii="Times New Roman" w:hAnsi="Times New Roman" w:eastAsia="宋体" w:cs="宋体"/>
                <w:color w:val="auto"/>
                <w:kern w:val="2"/>
                <w:sz w:val="24"/>
                <w:szCs w:val="24"/>
                <w:vertAlign w:val="superscript"/>
                <w:lang w:val="en-US" w:eastAsia="zh-CN" w:bidi="ar-SA"/>
              </w:rPr>
              <w:t>2</w:t>
            </w:r>
            <w:r>
              <w:rPr>
                <w:rFonts w:hint="eastAsia" w:ascii="Times New Roman" w:hAnsi="Times New Roman" w:eastAsia="宋体" w:cs="宋体"/>
                <w:color w:val="auto"/>
                <w:kern w:val="2"/>
                <w:sz w:val="24"/>
                <w:szCs w:val="24"/>
                <w:lang w:val="en-US" w:eastAsia="zh-CN" w:bidi="ar-SA"/>
              </w:rPr>
              <w:t>/g。固定床吸附装置吸附层的气体流速应根据吸附剂的形态确定。采用颗粒状吸附剂时，气体流速宜低于0.60m/s；采用纤维状吸附剂（活性炭纤维毡）时，气体流速宜低于0.15m/s；采用蜂窝状吸附剂时，气体流速宜低于1.20m/s。对于一次性吸附工艺，当排气浓度不能满足设计或排放要求时应更换吸附剂：对于可再生工艺应定期对吸附剂动态吸附量进行检测，当动态吸附量降低至设计值的80%时宜更换吸附剂。</w:t>
            </w:r>
          </w:p>
          <w:p w14:paraId="37022BC1">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本项目采用</w:t>
            </w:r>
            <w:r>
              <w:rPr>
                <w:rFonts w:hint="default" w:ascii="Times New Roman" w:hAnsi="Times New Roman" w:eastAsia="宋体" w:cs="宋体"/>
                <w:color w:val="auto"/>
                <w:kern w:val="2"/>
                <w:sz w:val="24"/>
                <w:szCs w:val="24"/>
                <w:lang w:val="en-US" w:eastAsia="zh-CN" w:bidi="ar-SA"/>
              </w:rPr>
              <w:t>颗粒活性炭作为吸附剂，其碘值不宜低于800mg/g</w:t>
            </w:r>
            <w:r>
              <w:rPr>
                <w:rFonts w:hint="eastAsia" w:ascii="Times New Roman" w:hAnsi="Times New Roman" w:eastAsia="宋体" w:cs="宋体"/>
                <w:color w:val="auto"/>
                <w:kern w:val="2"/>
                <w:sz w:val="24"/>
                <w:szCs w:val="24"/>
                <w:lang w:val="en-US" w:eastAsia="zh-CN" w:bidi="ar-SA"/>
              </w:rPr>
              <w:t>，最少一次填装量为1吨</w:t>
            </w:r>
            <w:r>
              <w:rPr>
                <w:rFonts w:hint="default" w:ascii="Times New Roman" w:hAnsi="Times New Roman" w:eastAsia="宋体" w:cs="宋体"/>
                <w:color w:val="auto"/>
                <w:kern w:val="2"/>
                <w:sz w:val="24"/>
                <w:szCs w:val="24"/>
                <w:lang w:val="en-US" w:eastAsia="zh-CN" w:bidi="ar-SA"/>
              </w:rPr>
              <w:t>。一次性活性炭吸附工艺宜采用颗粒活性炭作为吸附剂。活性炭、活性炭纤维产品销售时应提供产品质量证明材料，项目计划每两个月更换一次活性炭</w:t>
            </w:r>
            <w:r>
              <w:rPr>
                <w:rFonts w:hint="eastAsia" w:ascii="Times New Roman" w:hAnsi="Times New Roman" w:eastAsia="宋体" w:cs="宋体"/>
                <w:color w:val="auto"/>
                <w:kern w:val="2"/>
                <w:sz w:val="24"/>
                <w:szCs w:val="24"/>
                <w:lang w:val="en-US" w:eastAsia="zh-CN" w:bidi="ar-SA"/>
              </w:rPr>
              <w:t>，能够保证动态吸附力降至设计值的80%之前更换</w:t>
            </w:r>
            <w:r>
              <w:rPr>
                <w:rFonts w:hint="default" w:ascii="Times New Roman" w:hAnsi="Times New Roman" w:eastAsia="宋体" w:cs="宋体"/>
                <w:color w:val="auto"/>
                <w:kern w:val="2"/>
                <w:sz w:val="24"/>
                <w:szCs w:val="24"/>
                <w:lang w:val="en-US" w:eastAsia="zh-CN" w:bidi="ar-SA"/>
              </w:rPr>
              <w:t>。活性炭对有机废气具有良好的吸附效果，可使得有机废气处理能力达到80%以上。</w:t>
            </w:r>
          </w:p>
          <w:p w14:paraId="0CE35D7A">
            <w:pPr>
              <w:pStyle w:val="25"/>
              <w:bidi w:val="0"/>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w:t>
            </w:r>
            <w:r>
              <w:rPr>
                <w:rFonts w:hint="default" w:ascii="Times New Roman" w:hAnsi="Times New Roman" w:eastAsia="宋体" w:cs="宋体"/>
                <w:color w:val="auto"/>
                <w:kern w:val="2"/>
                <w:sz w:val="24"/>
                <w:szCs w:val="24"/>
                <w:lang w:val="en-US" w:eastAsia="zh-CN" w:bidi="ar-SA"/>
              </w:rPr>
              <w:t>集气效率要求及可靠性分析</w:t>
            </w:r>
          </w:p>
          <w:p w14:paraId="0BD69CC6">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shd w:val="clear" w:color="auto" w:fill="auto"/>
                <w:lang w:val="en-US" w:eastAsia="zh-CN" w:bidi="ar-SA"/>
              </w:rPr>
              <w:t>本项目擦拭废气、超洗废气、点胶废气收集方式采用车间密闭负压收集，参考《广东省工业源挥发性有机物减排量核算方法》（2023年修订版），VOCs产生源设置在密闭车间、密闭设备（含反应釜）、密闭管道内，所有开口处，包括人员或物料进出口处呈负压的情况下，废气收集效率可达到90%。</w:t>
            </w:r>
          </w:p>
          <w:p w14:paraId="03F96D83">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根据《福建省环保厅关于印发福建省重点行业挥发性有机物排放控制要求（试行）的通知》（闽环保大气〔2017〕9号）中提出的密闭式局部收集的逸散的VOCs废气收集率应达到80%以上。本项目挥发性有机物排放主要为有机废气。项目车间除出入外，其他均为密闭，收集效率按</w:t>
            </w:r>
            <w:r>
              <w:rPr>
                <w:rFonts w:hint="eastAsia" w:ascii="Times New Roman" w:hAnsi="Times New Roman" w:eastAsia="宋体" w:cs="宋体"/>
                <w:color w:val="auto"/>
                <w:kern w:val="2"/>
                <w:sz w:val="24"/>
                <w:szCs w:val="24"/>
                <w:lang w:val="en-US" w:eastAsia="zh-CN" w:bidi="ar-SA"/>
              </w:rPr>
              <w:t>90</w:t>
            </w:r>
            <w:r>
              <w:rPr>
                <w:rFonts w:hint="default" w:ascii="Times New Roman" w:hAnsi="Times New Roman" w:eastAsia="宋体" w:cs="宋体"/>
                <w:color w:val="auto"/>
                <w:kern w:val="2"/>
                <w:sz w:val="24"/>
                <w:szCs w:val="24"/>
                <w:lang w:val="en-US" w:eastAsia="zh-CN" w:bidi="ar-SA"/>
              </w:rPr>
              <w:t>%计，要求废气收集系统与生产设备自动同步启动，采取以上措施，正常情</w:t>
            </w:r>
            <w:r>
              <w:rPr>
                <w:rFonts w:hint="eastAsia" w:ascii="Times New Roman" w:hAnsi="Times New Roman" w:eastAsia="宋体" w:cs="宋体"/>
                <w:color w:val="auto"/>
                <w:kern w:val="2"/>
                <w:sz w:val="24"/>
                <w:szCs w:val="24"/>
                <w:lang w:val="en-US" w:eastAsia="zh-CN" w:bidi="ar-SA"/>
              </w:rPr>
              <w:t>况下</w:t>
            </w:r>
            <w:r>
              <w:rPr>
                <w:rFonts w:hint="default" w:ascii="Times New Roman" w:hAnsi="Times New Roman" w:eastAsia="宋体" w:cs="宋体"/>
                <w:color w:val="auto"/>
                <w:kern w:val="2"/>
                <w:sz w:val="24"/>
                <w:szCs w:val="24"/>
                <w:lang w:val="en-US" w:eastAsia="zh-CN" w:bidi="ar-SA"/>
              </w:rPr>
              <w:t>，可确保收集效率可达</w:t>
            </w:r>
            <w:r>
              <w:rPr>
                <w:rFonts w:hint="eastAsia" w:ascii="Times New Roman" w:hAnsi="Times New Roman" w:eastAsia="宋体" w:cs="宋体"/>
                <w:color w:val="auto"/>
                <w:kern w:val="2"/>
                <w:sz w:val="24"/>
                <w:szCs w:val="24"/>
                <w:lang w:val="en-US" w:eastAsia="zh-CN" w:bidi="ar-SA"/>
              </w:rPr>
              <w:t>90%</w:t>
            </w:r>
            <w:r>
              <w:rPr>
                <w:rFonts w:hint="default" w:ascii="Times New Roman" w:hAnsi="Times New Roman" w:eastAsia="宋体" w:cs="宋体"/>
                <w:color w:val="auto"/>
                <w:kern w:val="2"/>
                <w:sz w:val="24"/>
                <w:szCs w:val="24"/>
                <w:lang w:val="en-US" w:eastAsia="zh-CN" w:bidi="ar-SA"/>
              </w:rPr>
              <w:t>，可符合闽环保大气〔2017〕9号提出VOCs废气收集率应达到80%以上，可符合要求。</w:t>
            </w:r>
          </w:p>
          <w:p w14:paraId="2CC77BA9">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（3）无组织废气防治措施分析</w:t>
            </w:r>
          </w:p>
          <w:p w14:paraId="17961160">
            <w:pPr>
              <w:pStyle w:val="25"/>
              <w:bidi w:val="0"/>
              <w:rPr>
                <w:rFonts w:hint="default" w:ascii="Times New Roman" w:hAnsi="Times New Roman" w:eastAsia="宋体"/>
                <w:color w:val="auto"/>
                <w:sz w:val="24"/>
                <w:lang w:val="en-US" w:eastAsia="zh-CN"/>
              </w:rPr>
            </w:pPr>
            <w:r>
              <w:rPr>
                <w:rFonts w:hint="default" w:ascii="Times New Roman" w:hAnsi="Times New Roman" w:eastAsia="宋体"/>
                <w:color w:val="auto"/>
                <w:sz w:val="24"/>
                <w:lang w:val="en-US" w:eastAsia="zh-CN"/>
              </w:rPr>
              <w:t>项目无组织废气主要为</w:t>
            </w:r>
            <w:r>
              <w:rPr>
                <w:rFonts w:hint="eastAsia" w:ascii="Times New Roman" w:hAnsi="Times New Roman" w:eastAsia="宋体"/>
                <w:color w:val="auto"/>
                <w:sz w:val="24"/>
                <w:lang w:val="en-US" w:eastAsia="zh-CN"/>
              </w:rPr>
              <w:t>使用有机溶剂时</w:t>
            </w:r>
            <w:r>
              <w:rPr>
                <w:rFonts w:hint="default" w:ascii="Times New Roman" w:hAnsi="Times New Roman" w:eastAsia="宋体"/>
                <w:color w:val="auto"/>
                <w:sz w:val="24"/>
                <w:lang w:val="en-US" w:eastAsia="zh-CN"/>
              </w:rPr>
              <w:t>产生的</w:t>
            </w:r>
            <w:r>
              <w:rPr>
                <w:rFonts w:hint="eastAsia" w:ascii="Times New Roman" w:hAnsi="Times New Roman" w:eastAsia="宋体"/>
                <w:color w:val="auto"/>
                <w:sz w:val="24"/>
                <w:lang w:val="en-US" w:eastAsia="zh-CN"/>
              </w:rPr>
              <w:t>有机废气（以非甲烷总烃计）</w:t>
            </w:r>
            <w:r>
              <w:rPr>
                <w:rFonts w:hint="eastAsia"/>
                <w:color w:val="auto"/>
                <w:lang w:eastAsia="zh-CN"/>
              </w:rPr>
              <w:t>、</w:t>
            </w:r>
            <w:r>
              <w:rPr>
                <w:rFonts w:hint="eastAsia"/>
                <w:color w:val="auto"/>
                <w:lang w:val="en-US" w:eastAsia="zh-CN"/>
              </w:rPr>
              <w:t>颗粒物</w:t>
            </w:r>
            <w:r>
              <w:rPr>
                <w:rFonts w:hint="default" w:ascii="Times New Roman" w:hAnsi="Times New Roman" w:eastAsia="宋体"/>
                <w:color w:val="auto"/>
                <w:sz w:val="24"/>
                <w:lang w:val="en-US" w:eastAsia="zh-CN"/>
              </w:rPr>
              <w:t>。采取的防止无组织气体排放的主要措施有：</w:t>
            </w:r>
          </w:p>
          <w:p w14:paraId="5422550F">
            <w:pPr>
              <w:pStyle w:val="25"/>
              <w:bidi w:val="0"/>
              <w:rPr>
                <w:rFonts w:hint="default" w:ascii="Times New Roman" w:hAnsi="Times New Roman" w:eastAsia="宋体"/>
                <w:color w:val="auto"/>
                <w:sz w:val="24"/>
                <w:lang w:val="en-US" w:eastAsia="zh-CN"/>
              </w:rPr>
            </w:pPr>
            <w:r>
              <w:rPr>
                <w:rFonts w:hint="default" w:ascii="Times New Roman" w:hAnsi="Times New Roman" w:eastAsia="宋体"/>
                <w:color w:val="auto"/>
                <w:sz w:val="24"/>
                <w:lang w:val="en-US" w:eastAsia="zh-CN"/>
              </w:rPr>
              <w:t>A</w:t>
            </w:r>
            <w:r>
              <w:rPr>
                <w:rFonts w:hint="eastAsia" w:ascii="Times New Roman" w:hAnsi="Times New Roman" w:eastAsia="宋体"/>
                <w:color w:val="auto"/>
                <w:sz w:val="24"/>
                <w:lang w:val="en-US" w:eastAsia="zh-CN"/>
              </w:rPr>
              <w:t>.</w:t>
            </w:r>
            <w:r>
              <w:rPr>
                <w:rFonts w:hint="default" w:ascii="Times New Roman" w:hAnsi="Times New Roman" w:eastAsia="宋体"/>
                <w:color w:val="auto"/>
                <w:sz w:val="24"/>
                <w:lang w:val="en-US" w:eastAsia="zh-CN"/>
              </w:rPr>
              <w:t>加强废气集中收集和处理，确保</w:t>
            </w:r>
            <w:r>
              <w:rPr>
                <w:rFonts w:hint="eastAsia" w:ascii="Times New Roman" w:hAnsi="Times New Roman" w:eastAsia="宋体"/>
                <w:color w:val="auto"/>
                <w:sz w:val="24"/>
                <w:lang w:val="en-US" w:eastAsia="zh-CN"/>
              </w:rPr>
              <w:t>密闭负压车间的</w:t>
            </w:r>
            <w:r>
              <w:rPr>
                <w:rFonts w:hint="default" w:ascii="Times New Roman" w:hAnsi="Times New Roman" w:eastAsia="宋体"/>
                <w:color w:val="auto"/>
                <w:sz w:val="24"/>
                <w:lang w:val="en-US" w:eastAsia="zh-CN"/>
              </w:rPr>
              <w:t>废气收集系统的密闭性，减少废气的无组织排放。</w:t>
            </w:r>
          </w:p>
          <w:p w14:paraId="65CCA96D">
            <w:pPr>
              <w:pStyle w:val="25"/>
              <w:bidi w:val="0"/>
              <w:rPr>
                <w:rFonts w:hint="default" w:ascii="Times New Roman" w:hAnsi="Times New Roman" w:eastAsia="宋体"/>
                <w:color w:val="auto"/>
                <w:sz w:val="24"/>
                <w:lang w:val="en-US" w:eastAsia="zh-CN"/>
              </w:rPr>
            </w:pPr>
            <w:r>
              <w:rPr>
                <w:rFonts w:hint="default" w:ascii="Times New Roman" w:hAnsi="Times New Roman" w:eastAsia="宋体"/>
                <w:color w:val="auto"/>
                <w:sz w:val="24"/>
                <w:lang w:val="en-US" w:eastAsia="zh-CN"/>
              </w:rPr>
              <w:t>B</w:t>
            </w:r>
            <w:r>
              <w:rPr>
                <w:rFonts w:hint="eastAsia" w:ascii="Times New Roman" w:hAnsi="Times New Roman" w:eastAsia="宋体"/>
                <w:color w:val="auto"/>
                <w:sz w:val="24"/>
                <w:lang w:val="en-US" w:eastAsia="zh-CN"/>
              </w:rPr>
              <w:t>.定期检查密闭负压车间的密闭情况、负压情况，确保废气能被连续、稳定地收集。</w:t>
            </w:r>
          </w:p>
          <w:p w14:paraId="1AD52618">
            <w:pPr>
              <w:pStyle w:val="25"/>
              <w:bidi w:val="0"/>
              <w:rPr>
                <w:rFonts w:hint="default" w:ascii="Times New Roman" w:hAnsi="Times New Roman" w:eastAsia="宋体"/>
                <w:color w:val="auto"/>
                <w:sz w:val="24"/>
                <w:lang w:val="en-US" w:eastAsia="zh-CN"/>
              </w:rPr>
            </w:pPr>
            <w:r>
              <w:rPr>
                <w:rFonts w:hint="default" w:ascii="Times New Roman" w:hAnsi="Times New Roman" w:eastAsia="宋体"/>
                <w:color w:val="auto"/>
                <w:sz w:val="24"/>
                <w:lang w:val="en-US" w:eastAsia="zh-CN"/>
              </w:rPr>
              <w:t>C</w:t>
            </w:r>
            <w:r>
              <w:rPr>
                <w:rFonts w:hint="eastAsia" w:ascii="Times New Roman" w:hAnsi="Times New Roman" w:eastAsia="宋体"/>
                <w:color w:val="auto"/>
                <w:sz w:val="24"/>
                <w:lang w:val="en-US" w:eastAsia="zh-CN"/>
              </w:rPr>
              <w:t>.</w:t>
            </w:r>
            <w:r>
              <w:rPr>
                <w:rFonts w:hint="default" w:ascii="Times New Roman" w:hAnsi="Times New Roman" w:eastAsia="宋体"/>
                <w:color w:val="auto"/>
                <w:sz w:val="24"/>
                <w:lang w:val="en-US" w:eastAsia="zh-CN"/>
              </w:rPr>
              <w:t>加强运行管理和环境管理，提高工人操作水平，通过宣传增强职工环保意识，积极推行清洁生产，节能降耗，多种措施并举，减少污染物排放。</w:t>
            </w:r>
          </w:p>
          <w:p w14:paraId="63ED7C86">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综上，通过采取以上废气治理措施后，</w:t>
            </w:r>
            <w:r>
              <w:rPr>
                <w:rFonts w:hint="eastAsia" w:ascii="Times New Roman" w:hAnsi="Times New Roman" w:eastAsia="宋体" w:cs="宋体"/>
                <w:color w:val="auto"/>
                <w:kern w:val="2"/>
                <w:sz w:val="24"/>
                <w:szCs w:val="24"/>
                <w:lang w:val="en-US" w:eastAsia="zh-CN" w:bidi="ar-SA"/>
              </w:rPr>
              <w:t>有组织废气能够达到《工业企业挥发性有机物排放标准》（DB35/1782-2018）表1中其他行业标准。无组织颗粒物能够达到</w:t>
            </w:r>
            <w:r>
              <w:rPr>
                <w:rFonts w:hint="eastAsia"/>
                <w:color w:val="auto"/>
                <w:sz w:val="24"/>
                <w:szCs w:val="24"/>
                <w:highlight w:val="none"/>
                <w:lang w:val="en-US" w:eastAsia="zh-CN"/>
              </w:rPr>
              <w:t>《大气污染物综合排放标准》（GB 16297-1996）表2中无组织排放监控浓度限值1.0mg/m</w:t>
            </w:r>
            <w:r>
              <w:rPr>
                <w:rFonts w:hint="eastAsia"/>
                <w:color w:val="auto"/>
                <w:sz w:val="24"/>
                <w:szCs w:val="24"/>
                <w:highlight w:val="none"/>
                <w:vertAlign w:val="superscript"/>
                <w:lang w:val="en-US" w:eastAsia="zh-CN"/>
              </w:rPr>
              <w:t>3</w:t>
            </w:r>
            <w:r>
              <w:rPr>
                <w:rFonts w:hint="eastAsia"/>
                <w:color w:val="auto"/>
                <w:sz w:val="24"/>
                <w:szCs w:val="24"/>
                <w:highlight w:val="none"/>
                <w:vertAlign w:val="baseline"/>
                <w:lang w:val="en-US" w:eastAsia="zh-CN"/>
              </w:rPr>
              <w:t>，</w:t>
            </w:r>
            <w:r>
              <w:rPr>
                <w:rFonts w:hint="eastAsia" w:ascii="Times New Roman" w:hAnsi="Times New Roman" w:eastAsia="宋体" w:cs="宋体"/>
                <w:color w:val="auto"/>
                <w:kern w:val="2"/>
                <w:sz w:val="24"/>
                <w:szCs w:val="24"/>
                <w:lang w:val="en-US" w:eastAsia="zh-CN" w:bidi="ar-SA"/>
              </w:rPr>
              <w:t>达到</w:t>
            </w:r>
            <w:r>
              <w:rPr>
                <w:rFonts w:hint="default" w:ascii="Times New Roman" w:hAnsi="Times New Roman" w:eastAsia="宋体" w:cs="宋体"/>
                <w:color w:val="auto"/>
                <w:kern w:val="2"/>
                <w:sz w:val="24"/>
                <w:szCs w:val="24"/>
                <w:lang w:val="en-US" w:eastAsia="zh-CN" w:bidi="ar-SA"/>
              </w:rPr>
              <w:t>对周边环境影响较小。</w:t>
            </w:r>
          </w:p>
          <w:p w14:paraId="5453B79D">
            <w:pPr>
              <w:keepNext/>
              <w:keepLines/>
              <w:widowControl w:val="0"/>
              <w:bidi w:val="0"/>
              <w:spacing w:beforeLines="0" w:beforeAutospacing="0" w:afterLines="0" w:afterAutospacing="0" w:line="360" w:lineRule="auto"/>
              <w:jc w:val="left"/>
              <w:outlineLvl w:val="2"/>
              <w:rPr>
                <w:rFonts w:hint="default" w:ascii="Times New Roman" w:hAnsi="Times New Roman" w:eastAsia="宋体" w:cs="Times New Roman"/>
                <w:b/>
                <w:color w:val="auto"/>
                <w:kern w:val="2"/>
                <w:sz w:val="24"/>
                <w:szCs w:val="24"/>
                <w:lang w:val="en-US" w:eastAsia="zh-CN" w:bidi="ar-SA"/>
              </w:rPr>
            </w:pPr>
            <w:bookmarkStart w:id="65" w:name="_Toc14266"/>
            <w:r>
              <w:rPr>
                <w:rFonts w:hint="default" w:ascii="Times New Roman" w:hAnsi="Times New Roman" w:eastAsia="宋体" w:cs="Times New Roman"/>
                <w:b/>
                <w:color w:val="auto"/>
                <w:kern w:val="2"/>
                <w:sz w:val="24"/>
                <w:szCs w:val="24"/>
                <w:lang w:val="en-US" w:eastAsia="zh-CN" w:bidi="ar-SA"/>
              </w:rPr>
              <w:t>4.2.3非正常工况排放量核算</w:t>
            </w:r>
            <w:bookmarkEnd w:id="65"/>
          </w:p>
          <w:p w14:paraId="3CF43A3C">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（1）非正常排放情形及排放源强</w:t>
            </w:r>
          </w:p>
          <w:p w14:paraId="6F37676E">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非正常排放情况指设备检修、污染物排放控制措施达不到应有效率、工艺设备运转异常等情况下的排污。根据本项目的情况，结合同类企业运营情况，确定项目非正常排放情况为污染治理设施发生故障、运转异常（如风机故障、集气管道破裂等），或维护不到位导致废气处理设施效率降低等非正常工况，情形如下：</w:t>
            </w:r>
          </w:p>
          <w:p w14:paraId="37804140">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①有机废气处理设施故障，导致有机废气非正常排放。</w:t>
            </w:r>
          </w:p>
          <w:p w14:paraId="55A10845">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本评价按最不利情况考虑，即废气处理效率降低为0%的情况下污染物排放对周边环境的影响。由于有机废气事故排放效果不显著，短时间内难以发现，非正常工况持续时间按1h计，发生频率按1次/年。非正常工况下废气排放源强核算结果见下表4.2-</w:t>
            </w:r>
            <w:r>
              <w:rPr>
                <w:rFonts w:hint="eastAsia" w:ascii="Times New Roman" w:hAnsi="Times New Roman" w:eastAsia="宋体" w:cs="宋体"/>
                <w:color w:val="auto"/>
                <w:kern w:val="2"/>
                <w:sz w:val="24"/>
                <w:szCs w:val="24"/>
                <w:lang w:val="en-US" w:eastAsia="zh-CN" w:bidi="ar-SA"/>
              </w:rPr>
              <w:t>2</w:t>
            </w:r>
            <w:r>
              <w:rPr>
                <w:rFonts w:hint="default" w:ascii="Times New Roman" w:hAnsi="Times New Roman" w:eastAsia="宋体" w:cs="宋体"/>
                <w:color w:val="auto"/>
                <w:kern w:val="2"/>
                <w:sz w:val="24"/>
                <w:szCs w:val="24"/>
                <w:lang w:val="en-US" w:eastAsia="zh-CN" w:bidi="ar-SA"/>
              </w:rPr>
              <w:t>。</w:t>
            </w:r>
          </w:p>
          <w:p w14:paraId="0111BA83">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default" w:ascii="Times New Roman" w:hAnsi="Times New Roman" w:eastAsia="宋体" w:cs="Times New Roman"/>
                <w:b/>
                <w:color w:val="auto"/>
                <w:kern w:val="0"/>
                <w:sz w:val="24"/>
                <w:szCs w:val="20"/>
                <w:lang w:val="en-US" w:eastAsia="zh-CN" w:bidi="ar-SA"/>
              </w:rPr>
              <w:t>表4.2-</w:t>
            </w:r>
            <w:r>
              <w:rPr>
                <w:rFonts w:hint="eastAsia" w:ascii="Times New Roman" w:hAnsi="Times New Roman" w:eastAsia="宋体" w:cs="Times New Roman"/>
                <w:b/>
                <w:color w:val="auto"/>
                <w:kern w:val="0"/>
                <w:sz w:val="24"/>
                <w:szCs w:val="20"/>
                <w:lang w:val="en-US" w:eastAsia="zh-CN" w:bidi="ar-SA"/>
              </w:rPr>
              <w:t xml:space="preserve">2  </w:t>
            </w:r>
            <w:r>
              <w:rPr>
                <w:rFonts w:hint="default" w:ascii="Times New Roman" w:hAnsi="Times New Roman" w:eastAsia="宋体" w:cs="Times New Roman"/>
                <w:b/>
                <w:color w:val="auto"/>
                <w:kern w:val="0"/>
                <w:sz w:val="24"/>
                <w:szCs w:val="20"/>
                <w:lang w:val="en-US" w:eastAsia="zh-CN" w:bidi="ar-SA"/>
              </w:rPr>
              <w:t>污染源非正常排放量核算</w:t>
            </w:r>
          </w:p>
          <w:tbl>
            <w:tblPr>
              <w:tblStyle w:val="18"/>
              <w:tblW w:w="7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8"/>
              <w:gridCol w:w="779"/>
              <w:gridCol w:w="960"/>
              <w:gridCol w:w="870"/>
              <w:gridCol w:w="1380"/>
              <w:gridCol w:w="1170"/>
              <w:gridCol w:w="705"/>
              <w:gridCol w:w="675"/>
              <w:gridCol w:w="825"/>
            </w:tblGrid>
            <w:tr w14:paraId="38FAA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8" w:type="dxa"/>
                  <w:tcBorders>
                    <w:top w:val="single" w:color="auto" w:sz="12" w:space="0"/>
                  </w:tcBorders>
                  <w:noWrap w:val="0"/>
                  <w:vAlign w:val="center"/>
                </w:tcPr>
                <w:p w14:paraId="05922F5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序号</w:t>
                  </w:r>
                </w:p>
              </w:tc>
              <w:tc>
                <w:tcPr>
                  <w:tcW w:w="779" w:type="dxa"/>
                  <w:tcBorders>
                    <w:top w:val="single" w:color="auto" w:sz="12" w:space="0"/>
                  </w:tcBorders>
                  <w:noWrap w:val="0"/>
                  <w:vAlign w:val="center"/>
                </w:tcPr>
                <w:p w14:paraId="134A74F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排放源</w:t>
                  </w:r>
                </w:p>
              </w:tc>
              <w:tc>
                <w:tcPr>
                  <w:tcW w:w="960" w:type="dxa"/>
                  <w:tcBorders>
                    <w:top w:val="single" w:color="auto" w:sz="12" w:space="0"/>
                  </w:tcBorders>
                  <w:noWrap w:val="0"/>
                  <w:vAlign w:val="center"/>
                </w:tcPr>
                <w:p w14:paraId="50F0831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非正常排放原因</w:t>
                  </w:r>
                </w:p>
              </w:tc>
              <w:tc>
                <w:tcPr>
                  <w:tcW w:w="870" w:type="dxa"/>
                  <w:tcBorders>
                    <w:top w:val="single" w:color="auto" w:sz="12" w:space="0"/>
                  </w:tcBorders>
                  <w:noWrap w:val="0"/>
                  <w:vAlign w:val="center"/>
                </w:tcPr>
                <w:p w14:paraId="4C2CA8D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污染源</w:t>
                  </w:r>
                </w:p>
              </w:tc>
              <w:tc>
                <w:tcPr>
                  <w:tcW w:w="1380" w:type="dxa"/>
                  <w:tcBorders>
                    <w:top w:val="single" w:color="auto" w:sz="12" w:space="0"/>
                  </w:tcBorders>
                  <w:noWrap w:val="0"/>
                  <w:vAlign w:val="center"/>
                </w:tcPr>
                <w:p w14:paraId="47F7DD3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非正常排放浓 度</w:t>
                  </w:r>
                </w:p>
              </w:tc>
              <w:tc>
                <w:tcPr>
                  <w:tcW w:w="1170" w:type="dxa"/>
                  <w:tcBorders>
                    <w:top w:val="single" w:color="auto" w:sz="12" w:space="0"/>
                  </w:tcBorders>
                  <w:noWrap w:val="0"/>
                  <w:vAlign w:val="center"/>
                </w:tcPr>
                <w:p w14:paraId="2F96631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非正常排放速率</w:t>
                  </w:r>
                </w:p>
              </w:tc>
              <w:tc>
                <w:tcPr>
                  <w:tcW w:w="705" w:type="dxa"/>
                  <w:tcBorders>
                    <w:top w:val="single" w:color="auto" w:sz="12" w:space="0"/>
                  </w:tcBorders>
                  <w:noWrap w:val="0"/>
                  <w:vAlign w:val="center"/>
                </w:tcPr>
                <w:p w14:paraId="66F3841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单次维持时间</w:t>
                  </w:r>
                </w:p>
              </w:tc>
              <w:tc>
                <w:tcPr>
                  <w:tcW w:w="675" w:type="dxa"/>
                  <w:tcBorders>
                    <w:top w:val="single" w:color="auto" w:sz="12" w:space="0"/>
                  </w:tcBorders>
                  <w:noWrap w:val="0"/>
                  <w:vAlign w:val="center"/>
                </w:tcPr>
                <w:p w14:paraId="0B15627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年发生次数</w:t>
                  </w:r>
                </w:p>
              </w:tc>
              <w:tc>
                <w:tcPr>
                  <w:tcW w:w="825" w:type="dxa"/>
                  <w:tcBorders>
                    <w:top w:val="single" w:color="auto" w:sz="12" w:space="0"/>
                    <w:right w:val="nil"/>
                  </w:tcBorders>
                  <w:noWrap w:val="0"/>
                  <w:vAlign w:val="center"/>
                </w:tcPr>
                <w:p w14:paraId="2DDC5BB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应对措施</w:t>
                  </w:r>
                </w:p>
              </w:tc>
            </w:tr>
            <w:tr w14:paraId="353EB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8" w:type="dxa"/>
                  <w:tcBorders>
                    <w:left w:val="nil"/>
                  </w:tcBorders>
                  <w:noWrap w:val="0"/>
                  <w:vAlign w:val="center"/>
                </w:tcPr>
                <w:p w14:paraId="76EAC78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w:t>
                  </w:r>
                </w:p>
              </w:tc>
              <w:tc>
                <w:tcPr>
                  <w:tcW w:w="779" w:type="dxa"/>
                  <w:noWrap w:val="0"/>
                  <w:vAlign w:val="center"/>
                </w:tcPr>
                <w:p w14:paraId="26B9030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DA001</w:t>
                  </w:r>
                </w:p>
              </w:tc>
              <w:tc>
                <w:tcPr>
                  <w:tcW w:w="960" w:type="dxa"/>
                  <w:noWrap w:val="0"/>
                  <w:vAlign w:val="center"/>
                </w:tcPr>
                <w:p w14:paraId="11D4304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废气治理设施故障</w:t>
                  </w:r>
                </w:p>
              </w:tc>
              <w:tc>
                <w:tcPr>
                  <w:tcW w:w="870" w:type="dxa"/>
                  <w:noWrap w:val="0"/>
                  <w:vAlign w:val="center"/>
                </w:tcPr>
                <w:p w14:paraId="5248F5A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VOCs（以非甲烷总烃计）</w:t>
                  </w:r>
                </w:p>
              </w:tc>
              <w:tc>
                <w:tcPr>
                  <w:tcW w:w="1380" w:type="dxa"/>
                  <w:noWrap w:val="0"/>
                  <w:vAlign w:val="center"/>
                </w:tcPr>
                <w:p w14:paraId="058E1C5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49.16mg/m</w:t>
                  </w:r>
                  <w:r>
                    <w:rPr>
                      <w:rFonts w:hint="eastAsia" w:ascii="Times New Roman" w:hAnsi="Times New Roman" w:eastAsia="宋体" w:cs="Times New Roman"/>
                      <w:color w:val="auto"/>
                      <w:kern w:val="0"/>
                      <w:sz w:val="21"/>
                      <w:szCs w:val="20"/>
                      <w:vertAlign w:val="superscript"/>
                      <w:lang w:val="en-US" w:eastAsia="zh-CN" w:bidi="ar-SA"/>
                    </w:rPr>
                    <w:t>3</w:t>
                  </w:r>
                </w:p>
              </w:tc>
              <w:tc>
                <w:tcPr>
                  <w:tcW w:w="1170" w:type="dxa"/>
                  <w:noWrap w:val="0"/>
                  <w:vAlign w:val="center"/>
                </w:tcPr>
                <w:p w14:paraId="4A085DA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0.1475kg/h</w:t>
                  </w:r>
                </w:p>
              </w:tc>
              <w:tc>
                <w:tcPr>
                  <w:tcW w:w="705" w:type="dxa"/>
                  <w:noWrap w:val="0"/>
                  <w:vAlign w:val="center"/>
                </w:tcPr>
                <w:p w14:paraId="59CF299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1h</w:t>
                  </w:r>
                </w:p>
              </w:tc>
              <w:tc>
                <w:tcPr>
                  <w:tcW w:w="675" w:type="dxa"/>
                  <w:noWrap w:val="0"/>
                  <w:vAlign w:val="center"/>
                </w:tcPr>
                <w:p w14:paraId="133EF18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1次</w:t>
                  </w:r>
                </w:p>
              </w:tc>
              <w:tc>
                <w:tcPr>
                  <w:tcW w:w="825" w:type="dxa"/>
                  <w:tcBorders>
                    <w:right w:val="nil"/>
                  </w:tcBorders>
                  <w:noWrap w:val="0"/>
                  <w:vAlign w:val="center"/>
                </w:tcPr>
                <w:p w14:paraId="724B670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立即停产，修复后生产</w:t>
                  </w:r>
                </w:p>
              </w:tc>
            </w:tr>
            <w:tr w14:paraId="23AB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8" w:type="dxa"/>
                  <w:tcBorders>
                    <w:left w:val="nil"/>
                    <w:bottom w:val="single" w:color="auto" w:sz="12" w:space="0"/>
                  </w:tcBorders>
                  <w:noWrap w:val="0"/>
                  <w:vAlign w:val="center"/>
                </w:tcPr>
                <w:p w14:paraId="751FF28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2</w:t>
                  </w:r>
                </w:p>
              </w:tc>
              <w:tc>
                <w:tcPr>
                  <w:tcW w:w="779" w:type="dxa"/>
                  <w:tcBorders>
                    <w:bottom w:val="single" w:color="auto" w:sz="12" w:space="0"/>
                  </w:tcBorders>
                  <w:noWrap w:val="0"/>
                  <w:vAlign w:val="center"/>
                </w:tcPr>
                <w:p w14:paraId="099D5AD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DA002</w:t>
                  </w:r>
                </w:p>
              </w:tc>
              <w:tc>
                <w:tcPr>
                  <w:tcW w:w="960" w:type="dxa"/>
                  <w:tcBorders>
                    <w:bottom w:val="single" w:color="auto" w:sz="12" w:space="0"/>
                  </w:tcBorders>
                  <w:noWrap w:val="0"/>
                  <w:vAlign w:val="center"/>
                </w:tcPr>
                <w:p w14:paraId="1D05F458">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废气治理设施故障</w:t>
                  </w:r>
                </w:p>
              </w:tc>
              <w:tc>
                <w:tcPr>
                  <w:tcW w:w="870" w:type="dxa"/>
                  <w:tcBorders>
                    <w:bottom w:val="single" w:color="auto" w:sz="12" w:space="0"/>
                  </w:tcBorders>
                  <w:noWrap w:val="0"/>
                  <w:vAlign w:val="center"/>
                </w:tcPr>
                <w:p w14:paraId="03437DD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硝酸雾（氮氧化物计）</w:t>
                  </w:r>
                </w:p>
              </w:tc>
              <w:tc>
                <w:tcPr>
                  <w:tcW w:w="1380" w:type="dxa"/>
                  <w:tcBorders>
                    <w:bottom w:val="single" w:color="auto" w:sz="12" w:space="0"/>
                  </w:tcBorders>
                  <w:noWrap w:val="0"/>
                  <w:vAlign w:val="center"/>
                </w:tcPr>
                <w:p w14:paraId="657CEB2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117.93mg/m</w:t>
                  </w:r>
                  <w:r>
                    <w:rPr>
                      <w:rFonts w:hint="eastAsia" w:ascii="Times New Roman" w:hAnsi="Times New Roman" w:eastAsia="宋体" w:cs="Times New Roman"/>
                      <w:color w:val="auto"/>
                      <w:kern w:val="0"/>
                      <w:sz w:val="21"/>
                      <w:szCs w:val="20"/>
                      <w:vertAlign w:val="superscript"/>
                      <w:lang w:val="en-US" w:eastAsia="zh-CN" w:bidi="ar-SA"/>
                    </w:rPr>
                    <w:t>3</w:t>
                  </w:r>
                </w:p>
              </w:tc>
              <w:tc>
                <w:tcPr>
                  <w:tcW w:w="1170" w:type="dxa"/>
                  <w:tcBorders>
                    <w:bottom w:val="single" w:color="auto" w:sz="12" w:space="0"/>
                  </w:tcBorders>
                  <w:noWrap w:val="0"/>
                  <w:vAlign w:val="center"/>
                </w:tcPr>
                <w:p w14:paraId="6DCFE61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0.3538kg/h</w:t>
                  </w:r>
                </w:p>
              </w:tc>
              <w:tc>
                <w:tcPr>
                  <w:tcW w:w="705" w:type="dxa"/>
                  <w:tcBorders>
                    <w:bottom w:val="single" w:color="auto" w:sz="12" w:space="0"/>
                  </w:tcBorders>
                  <w:noWrap w:val="0"/>
                  <w:vAlign w:val="center"/>
                </w:tcPr>
                <w:p w14:paraId="49938C14">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1h</w:t>
                  </w:r>
                </w:p>
              </w:tc>
              <w:tc>
                <w:tcPr>
                  <w:tcW w:w="675" w:type="dxa"/>
                  <w:tcBorders>
                    <w:bottom w:val="single" w:color="auto" w:sz="12" w:space="0"/>
                  </w:tcBorders>
                  <w:noWrap w:val="0"/>
                  <w:vAlign w:val="center"/>
                </w:tcPr>
                <w:p w14:paraId="0B54EBB1">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1次</w:t>
                  </w:r>
                </w:p>
              </w:tc>
              <w:tc>
                <w:tcPr>
                  <w:tcW w:w="825" w:type="dxa"/>
                  <w:tcBorders>
                    <w:bottom w:val="single" w:color="auto" w:sz="12" w:space="0"/>
                    <w:right w:val="nil"/>
                  </w:tcBorders>
                  <w:noWrap w:val="0"/>
                  <w:vAlign w:val="center"/>
                </w:tcPr>
                <w:p w14:paraId="1E61B29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立即停产，修复后生产</w:t>
                  </w:r>
                </w:p>
              </w:tc>
            </w:tr>
          </w:tbl>
          <w:p w14:paraId="0C6622E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（2）非正常排放防治措施</w:t>
            </w:r>
          </w:p>
          <w:p w14:paraId="3A0AF038">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针对以上非正常排放情形，本评价建议建设单位在生产运营期间采取以下控制措施以避免或减少废气非正常排放。</w:t>
            </w:r>
          </w:p>
          <w:p w14:paraId="09F3538F">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①规范车间生产操作，避免因员工操作不当导致工艺设备、环保设施故障引发废气事故排放。</w:t>
            </w:r>
          </w:p>
          <w:p w14:paraId="6F82F82D">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②定期对生产设施及废气处理设施进行检查维护，杜绝非正常工况发生，避免非正常排放出现后才采取维护措施。</w:t>
            </w:r>
          </w:p>
          <w:p w14:paraId="68578A82">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综上，项目在采取上述非正常排放防范措施后，非正常排放发生频率较低，非正常排放下污染物排放量较少，非正常工况可及时得到处理，因此本项目废气非正常排放对周边大气环境影响较小。</w:t>
            </w:r>
          </w:p>
          <w:p w14:paraId="2518F92D">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66" w:name="_Toc13585"/>
            <w:r>
              <w:rPr>
                <w:rFonts w:hint="eastAsia" w:ascii="Times New Roman" w:hAnsi="Times New Roman" w:eastAsia="宋体" w:cs="Times New Roman"/>
                <w:b/>
                <w:color w:val="auto"/>
                <w:kern w:val="2"/>
                <w:sz w:val="24"/>
                <w:szCs w:val="24"/>
                <w:lang w:val="en-US" w:eastAsia="zh-CN" w:bidi="ar-SA"/>
              </w:rPr>
              <w:t>4.2.4运营期废气自行监测计划</w:t>
            </w:r>
            <w:bookmarkEnd w:id="66"/>
          </w:p>
          <w:p w14:paraId="4877C050">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根据《固定污染源排污许可分类管理名录（2019年版）》（生态环境部第11号）可知，本项目属于</w:t>
            </w:r>
            <w:r>
              <w:rPr>
                <w:rFonts w:hint="eastAsia" w:cs="宋体"/>
                <w:color w:val="auto"/>
                <w:kern w:val="2"/>
                <w:sz w:val="24"/>
                <w:szCs w:val="24"/>
                <w:lang w:val="en-US" w:eastAsia="zh-CN" w:bidi="ar-SA"/>
              </w:rPr>
              <w:t>电子元件及电子专用材料制造</w:t>
            </w:r>
            <w:r>
              <w:rPr>
                <w:rFonts w:hint="eastAsia" w:ascii="Times New Roman" w:hAnsi="Times New Roman" w:eastAsia="宋体" w:cs="宋体"/>
                <w:color w:val="auto"/>
                <w:kern w:val="2"/>
                <w:sz w:val="24"/>
                <w:szCs w:val="24"/>
                <w:lang w:val="en-US" w:eastAsia="zh-CN" w:bidi="ar-SA"/>
              </w:rPr>
              <w:t>业，对应《固定污染源排污许可分类管理名录（2019年版）》中</w:t>
            </w:r>
            <w:r>
              <w:rPr>
                <w:rFonts w:hint="default" w:ascii="Times New Roman" w:hAnsi="Times New Roman" w:eastAsia="宋体" w:cs="Times New Roman"/>
                <w:color w:val="auto"/>
                <w:sz w:val="24"/>
                <w:szCs w:val="24"/>
                <w:lang w:val="en-US" w:eastAsia="zh-CN"/>
              </w:rPr>
              <w:t>三十四、计算机、通信和其他电子设备制造业 39</w:t>
            </w:r>
            <w:r>
              <w:rPr>
                <w:rFonts w:hint="eastAsia" w:ascii="Times New Roman" w:hAnsi="Times New Roman" w:eastAsia="宋体" w:cs="宋体"/>
                <w:color w:val="auto"/>
                <w:kern w:val="2"/>
                <w:sz w:val="24"/>
                <w:szCs w:val="24"/>
                <w:lang w:val="en-US" w:eastAsia="zh-CN" w:bidi="ar-SA"/>
              </w:rPr>
              <w:t>，见表4.1-</w:t>
            </w:r>
            <w:r>
              <w:rPr>
                <w:rFonts w:hint="eastAsia" w:cs="宋体"/>
                <w:color w:val="auto"/>
                <w:kern w:val="2"/>
                <w:sz w:val="24"/>
                <w:szCs w:val="24"/>
                <w:lang w:val="en-US" w:eastAsia="zh-CN" w:bidi="ar-SA"/>
              </w:rPr>
              <w:t>6</w:t>
            </w:r>
            <w:r>
              <w:rPr>
                <w:rFonts w:hint="eastAsia" w:ascii="Times New Roman" w:hAnsi="Times New Roman" w:eastAsia="宋体" w:cs="宋体"/>
                <w:color w:val="auto"/>
                <w:kern w:val="2"/>
                <w:sz w:val="24"/>
                <w:szCs w:val="24"/>
                <w:lang w:val="en-US" w:eastAsia="zh-CN" w:bidi="ar-SA"/>
              </w:rPr>
              <w:t>，不涉及通用工序简化管理的。本项目应当进行登记管理，登记管理无自行监测要求。</w:t>
            </w:r>
          </w:p>
          <w:p w14:paraId="0B2F95E7">
            <w:pPr>
              <w:keepNext/>
              <w:keepLines/>
              <w:widowControl w:val="0"/>
              <w:bidi w:val="0"/>
              <w:spacing w:beforeLines="0" w:beforeAutospacing="0" w:afterLines="0" w:afterAutospacing="0" w:line="360" w:lineRule="auto"/>
              <w:jc w:val="left"/>
              <w:outlineLvl w:val="1"/>
              <w:rPr>
                <w:rFonts w:hint="default" w:ascii="Times New Roman" w:hAnsi="Times New Roman" w:eastAsia="宋体" w:cs="Times New Roman"/>
                <w:b/>
                <w:color w:val="auto"/>
                <w:kern w:val="2"/>
                <w:sz w:val="28"/>
                <w:szCs w:val="24"/>
                <w:lang w:val="en-US" w:eastAsia="zh-CN" w:bidi="ar-SA"/>
              </w:rPr>
            </w:pPr>
            <w:bookmarkStart w:id="67" w:name="_Toc23973"/>
            <w:r>
              <w:rPr>
                <w:rFonts w:hint="eastAsia" w:ascii="Times New Roman" w:hAnsi="Times New Roman" w:eastAsia="宋体" w:cs="Times New Roman"/>
                <w:b/>
                <w:color w:val="auto"/>
                <w:kern w:val="2"/>
                <w:sz w:val="28"/>
                <w:szCs w:val="24"/>
                <w:lang w:val="en-US" w:eastAsia="zh-CN" w:bidi="ar-SA"/>
              </w:rPr>
              <w:t>4.3运营期声环境影响分析和污染防控措施</w:t>
            </w:r>
            <w:bookmarkEnd w:id="67"/>
          </w:p>
          <w:p w14:paraId="0CF6372C">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68" w:name="_Toc25107"/>
            <w:r>
              <w:rPr>
                <w:rFonts w:hint="eastAsia" w:ascii="Times New Roman" w:hAnsi="Times New Roman" w:eastAsia="宋体" w:cs="Times New Roman"/>
                <w:b/>
                <w:color w:val="auto"/>
                <w:kern w:val="2"/>
                <w:sz w:val="24"/>
                <w:szCs w:val="24"/>
                <w:lang w:val="en-US" w:eastAsia="zh-CN" w:bidi="ar-SA"/>
              </w:rPr>
              <w:t>4.3.1声环境污染源分析</w:t>
            </w:r>
            <w:bookmarkEnd w:id="68"/>
          </w:p>
          <w:p w14:paraId="6FF52B6A">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本项目主要生产设备噪声一览表见表4.3-1。</w:t>
            </w:r>
          </w:p>
          <w:p w14:paraId="2ACFE279">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表4.3-1  项目设备噪声一览表</w:t>
            </w:r>
          </w:p>
          <w:tbl>
            <w:tblPr>
              <w:tblStyle w:val="17"/>
              <w:tblW w:w="789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95"/>
              <w:gridCol w:w="799"/>
              <w:gridCol w:w="1355"/>
              <w:gridCol w:w="813"/>
              <w:gridCol w:w="1477"/>
              <w:gridCol w:w="1582"/>
              <w:gridCol w:w="1276"/>
            </w:tblGrid>
            <w:tr w14:paraId="7E2CA3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595" w:type="dxa"/>
                  <w:tcBorders>
                    <w:tl2br w:val="nil"/>
                    <w:tr2bl w:val="nil"/>
                  </w:tcBorders>
                  <w:noWrap w:val="0"/>
                  <w:vAlign w:val="center"/>
                </w:tcPr>
                <w:p w14:paraId="17E121C6">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b/>
                      <w:bCs/>
                      <w:color w:val="auto"/>
                      <w:lang w:val="en-US" w:eastAsia="zh-CN"/>
                    </w:rPr>
                  </w:pPr>
                  <w:r>
                    <w:rPr>
                      <w:b/>
                      <w:bCs/>
                      <w:color w:val="auto"/>
                      <w:lang w:val="en-US" w:eastAsia="zh-CN"/>
                    </w:rPr>
                    <w:t>编号</w:t>
                  </w:r>
                </w:p>
              </w:tc>
              <w:tc>
                <w:tcPr>
                  <w:tcW w:w="2154" w:type="dxa"/>
                  <w:gridSpan w:val="2"/>
                  <w:tcBorders>
                    <w:tl2br w:val="nil"/>
                    <w:tr2bl w:val="nil"/>
                  </w:tcBorders>
                  <w:noWrap w:val="0"/>
                  <w:vAlign w:val="center"/>
                </w:tcPr>
                <w:p w14:paraId="69C357EB">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b/>
                      <w:bCs/>
                      <w:color w:val="auto"/>
                      <w:lang w:val="en-US" w:eastAsia="zh-CN"/>
                    </w:rPr>
                  </w:pPr>
                  <w:r>
                    <w:rPr>
                      <w:b/>
                      <w:bCs/>
                      <w:color w:val="auto"/>
                      <w:lang w:val="en-US" w:eastAsia="zh-CN"/>
                    </w:rPr>
                    <w:t>噪声源</w:t>
                  </w:r>
                </w:p>
              </w:tc>
              <w:tc>
                <w:tcPr>
                  <w:tcW w:w="813" w:type="dxa"/>
                  <w:tcBorders>
                    <w:tl2br w:val="nil"/>
                    <w:tr2bl w:val="nil"/>
                  </w:tcBorders>
                  <w:noWrap w:val="0"/>
                  <w:vAlign w:val="center"/>
                </w:tcPr>
                <w:p w14:paraId="5A3616F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b/>
                      <w:bCs/>
                      <w:color w:val="auto"/>
                      <w:lang w:val="en-US" w:eastAsia="zh-CN"/>
                    </w:rPr>
                  </w:pPr>
                  <w:r>
                    <w:rPr>
                      <w:b/>
                      <w:bCs/>
                      <w:color w:val="auto"/>
                      <w:lang w:val="en-US" w:eastAsia="zh-CN"/>
                    </w:rPr>
                    <w:t>数量</w:t>
                  </w:r>
                </w:p>
              </w:tc>
              <w:tc>
                <w:tcPr>
                  <w:tcW w:w="1477" w:type="dxa"/>
                  <w:tcBorders>
                    <w:tl2br w:val="nil"/>
                    <w:tr2bl w:val="nil"/>
                  </w:tcBorders>
                  <w:noWrap w:val="0"/>
                  <w:vAlign w:val="center"/>
                </w:tcPr>
                <w:p w14:paraId="65F12788">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b/>
                      <w:bCs/>
                      <w:color w:val="auto"/>
                      <w:lang w:val="en-US" w:eastAsia="zh-CN"/>
                    </w:rPr>
                  </w:pPr>
                  <w:r>
                    <w:rPr>
                      <w:b/>
                      <w:bCs/>
                      <w:color w:val="auto"/>
                      <w:lang w:val="en-US" w:eastAsia="zh-CN"/>
                    </w:rPr>
                    <w:t>产生噪声值</w:t>
                  </w:r>
                </w:p>
              </w:tc>
              <w:tc>
                <w:tcPr>
                  <w:tcW w:w="1582" w:type="dxa"/>
                  <w:tcBorders>
                    <w:tl2br w:val="nil"/>
                    <w:tr2bl w:val="nil"/>
                  </w:tcBorders>
                  <w:noWrap w:val="0"/>
                  <w:vAlign w:val="center"/>
                </w:tcPr>
                <w:p w14:paraId="33CDE54E">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b/>
                      <w:bCs/>
                      <w:color w:val="auto"/>
                      <w:lang w:val="en-US" w:eastAsia="zh-CN"/>
                    </w:rPr>
                  </w:pPr>
                  <w:r>
                    <w:rPr>
                      <w:b/>
                      <w:bCs/>
                      <w:color w:val="auto"/>
                      <w:lang w:val="en-US" w:eastAsia="zh-CN"/>
                    </w:rPr>
                    <w:t>降噪措施</w:t>
                  </w:r>
                </w:p>
              </w:tc>
              <w:tc>
                <w:tcPr>
                  <w:tcW w:w="1276" w:type="dxa"/>
                  <w:tcBorders>
                    <w:tl2br w:val="nil"/>
                    <w:tr2bl w:val="nil"/>
                  </w:tcBorders>
                  <w:noWrap w:val="0"/>
                  <w:vAlign w:val="center"/>
                </w:tcPr>
                <w:p w14:paraId="45E35BE5">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b/>
                      <w:bCs/>
                      <w:color w:val="auto"/>
                      <w:lang w:val="en-US" w:eastAsia="zh-CN"/>
                    </w:rPr>
                  </w:pPr>
                  <w:r>
                    <w:rPr>
                      <w:b/>
                      <w:bCs/>
                      <w:color w:val="auto"/>
                      <w:lang w:val="en-US" w:eastAsia="zh-CN"/>
                    </w:rPr>
                    <w:t>持续时间</w:t>
                  </w:r>
                </w:p>
              </w:tc>
            </w:tr>
            <w:tr w14:paraId="3AC6E8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595" w:type="dxa"/>
                  <w:tcBorders>
                    <w:tl2br w:val="nil"/>
                    <w:tr2bl w:val="nil"/>
                  </w:tcBorders>
                  <w:noWrap w:val="0"/>
                  <w:vAlign w:val="center"/>
                </w:tcPr>
                <w:p w14:paraId="6196025B">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r>
                    <w:rPr>
                      <w:rFonts w:hint="eastAsia"/>
                      <w:color w:val="auto"/>
                      <w:lang w:val="en-US" w:eastAsia="zh-CN"/>
                    </w:rPr>
                    <w:t>1</w:t>
                  </w:r>
                </w:p>
              </w:tc>
              <w:tc>
                <w:tcPr>
                  <w:tcW w:w="799" w:type="dxa"/>
                  <w:vMerge w:val="restart"/>
                  <w:tcBorders>
                    <w:tl2br w:val="nil"/>
                    <w:tr2bl w:val="nil"/>
                  </w:tcBorders>
                  <w:noWrap w:val="0"/>
                  <w:vAlign w:val="center"/>
                </w:tcPr>
                <w:p w14:paraId="4D9116F4">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color w:val="auto"/>
                      <w:lang w:val="en-US" w:eastAsia="zh-CN"/>
                    </w:rPr>
                  </w:pPr>
                  <w:r>
                    <w:rPr>
                      <w:rFonts w:hint="eastAsia"/>
                      <w:color w:val="auto"/>
                      <w:lang w:val="en-US" w:eastAsia="zh-CN"/>
                    </w:rPr>
                    <w:t>生产车间</w:t>
                  </w:r>
                </w:p>
              </w:tc>
              <w:tc>
                <w:tcPr>
                  <w:tcW w:w="1355" w:type="dxa"/>
                  <w:tcBorders>
                    <w:tl2br w:val="nil"/>
                    <w:tr2bl w:val="nil"/>
                  </w:tcBorders>
                  <w:noWrap w:val="0"/>
                  <w:vAlign w:val="center"/>
                </w:tcPr>
                <w:p w14:paraId="6952CEC7">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auto"/>
                      <w:lang w:val="en-US" w:eastAsia="zh-CN"/>
                    </w:rPr>
                  </w:pPr>
                  <w:r>
                    <w:rPr>
                      <w:rFonts w:hint="eastAsia" w:ascii="Times New Roman" w:hAnsi="Times New Roman" w:eastAsia="宋体"/>
                      <w:bCs/>
                      <w:color w:val="auto"/>
                      <w:sz w:val="21"/>
                      <w:szCs w:val="21"/>
                    </w:rPr>
                    <w:t>下降炉</w:t>
                  </w:r>
                </w:p>
              </w:tc>
              <w:tc>
                <w:tcPr>
                  <w:tcW w:w="813" w:type="dxa"/>
                  <w:tcBorders>
                    <w:tl2br w:val="nil"/>
                    <w:tr2bl w:val="nil"/>
                  </w:tcBorders>
                  <w:noWrap w:val="0"/>
                  <w:vAlign w:val="center"/>
                </w:tcPr>
                <w:p w14:paraId="2AB82CAB">
                  <w:pPr>
                    <w:keepNext w:val="0"/>
                    <w:keepLines w:val="0"/>
                    <w:pageBreakBefore w:val="0"/>
                    <w:widowControl w:val="0"/>
                    <w:kinsoku/>
                    <w:wordWrap/>
                    <w:overflowPunct/>
                    <w:topLinePunct w:val="0"/>
                    <w:autoSpaceDE/>
                    <w:autoSpaceDN/>
                    <w:bidi w:val="0"/>
                    <w:spacing w:line="240" w:lineRule="auto"/>
                    <w:jc w:val="center"/>
                    <w:textAlignment w:val="auto"/>
                    <w:rPr>
                      <w:rFonts w:hint="eastAsia"/>
                      <w:color w:val="auto"/>
                      <w:lang w:val="en-US" w:eastAsia="zh-CN"/>
                    </w:rPr>
                  </w:pPr>
                  <w:r>
                    <w:rPr>
                      <w:rFonts w:hint="eastAsia" w:ascii="Times New Roman" w:hAnsi="Times New Roman" w:eastAsia="宋体"/>
                      <w:bCs/>
                      <w:color w:val="auto"/>
                      <w:sz w:val="21"/>
                      <w:szCs w:val="21"/>
                    </w:rPr>
                    <w:t>20台</w:t>
                  </w:r>
                </w:p>
              </w:tc>
              <w:tc>
                <w:tcPr>
                  <w:tcW w:w="1477" w:type="dxa"/>
                  <w:tcBorders>
                    <w:tl2br w:val="nil"/>
                    <w:tr2bl w:val="nil"/>
                  </w:tcBorders>
                  <w:noWrap w:val="0"/>
                  <w:vAlign w:val="center"/>
                </w:tcPr>
                <w:p w14:paraId="6A2DBAE7">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75-80</w:t>
                  </w:r>
                </w:p>
              </w:tc>
              <w:tc>
                <w:tcPr>
                  <w:tcW w:w="1582" w:type="dxa"/>
                  <w:vMerge w:val="restart"/>
                  <w:tcBorders>
                    <w:tl2br w:val="nil"/>
                    <w:tr2bl w:val="nil"/>
                  </w:tcBorders>
                  <w:noWrap w:val="0"/>
                  <w:vAlign w:val="center"/>
                </w:tcPr>
                <w:p w14:paraId="3A113346">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color w:val="auto"/>
                      <w:lang w:val="en-US" w:eastAsia="zh-CN"/>
                    </w:rPr>
                    <w:t>车间隔声</w:t>
                  </w:r>
                  <w:r>
                    <w:rPr>
                      <w:rFonts w:hint="eastAsia"/>
                      <w:color w:val="auto"/>
                      <w:lang w:val="en-US" w:eastAsia="zh-CN"/>
                    </w:rPr>
                    <w:t>、设备基础减振，</w:t>
                  </w:r>
                </w:p>
              </w:tc>
              <w:tc>
                <w:tcPr>
                  <w:tcW w:w="1276" w:type="dxa"/>
                  <w:tcBorders>
                    <w:tl2br w:val="nil"/>
                    <w:tr2bl w:val="nil"/>
                  </w:tcBorders>
                  <w:noWrap w:val="0"/>
                  <w:vAlign w:val="center"/>
                </w:tcPr>
                <w:p w14:paraId="0FC9F6EF">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8h</w:t>
                  </w:r>
                </w:p>
              </w:tc>
            </w:tr>
            <w:tr w14:paraId="391DFE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595" w:type="dxa"/>
                  <w:tcBorders>
                    <w:tl2br w:val="nil"/>
                    <w:tr2bl w:val="nil"/>
                  </w:tcBorders>
                  <w:noWrap w:val="0"/>
                  <w:vAlign w:val="center"/>
                </w:tcPr>
                <w:p w14:paraId="1649DFBC">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r>
                    <w:rPr>
                      <w:rFonts w:hint="eastAsia"/>
                      <w:color w:val="auto"/>
                      <w:lang w:val="en-US" w:eastAsia="zh-CN"/>
                    </w:rPr>
                    <w:t>2</w:t>
                  </w:r>
                </w:p>
              </w:tc>
              <w:tc>
                <w:tcPr>
                  <w:tcW w:w="799" w:type="dxa"/>
                  <w:vMerge w:val="continue"/>
                  <w:tcBorders>
                    <w:tl2br w:val="nil"/>
                    <w:tr2bl w:val="nil"/>
                  </w:tcBorders>
                  <w:noWrap w:val="0"/>
                  <w:vAlign w:val="center"/>
                </w:tcPr>
                <w:p w14:paraId="053C26B9">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p>
              </w:tc>
              <w:tc>
                <w:tcPr>
                  <w:tcW w:w="1355" w:type="dxa"/>
                  <w:tcBorders>
                    <w:tl2br w:val="nil"/>
                    <w:tr2bl w:val="nil"/>
                  </w:tcBorders>
                  <w:noWrap w:val="0"/>
                  <w:vAlign w:val="center"/>
                </w:tcPr>
                <w:p w14:paraId="5B835A2D">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auto"/>
                      <w:lang w:val="en-US" w:eastAsia="zh-CN"/>
                    </w:rPr>
                  </w:pPr>
                  <w:r>
                    <w:rPr>
                      <w:rFonts w:hint="eastAsia" w:ascii="Times New Roman" w:hAnsi="Times New Roman" w:eastAsia="宋体"/>
                      <w:bCs/>
                      <w:color w:val="auto"/>
                      <w:sz w:val="21"/>
                      <w:szCs w:val="21"/>
                    </w:rPr>
                    <w:t>熔盐炉</w:t>
                  </w:r>
                </w:p>
              </w:tc>
              <w:tc>
                <w:tcPr>
                  <w:tcW w:w="813" w:type="dxa"/>
                  <w:tcBorders>
                    <w:tl2br w:val="nil"/>
                    <w:tr2bl w:val="nil"/>
                  </w:tcBorders>
                  <w:noWrap w:val="0"/>
                  <w:vAlign w:val="center"/>
                </w:tcPr>
                <w:p w14:paraId="0C616236">
                  <w:pPr>
                    <w:keepNext w:val="0"/>
                    <w:keepLines w:val="0"/>
                    <w:pageBreakBefore w:val="0"/>
                    <w:widowControl w:val="0"/>
                    <w:kinsoku/>
                    <w:wordWrap/>
                    <w:overflowPunct/>
                    <w:topLinePunct w:val="0"/>
                    <w:autoSpaceDE/>
                    <w:autoSpaceDN/>
                    <w:bidi w:val="0"/>
                    <w:spacing w:line="240" w:lineRule="auto"/>
                    <w:jc w:val="center"/>
                    <w:textAlignment w:val="auto"/>
                    <w:rPr>
                      <w:color w:val="auto"/>
                      <w:lang w:val="en-US" w:eastAsia="zh-CN"/>
                    </w:rPr>
                  </w:pPr>
                  <w:r>
                    <w:rPr>
                      <w:rFonts w:hint="eastAsia" w:ascii="Times New Roman" w:hAnsi="Times New Roman" w:eastAsia="宋体"/>
                      <w:bCs/>
                      <w:color w:val="auto"/>
                      <w:sz w:val="21"/>
                      <w:szCs w:val="21"/>
                    </w:rPr>
                    <w:t>40台</w:t>
                  </w:r>
                </w:p>
              </w:tc>
              <w:tc>
                <w:tcPr>
                  <w:tcW w:w="1477" w:type="dxa"/>
                  <w:tcBorders>
                    <w:tl2br w:val="nil"/>
                    <w:tr2bl w:val="nil"/>
                  </w:tcBorders>
                  <w:noWrap w:val="0"/>
                  <w:vAlign w:val="center"/>
                </w:tcPr>
                <w:p w14:paraId="771A6893">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75-80</w:t>
                  </w:r>
                </w:p>
              </w:tc>
              <w:tc>
                <w:tcPr>
                  <w:tcW w:w="1582" w:type="dxa"/>
                  <w:vMerge w:val="continue"/>
                  <w:tcBorders>
                    <w:tl2br w:val="nil"/>
                    <w:tr2bl w:val="nil"/>
                  </w:tcBorders>
                  <w:noWrap w:val="0"/>
                  <w:vAlign w:val="center"/>
                </w:tcPr>
                <w:p w14:paraId="2C64355D">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p>
              </w:tc>
              <w:tc>
                <w:tcPr>
                  <w:tcW w:w="1276" w:type="dxa"/>
                  <w:tcBorders>
                    <w:tl2br w:val="nil"/>
                    <w:tr2bl w:val="nil"/>
                  </w:tcBorders>
                  <w:noWrap w:val="0"/>
                  <w:vAlign w:val="center"/>
                </w:tcPr>
                <w:p w14:paraId="536E0504">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8h</w:t>
                  </w:r>
                </w:p>
              </w:tc>
            </w:tr>
            <w:tr w14:paraId="224FA3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595" w:type="dxa"/>
                  <w:tcBorders>
                    <w:tl2br w:val="nil"/>
                    <w:tr2bl w:val="nil"/>
                  </w:tcBorders>
                  <w:noWrap w:val="0"/>
                  <w:vAlign w:val="center"/>
                </w:tcPr>
                <w:p w14:paraId="50E8023C">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r>
                    <w:rPr>
                      <w:rFonts w:hint="eastAsia"/>
                      <w:color w:val="auto"/>
                      <w:lang w:val="en-US" w:eastAsia="zh-CN"/>
                    </w:rPr>
                    <w:t>3</w:t>
                  </w:r>
                </w:p>
              </w:tc>
              <w:tc>
                <w:tcPr>
                  <w:tcW w:w="799" w:type="dxa"/>
                  <w:vMerge w:val="continue"/>
                  <w:tcBorders>
                    <w:tl2br w:val="nil"/>
                    <w:tr2bl w:val="nil"/>
                  </w:tcBorders>
                  <w:noWrap w:val="0"/>
                  <w:vAlign w:val="center"/>
                </w:tcPr>
                <w:p w14:paraId="34730725">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p>
              </w:tc>
              <w:tc>
                <w:tcPr>
                  <w:tcW w:w="1355" w:type="dxa"/>
                  <w:tcBorders>
                    <w:tl2br w:val="nil"/>
                    <w:tr2bl w:val="nil"/>
                  </w:tcBorders>
                  <w:noWrap w:val="0"/>
                  <w:vAlign w:val="center"/>
                </w:tcPr>
                <w:p w14:paraId="336ABCF8">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auto"/>
                      <w:lang w:val="en-US" w:eastAsia="zh-CN"/>
                    </w:rPr>
                  </w:pPr>
                  <w:r>
                    <w:rPr>
                      <w:rFonts w:hint="eastAsia" w:ascii="Times New Roman" w:hAnsi="Times New Roman" w:eastAsia="宋体"/>
                      <w:bCs/>
                      <w:color w:val="auto"/>
                      <w:sz w:val="21"/>
                      <w:szCs w:val="21"/>
                    </w:rPr>
                    <w:t>提拉炉</w:t>
                  </w:r>
                </w:p>
              </w:tc>
              <w:tc>
                <w:tcPr>
                  <w:tcW w:w="813" w:type="dxa"/>
                  <w:tcBorders>
                    <w:tl2br w:val="nil"/>
                    <w:tr2bl w:val="nil"/>
                  </w:tcBorders>
                  <w:noWrap w:val="0"/>
                  <w:vAlign w:val="center"/>
                </w:tcPr>
                <w:p w14:paraId="6BA07753">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auto"/>
                      <w:lang w:val="en-US" w:eastAsia="zh-CN"/>
                    </w:rPr>
                  </w:pPr>
                  <w:r>
                    <w:rPr>
                      <w:rFonts w:hint="eastAsia" w:ascii="Times New Roman" w:hAnsi="Times New Roman" w:eastAsia="宋体"/>
                      <w:bCs/>
                      <w:color w:val="auto"/>
                      <w:sz w:val="21"/>
                      <w:szCs w:val="21"/>
                    </w:rPr>
                    <w:t>40台</w:t>
                  </w:r>
                </w:p>
              </w:tc>
              <w:tc>
                <w:tcPr>
                  <w:tcW w:w="1477" w:type="dxa"/>
                  <w:tcBorders>
                    <w:tl2br w:val="nil"/>
                    <w:tr2bl w:val="nil"/>
                  </w:tcBorders>
                  <w:noWrap w:val="0"/>
                  <w:vAlign w:val="center"/>
                </w:tcPr>
                <w:p w14:paraId="0435802B">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75-80</w:t>
                  </w:r>
                </w:p>
              </w:tc>
              <w:tc>
                <w:tcPr>
                  <w:tcW w:w="1582" w:type="dxa"/>
                  <w:vMerge w:val="continue"/>
                  <w:tcBorders>
                    <w:tl2br w:val="nil"/>
                    <w:tr2bl w:val="nil"/>
                  </w:tcBorders>
                  <w:noWrap w:val="0"/>
                  <w:vAlign w:val="center"/>
                </w:tcPr>
                <w:p w14:paraId="222B5099">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p>
              </w:tc>
              <w:tc>
                <w:tcPr>
                  <w:tcW w:w="1276" w:type="dxa"/>
                  <w:tcBorders>
                    <w:tl2br w:val="nil"/>
                    <w:tr2bl w:val="nil"/>
                  </w:tcBorders>
                  <w:noWrap w:val="0"/>
                  <w:vAlign w:val="center"/>
                </w:tcPr>
                <w:p w14:paraId="128E3FD3">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8h</w:t>
                  </w:r>
                </w:p>
              </w:tc>
            </w:tr>
            <w:tr w14:paraId="7184DE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595" w:type="dxa"/>
                  <w:tcBorders>
                    <w:tl2br w:val="nil"/>
                    <w:tr2bl w:val="nil"/>
                  </w:tcBorders>
                  <w:noWrap w:val="0"/>
                  <w:vAlign w:val="center"/>
                </w:tcPr>
                <w:p w14:paraId="72F44A3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color w:val="auto"/>
                      <w:lang w:val="en-US" w:eastAsia="zh-CN"/>
                    </w:rPr>
                  </w:pPr>
                  <w:r>
                    <w:rPr>
                      <w:rFonts w:hint="eastAsia"/>
                      <w:color w:val="auto"/>
                      <w:lang w:val="en-US" w:eastAsia="zh-CN"/>
                    </w:rPr>
                    <w:t>4</w:t>
                  </w:r>
                </w:p>
              </w:tc>
              <w:tc>
                <w:tcPr>
                  <w:tcW w:w="799" w:type="dxa"/>
                  <w:vMerge w:val="continue"/>
                  <w:tcBorders>
                    <w:tl2br w:val="nil"/>
                    <w:tr2bl w:val="nil"/>
                  </w:tcBorders>
                  <w:noWrap w:val="0"/>
                  <w:vAlign w:val="center"/>
                </w:tcPr>
                <w:p w14:paraId="2CF05DB6">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p>
              </w:tc>
              <w:tc>
                <w:tcPr>
                  <w:tcW w:w="1355" w:type="dxa"/>
                  <w:tcBorders>
                    <w:tl2br w:val="nil"/>
                    <w:tr2bl w:val="nil"/>
                  </w:tcBorders>
                  <w:noWrap w:val="0"/>
                  <w:vAlign w:val="center"/>
                </w:tcPr>
                <w:p w14:paraId="1A5E3FD1">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auto"/>
                      <w:lang w:val="en-US" w:eastAsia="zh-CN"/>
                    </w:rPr>
                  </w:pPr>
                  <w:r>
                    <w:rPr>
                      <w:rFonts w:hint="eastAsia" w:ascii="Times New Roman" w:hAnsi="Times New Roman" w:eastAsia="宋体"/>
                      <w:bCs/>
                      <w:color w:val="auto"/>
                      <w:sz w:val="21"/>
                      <w:szCs w:val="21"/>
                    </w:rPr>
                    <w:t>单线切割机</w:t>
                  </w:r>
                </w:p>
              </w:tc>
              <w:tc>
                <w:tcPr>
                  <w:tcW w:w="813" w:type="dxa"/>
                  <w:tcBorders>
                    <w:tl2br w:val="nil"/>
                    <w:tr2bl w:val="nil"/>
                  </w:tcBorders>
                  <w:noWrap w:val="0"/>
                  <w:vAlign w:val="center"/>
                </w:tcPr>
                <w:p w14:paraId="71227B66">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auto"/>
                      <w:lang w:val="en-US" w:eastAsia="zh-CN"/>
                    </w:rPr>
                  </w:pPr>
                  <w:r>
                    <w:rPr>
                      <w:rFonts w:hint="eastAsia" w:ascii="Times New Roman" w:hAnsi="Times New Roman" w:eastAsia="宋体"/>
                      <w:bCs/>
                      <w:color w:val="auto"/>
                      <w:sz w:val="21"/>
                      <w:szCs w:val="21"/>
                    </w:rPr>
                    <w:t>10台</w:t>
                  </w:r>
                </w:p>
              </w:tc>
              <w:tc>
                <w:tcPr>
                  <w:tcW w:w="1477" w:type="dxa"/>
                  <w:tcBorders>
                    <w:tl2br w:val="nil"/>
                    <w:tr2bl w:val="nil"/>
                  </w:tcBorders>
                  <w:noWrap w:val="0"/>
                  <w:vAlign w:val="center"/>
                </w:tcPr>
                <w:p w14:paraId="136DC295">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75-80</w:t>
                  </w:r>
                </w:p>
              </w:tc>
              <w:tc>
                <w:tcPr>
                  <w:tcW w:w="1582" w:type="dxa"/>
                  <w:vMerge w:val="continue"/>
                  <w:tcBorders>
                    <w:tl2br w:val="nil"/>
                    <w:tr2bl w:val="nil"/>
                  </w:tcBorders>
                  <w:noWrap w:val="0"/>
                  <w:vAlign w:val="center"/>
                </w:tcPr>
                <w:p w14:paraId="3F52DCE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p>
              </w:tc>
              <w:tc>
                <w:tcPr>
                  <w:tcW w:w="1276" w:type="dxa"/>
                  <w:tcBorders>
                    <w:tl2br w:val="nil"/>
                    <w:tr2bl w:val="nil"/>
                  </w:tcBorders>
                  <w:noWrap w:val="0"/>
                  <w:vAlign w:val="center"/>
                </w:tcPr>
                <w:p w14:paraId="580297EB">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8h</w:t>
                  </w:r>
                </w:p>
              </w:tc>
            </w:tr>
            <w:tr w14:paraId="3A221E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595" w:type="dxa"/>
                  <w:tcBorders>
                    <w:tl2br w:val="nil"/>
                    <w:tr2bl w:val="nil"/>
                  </w:tcBorders>
                  <w:noWrap w:val="0"/>
                  <w:vAlign w:val="center"/>
                </w:tcPr>
                <w:p w14:paraId="4EEC8737">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color w:val="auto"/>
                      <w:lang w:val="en-US" w:eastAsia="zh-CN"/>
                    </w:rPr>
                  </w:pPr>
                  <w:r>
                    <w:rPr>
                      <w:rFonts w:hint="eastAsia"/>
                      <w:color w:val="auto"/>
                      <w:lang w:val="en-US" w:eastAsia="zh-CN"/>
                    </w:rPr>
                    <w:t>5</w:t>
                  </w:r>
                </w:p>
              </w:tc>
              <w:tc>
                <w:tcPr>
                  <w:tcW w:w="799" w:type="dxa"/>
                  <w:vMerge w:val="continue"/>
                  <w:tcBorders>
                    <w:tl2br w:val="nil"/>
                    <w:tr2bl w:val="nil"/>
                  </w:tcBorders>
                  <w:noWrap w:val="0"/>
                  <w:vAlign w:val="center"/>
                </w:tcPr>
                <w:p w14:paraId="1274D9EB">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p>
              </w:tc>
              <w:tc>
                <w:tcPr>
                  <w:tcW w:w="1355" w:type="dxa"/>
                  <w:tcBorders>
                    <w:tl2br w:val="nil"/>
                    <w:tr2bl w:val="nil"/>
                  </w:tcBorders>
                  <w:noWrap w:val="0"/>
                  <w:vAlign w:val="center"/>
                </w:tcPr>
                <w:p w14:paraId="014B47A4">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auto"/>
                      <w:lang w:val="en-US" w:eastAsia="zh-CN"/>
                    </w:rPr>
                  </w:pPr>
                  <w:r>
                    <w:rPr>
                      <w:rFonts w:hint="eastAsia" w:ascii="Times New Roman" w:hAnsi="Times New Roman" w:eastAsia="宋体"/>
                      <w:bCs/>
                      <w:color w:val="auto"/>
                      <w:sz w:val="21"/>
                      <w:szCs w:val="21"/>
                    </w:rPr>
                    <w:t>多线切割机</w:t>
                  </w:r>
                </w:p>
              </w:tc>
              <w:tc>
                <w:tcPr>
                  <w:tcW w:w="813" w:type="dxa"/>
                  <w:tcBorders>
                    <w:tl2br w:val="nil"/>
                    <w:tr2bl w:val="nil"/>
                  </w:tcBorders>
                  <w:noWrap w:val="0"/>
                  <w:vAlign w:val="center"/>
                </w:tcPr>
                <w:p w14:paraId="7B716CC7">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auto"/>
                      <w:lang w:val="en-US" w:eastAsia="zh-CN"/>
                    </w:rPr>
                  </w:pPr>
                  <w:r>
                    <w:rPr>
                      <w:rFonts w:hint="eastAsia" w:ascii="Times New Roman" w:hAnsi="Times New Roman" w:eastAsia="宋体"/>
                      <w:bCs/>
                      <w:color w:val="auto"/>
                      <w:sz w:val="21"/>
                      <w:szCs w:val="21"/>
                    </w:rPr>
                    <w:t>3台</w:t>
                  </w:r>
                </w:p>
              </w:tc>
              <w:tc>
                <w:tcPr>
                  <w:tcW w:w="1477" w:type="dxa"/>
                  <w:tcBorders>
                    <w:tl2br w:val="nil"/>
                    <w:tr2bl w:val="nil"/>
                  </w:tcBorders>
                  <w:noWrap w:val="0"/>
                  <w:vAlign w:val="center"/>
                </w:tcPr>
                <w:p w14:paraId="6A771A81">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85-90</w:t>
                  </w:r>
                </w:p>
              </w:tc>
              <w:tc>
                <w:tcPr>
                  <w:tcW w:w="1582" w:type="dxa"/>
                  <w:vMerge w:val="continue"/>
                  <w:tcBorders>
                    <w:tl2br w:val="nil"/>
                    <w:tr2bl w:val="nil"/>
                  </w:tcBorders>
                  <w:noWrap w:val="0"/>
                  <w:vAlign w:val="center"/>
                </w:tcPr>
                <w:p w14:paraId="661C0C13">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p>
              </w:tc>
              <w:tc>
                <w:tcPr>
                  <w:tcW w:w="1276" w:type="dxa"/>
                  <w:tcBorders>
                    <w:tl2br w:val="nil"/>
                    <w:tr2bl w:val="nil"/>
                  </w:tcBorders>
                  <w:noWrap w:val="0"/>
                  <w:vAlign w:val="center"/>
                </w:tcPr>
                <w:p w14:paraId="1DB90693">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8h</w:t>
                  </w:r>
                </w:p>
              </w:tc>
            </w:tr>
            <w:tr w14:paraId="328FA3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595" w:type="dxa"/>
                  <w:tcBorders>
                    <w:tl2br w:val="nil"/>
                    <w:tr2bl w:val="nil"/>
                  </w:tcBorders>
                  <w:noWrap w:val="0"/>
                  <w:vAlign w:val="center"/>
                </w:tcPr>
                <w:p w14:paraId="4C781F3E">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6</w:t>
                  </w:r>
                </w:p>
              </w:tc>
              <w:tc>
                <w:tcPr>
                  <w:tcW w:w="799" w:type="dxa"/>
                  <w:vMerge w:val="continue"/>
                  <w:tcBorders>
                    <w:tl2br w:val="nil"/>
                    <w:tr2bl w:val="nil"/>
                  </w:tcBorders>
                  <w:noWrap w:val="0"/>
                  <w:vAlign w:val="center"/>
                </w:tcPr>
                <w:p w14:paraId="1F4B36BE">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p>
              </w:tc>
              <w:tc>
                <w:tcPr>
                  <w:tcW w:w="1355" w:type="dxa"/>
                  <w:tcBorders>
                    <w:tl2br w:val="nil"/>
                    <w:tr2bl w:val="nil"/>
                  </w:tcBorders>
                  <w:noWrap w:val="0"/>
                  <w:vAlign w:val="center"/>
                </w:tcPr>
                <w:p w14:paraId="37311FF4">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auto"/>
                      <w:lang w:val="en-US" w:eastAsia="zh-CN"/>
                    </w:rPr>
                  </w:pPr>
                  <w:r>
                    <w:rPr>
                      <w:rFonts w:hint="eastAsia" w:ascii="Times New Roman" w:hAnsi="Times New Roman" w:eastAsia="宋体"/>
                      <w:bCs/>
                      <w:color w:val="auto"/>
                      <w:sz w:val="21"/>
                      <w:szCs w:val="21"/>
                    </w:rPr>
                    <w:t>单轴机</w:t>
                  </w:r>
                </w:p>
              </w:tc>
              <w:tc>
                <w:tcPr>
                  <w:tcW w:w="813" w:type="dxa"/>
                  <w:tcBorders>
                    <w:tl2br w:val="nil"/>
                    <w:tr2bl w:val="nil"/>
                  </w:tcBorders>
                  <w:noWrap w:val="0"/>
                  <w:vAlign w:val="center"/>
                </w:tcPr>
                <w:p w14:paraId="28743068">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auto"/>
                      <w:lang w:val="en-US" w:eastAsia="zh-CN"/>
                    </w:rPr>
                  </w:pPr>
                  <w:r>
                    <w:rPr>
                      <w:rFonts w:hint="eastAsia" w:ascii="Times New Roman" w:hAnsi="Times New Roman" w:eastAsia="宋体"/>
                      <w:bCs/>
                      <w:color w:val="auto"/>
                      <w:sz w:val="21"/>
                      <w:szCs w:val="21"/>
                    </w:rPr>
                    <w:t>20台</w:t>
                  </w:r>
                </w:p>
              </w:tc>
              <w:tc>
                <w:tcPr>
                  <w:tcW w:w="1477" w:type="dxa"/>
                  <w:tcBorders>
                    <w:tl2br w:val="nil"/>
                    <w:tr2bl w:val="nil"/>
                  </w:tcBorders>
                  <w:noWrap w:val="0"/>
                  <w:vAlign w:val="center"/>
                </w:tcPr>
                <w:p w14:paraId="5076A6F8">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75-80</w:t>
                  </w:r>
                </w:p>
              </w:tc>
              <w:tc>
                <w:tcPr>
                  <w:tcW w:w="1582" w:type="dxa"/>
                  <w:vMerge w:val="continue"/>
                  <w:tcBorders>
                    <w:tl2br w:val="nil"/>
                    <w:tr2bl w:val="nil"/>
                  </w:tcBorders>
                  <w:noWrap w:val="0"/>
                  <w:vAlign w:val="center"/>
                </w:tcPr>
                <w:p w14:paraId="103AD58F">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p>
              </w:tc>
              <w:tc>
                <w:tcPr>
                  <w:tcW w:w="1276" w:type="dxa"/>
                  <w:tcBorders>
                    <w:tl2br w:val="nil"/>
                    <w:tr2bl w:val="nil"/>
                  </w:tcBorders>
                  <w:noWrap w:val="0"/>
                  <w:vAlign w:val="center"/>
                </w:tcPr>
                <w:p w14:paraId="40A543ED">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8h</w:t>
                  </w:r>
                </w:p>
              </w:tc>
            </w:tr>
            <w:tr w14:paraId="03AEFC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595" w:type="dxa"/>
                  <w:tcBorders>
                    <w:tl2br w:val="nil"/>
                    <w:tr2bl w:val="nil"/>
                  </w:tcBorders>
                  <w:noWrap w:val="0"/>
                  <w:vAlign w:val="center"/>
                </w:tcPr>
                <w:p w14:paraId="5681A512">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7</w:t>
                  </w:r>
                </w:p>
              </w:tc>
              <w:tc>
                <w:tcPr>
                  <w:tcW w:w="799" w:type="dxa"/>
                  <w:vMerge w:val="continue"/>
                  <w:tcBorders>
                    <w:tl2br w:val="nil"/>
                    <w:tr2bl w:val="nil"/>
                  </w:tcBorders>
                  <w:noWrap w:val="0"/>
                  <w:vAlign w:val="center"/>
                </w:tcPr>
                <w:p w14:paraId="0F14AFF8">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p>
              </w:tc>
              <w:tc>
                <w:tcPr>
                  <w:tcW w:w="1355" w:type="dxa"/>
                  <w:tcBorders>
                    <w:tl2br w:val="nil"/>
                    <w:tr2bl w:val="nil"/>
                  </w:tcBorders>
                  <w:noWrap w:val="0"/>
                  <w:vAlign w:val="center"/>
                </w:tcPr>
                <w:p w14:paraId="2DFE7421">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auto"/>
                      <w:lang w:val="en-US" w:eastAsia="zh-CN"/>
                    </w:rPr>
                  </w:pPr>
                  <w:r>
                    <w:rPr>
                      <w:rFonts w:hint="eastAsia" w:ascii="Times New Roman" w:hAnsi="Times New Roman" w:eastAsia="宋体"/>
                      <w:bCs/>
                      <w:color w:val="auto"/>
                      <w:sz w:val="21"/>
                      <w:szCs w:val="21"/>
                    </w:rPr>
                    <w:t>二轴机</w:t>
                  </w:r>
                </w:p>
              </w:tc>
              <w:tc>
                <w:tcPr>
                  <w:tcW w:w="813" w:type="dxa"/>
                  <w:tcBorders>
                    <w:tl2br w:val="nil"/>
                    <w:tr2bl w:val="nil"/>
                  </w:tcBorders>
                  <w:noWrap w:val="0"/>
                  <w:vAlign w:val="center"/>
                </w:tcPr>
                <w:p w14:paraId="4CBC478A">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auto"/>
                      <w:lang w:val="en-US" w:eastAsia="zh-CN"/>
                    </w:rPr>
                  </w:pPr>
                  <w:r>
                    <w:rPr>
                      <w:rFonts w:hint="eastAsia" w:ascii="Times New Roman" w:hAnsi="Times New Roman" w:eastAsia="宋体"/>
                      <w:bCs/>
                      <w:color w:val="auto"/>
                      <w:sz w:val="21"/>
                      <w:szCs w:val="21"/>
                    </w:rPr>
                    <w:t>10台</w:t>
                  </w:r>
                </w:p>
              </w:tc>
              <w:tc>
                <w:tcPr>
                  <w:tcW w:w="1477" w:type="dxa"/>
                  <w:tcBorders>
                    <w:tl2br w:val="nil"/>
                    <w:tr2bl w:val="nil"/>
                  </w:tcBorders>
                  <w:noWrap w:val="0"/>
                  <w:vAlign w:val="center"/>
                </w:tcPr>
                <w:p w14:paraId="0655236A">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70-75</w:t>
                  </w:r>
                </w:p>
              </w:tc>
              <w:tc>
                <w:tcPr>
                  <w:tcW w:w="1582" w:type="dxa"/>
                  <w:vMerge w:val="continue"/>
                  <w:tcBorders>
                    <w:tl2br w:val="nil"/>
                    <w:tr2bl w:val="nil"/>
                  </w:tcBorders>
                  <w:noWrap w:val="0"/>
                  <w:vAlign w:val="center"/>
                </w:tcPr>
                <w:p w14:paraId="16823E83">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p>
              </w:tc>
              <w:tc>
                <w:tcPr>
                  <w:tcW w:w="1276" w:type="dxa"/>
                  <w:tcBorders>
                    <w:tl2br w:val="nil"/>
                    <w:tr2bl w:val="nil"/>
                  </w:tcBorders>
                  <w:noWrap w:val="0"/>
                  <w:vAlign w:val="center"/>
                </w:tcPr>
                <w:p w14:paraId="33036AE4">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8h</w:t>
                  </w:r>
                </w:p>
              </w:tc>
            </w:tr>
            <w:tr w14:paraId="5C6FC4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595" w:type="dxa"/>
                  <w:tcBorders>
                    <w:tl2br w:val="nil"/>
                    <w:tr2bl w:val="nil"/>
                  </w:tcBorders>
                  <w:noWrap w:val="0"/>
                  <w:vAlign w:val="center"/>
                </w:tcPr>
                <w:p w14:paraId="0AD1551D">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8</w:t>
                  </w:r>
                </w:p>
              </w:tc>
              <w:tc>
                <w:tcPr>
                  <w:tcW w:w="799" w:type="dxa"/>
                  <w:vMerge w:val="continue"/>
                  <w:tcBorders>
                    <w:tl2br w:val="nil"/>
                    <w:tr2bl w:val="nil"/>
                  </w:tcBorders>
                  <w:noWrap w:val="0"/>
                  <w:vAlign w:val="center"/>
                </w:tcPr>
                <w:p w14:paraId="20E1D05D">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p>
              </w:tc>
              <w:tc>
                <w:tcPr>
                  <w:tcW w:w="1355" w:type="dxa"/>
                  <w:tcBorders>
                    <w:tl2br w:val="nil"/>
                    <w:tr2bl w:val="nil"/>
                  </w:tcBorders>
                  <w:noWrap w:val="0"/>
                  <w:vAlign w:val="center"/>
                </w:tcPr>
                <w:p w14:paraId="71222E72">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auto"/>
                      <w:lang w:val="en-US" w:eastAsia="zh-CN"/>
                    </w:rPr>
                  </w:pPr>
                  <w:r>
                    <w:rPr>
                      <w:rFonts w:hint="eastAsia" w:ascii="Times New Roman" w:hAnsi="Times New Roman" w:eastAsia="宋体"/>
                      <w:bCs/>
                      <w:color w:val="auto"/>
                      <w:sz w:val="21"/>
                      <w:szCs w:val="21"/>
                    </w:rPr>
                    <w:t>四轴机</w:t>
                  </w:r>
                </w:p>
              </w:tc>
              <w:tc>
                <w:tcPr>
                  <w:tcW w:w="813" w:type="dxa"/>
                  <w:tcBorders>
                    <w:tl2br w:val="nil"/>
                    <w:tr2bl w:val="nil"/>
                  </w:tcBorders>
                  <w:noWrap w:val="0"/>
                  <w:vAlign w:val="center"/>
                </w:tcPr>
                <w:p w14:paraId="6250A9BA">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auto"/>
                      <w:lang w:val="en-US" w:eastAsia="zh-CN"/>
                    </w:rPr>
                  </w:pPr>
                  <w:r>
                    <w:rPr>
                      <w:rFonts w:hint="eastAsia" w:ascii="Times New Roman" w:hAnsi="Times New Roman" w:eastAsia="宋体"/>
                      <w:bCs/>
                      <w:color w:val="auto"/>
                      <w:sz w:val="21"/>
                      <w:szCs w:val="21"/>
                    </w:rPr>
                    <w:t>5台</w:t>
                  </w:r>
                </w:p>
              </w:tc>
              <w:tc>
                <w:tcPr>
                  <w:tcW w:w="1477" w:type="dxa"/>
                  <w:tcBorders>
                    <w:tl2br w:val="nil"/>
                    <w:tr2bl w:val="nil"/>
                  </w:tcBorders>
                  <w:noWrap w:val="0"/>
                  <w:vAlign w:val="center"/>
                </w:tcPr>
                <w:p w14:paraId="6D3C7AB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70-75</w:t>
                  </w:r>
                </w:p>
              </w:tc>
              <w:tc>
                <w:tcPr>
                  <w:tcW w:w="1582" w:type="dxa"/>
                  <w:vMerge w:val="continue"/>
                  <w:tcBorders>
                    <w:tl2br w:val="nil"/>
                    <w:tr2bl w:val="nil"/>
                  </w:tcBorders>
                  <w:noWrap w:val="0"/>
                  <w:vAlign w:val="center"/>
                </w:tcPr>
                <w:p w14:paraId="658E8FA2">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p>
              </w:tc>
              <w:tc>
                <w:tcPr>
                  <w:tcW w:w="1276" w:type="dxa"/>
                  <w:tcBorders>
                    <w:tl2br w:val="nil"/>
                    <w:tr2bl w:val="nil"/>
                  </w:tcBorders>
                  <w:noWrap w:val="0"/>
                  <w:vAlign w:val="center"/>
                </w:tcPr>
                <w:p w14:paraId="29D48DD4">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8h</w:t>
                  </w:r>
                </w:p>
              </w:tc>
            </w:tr>
            <w:tr w14:paraId="1D0C09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595" w:type="dxa"/>
                  <w:tcBorders>
                    <w:tl2br w:val="nil"/>
                    <w:tr2bl w:val="nil"/>
                  </w:tcBorders>
                  <w:noWrap w:val="0"/>
                  <w:vAlign w:val="center"/>
                </w:tcPr>
                <w:p w14:paraId="1AB8C831">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9</w:t>
                  </w:r>
                </w:p>
              </w:tc>
              <w:tc>
                <w:tcPr>
                  <w:tcW w:w="799" w:type="dxa"/>
                  <w:vMerge w:val="continue"/>
                  <w:tcBorders>
                    <w:tl2br w:val="nil"/>
                    <w:tr2bl w:val="nil"/>
                  </w:tcBorders>
                  <w:noWrap w:val="0"/>
                  <w:vAlign w:val="center"/>
                </w:tcPr>
                <w:p w14:paraId="58D8F00E">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p>
              </w:tc>
              <w:tc>
                <w:tcPr>
                  <w:tcW w:w="1355" w:type="dxa"/>
                  <w:tcBorders>
                    <w:tl2br w:val="nil"/>
                    <w:tr2bl w:val="nil"/>
                  </w:tcBorders>
                  <w:noWrap w:val="0"/>
                  <w:vAlign w:val="center"/>
                </w:tcPr>
                <w:p w14:paraId="5F74AF5A">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auto"/>
                      <w:lang w:val="en-US" w:eastAsia="zh-CN"/>
                    </w:rPr>
                  </w:pPr>
                  <w:r>
                    <w:rPr>
                      <w:rFonts w:hint="eastAsia" w:ascii="Times New Roman" w:hAnsi="Times New Roman" w:eastAsia="宋体"/>
                      <w:bCs/>
                      <w:color w:val="auto"/>
                      <w:sz w:val="21"/>
                      <w:szCs w:val="21"/>
                    </w:rPr>
                    <w:t>环抛机</w:t>
                  </w:r>
                </w:p>
              </w:tc>
              <w:tc>
                <w:tcPr>
                  <w:tcW w:w="813" w:type="dxa"/>
                  <w:tcBorders>
                    <w:tl2br w:val="nil"/>
                    <w:tr2bl w:val="nil"/>
                  </w:tcBorders>
                  <w:noWrap w:val="0"/>
                  <w:vAlign w:val="center"/>
                </w:tcPr>
                <w:p w14:paraId="59FF24E6">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auto"/>
                      <w:lang w:val="en-US" w:eastAsia="zh-CN"/>
                    </w:rPr>
                  </w:pPr>
                  <w:r>
                    <w:rPr>
                      <w:rFonts w:hint="eastAsia" w:ascii="Times New Roman" w:hAnsi="Times New Roman" w:eastAsia="宋体"/>
                      <w:bCs/>
                      <w:color w:val="auto"/>
                      <w:sz w:val="21"/>
                      <w:szCs w:val="21"/>
                    </w:rPr>
                    <w:t>5台</w:t>
                  </w:r>
                </w:p>
              </w:tc>
              <w:tc>
                <w:tcPr>
                  <w:tcW w:w="1477" w:type="dxa"/>
                  <w:tcBorders>
                    <w:tl2br w:val="nil"/>
                    <w:tr2bl w:val="nil"/>
                  </w:tcBorders>
                  <w:noWrap w:val="0"/>
                  <w:vAlign w:val="center"/>
                </w:tcPr>
                <w:p w14:paraId="396BDB1D">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75-80</w:t>
                  </w:r>
                </w:p>
              </w:tc>
              <w:tc>
                <w:tcPr>
                  <w:tcW w:w="1582" w:type="dxa"/>
                  <w:vMerge w:val="continue"/>
                  <w:tcBorders>
                    <w:tl2br w:val="nil"/>
                    <w:tr2bl w:val="nil"/>
                  </w:tcBorders>
                  <w:noWrap w:val="0"/>
                  <w:vAlign w:val="center"/>
                </w:tcPr>
                <w:p w14:paraId="71DF3B84">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p>
              </w:tc>
              <w:tc>
                <w:tcPr>
                  <w:tcW w:w="1276" w:type="dxa"/>
                  <w:tcBorders>
                    <w:tl2br w:val="nil"/>
                    <w:tr2bl w:val="nil"/>
                  </w:tcBorders>
                  <w:noWrap w:val="0"/>
                  <w:vAlign w:val="center"/>
                </w:tcPr>
                <w:p w14:paraId="4184E818">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8h</w:t>
                  </w:r>
                </w:p>
              </w:tc>
            </w:tr>
            <w:tr w14:paraId="2C1748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595" w:type="dxa"/>
                  <w:tcBorders>
                    <w:tl2br w:val="nil"/>
                    <w:tr2bl w:val="nil"/>
                  </w:tcBorders>
                  <w:noWrap w:val="0"/>
                  <w:vAlign w:val="center"/>
                </w:tcPr>
                <w:p w14:paraId="6D79DE73">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10</w:t>
                  </w:r>
                </w:p>
              </w:tc>
              <w:tc>
                <w:tcPr>
                  <w:tcW w:w="799" w:type="dxa"/>
                  <w:vMerge w:val="continue"/>
                  <w:tcBorders>
                    <w:tl2br w:val="nil"/>
                    <w:tr2bl w:val="nil"/>
                  </w:tcBorders>
                  <w:noWrap w:val="0"/>
                  <w:vAlign w:val="center"/>
                </w:tcPr>
                <w:p w14:paraId="4983BDB2">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p>
              </w:tc>
              <w:tc>
                <w:tcPr>
                  <w:tcW w:w="1355" w:type="dxa"/>
                  <w:tcBorders>
                    <w:tl2br w:val="nil"/>
                    <w:tr2bl w:val="nil"/>
                  </w:tcBorders>
                  <w:noWrap w:val="0"/>
                  <w:vAlign w:val="center"/>
                </w:tcPr>
                <w:p w14:paraId="592F2DA6">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auto"/>
                      <w:lang w:val="en-US" w:eastAsia="zh-CN"/>
                    </w:rPr>
                  </w:pPr>
                  <w:r>
                    <w:rPr>
                      <w:rFonts w:hint="eastAsia" w:ascii="Times New Roman" w:hAnsi="Times New Roman" w:eastAsia="宋体"/>
                      <w:bCs/>
                      <w:color w:val="auto"/>
                      <w:sz w:val="21"/>
                      <w:szCs w:val="21"/>
                    </w:rPr>
                    <w:t>多槽超洗设备</w:t>
                  </w:r>
                </w:p>
              </w:tc>
              <w:tc>
                <w:tcPr>
                  <w:tcW w:w="813" w:type="dxa"/>
                  <w:tcBorders>
                    <w:tl2br w:val="nil"/>
                    <w:tr2bl w:val="nil"/>
                  </w:tcBorders>
                  <w:noWrap w:val="0"/>
                  <w:vAlign w:val="center"/>
                </w:tcPr>
                <w:p w14:paraId="5D9B6594">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auto"/>
                      <w:lang w:val="en-US" w:eastAsia="zh-CN"/>
                    </w:rPr>
                  </w:pPr>
                  <w:r>
                    <w:rPr>
                      <w:rFonts w:hint="eastAsia" w:ascii="Times New Roman" w:hAnsi="Times New Roman" w:eastAsia="宋体"/>
                      <w:bCs/>
                      <w:color w:val="auto"/>
                      <w:sz w:val="21"/>
                      <w:szCs w:val="21"/>
                    </w:rPr>
                    <w:t>2台</w:t>
                  </w:r>
                </w:p>
              </w:tc>
              <w:tc>
                <w:tcPr>
                  <w:tcW w:w="1477" w:type="dxa"/>
                  <w:tcBorders>
                    <w:tl2br w:val="nil"/>
                    <w:tr2bl w:val="nil"/>
                  </w:tcBorders>
                  <w:noWrap w:val="0"/>
                  <w:vAlign w:val="center"/>
                </w:tcPr>
                <w:p w14:paraId="1A060CA7">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70-75</w:t>
                  </w:r>
                </w:p>
              </w:tc>
              <w:tc>
                <w:tcPr>
                  <w:tcW w:w="1582" w:type="dxa"/>
                  <w:vMerge w:val="continue"/>
                  <w:tcBorders>
                    <w:tl2br w:val="nil"/>
                    <w:tr2bl w:val="nil"/>
                  </w:tcBorders>
                  <w:noWrap w:val="0"/>
                  <w:vAlign w:val="center"/>
                </w:tcPr>
                <w:p w14:paraId="355699B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p>
              </w:tc>
              <w:tc>
                <w:tcPr>
                  <w:tcW w:w="1276" w:type="dxa"/>
                  <w:tcBorders>
                    <w:tl2br w:val="nil"/>
                    <w:tr2bl w:val="nil"/>
                  </w:tcBorders>
                  <w:noWrap w:val="0"/>
                  <w:vAlign w:val="center"/>
                </w:tcPr>
                <w:p w14:paraId="12684AB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8h</w:t>
                  </w:r>
                </w:p>
              </w:tc>
            </w:tr>
            <w:tr w14:paraId="34A373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595" w:type="dxa"/>
                  <w:tcBorders>
                    <w:tl2br w:val="nil"/>
                    <w:tr2bl w:val="nil"/>
                  </w:tcBorders>
                  <w:noWrap w:val="0"/>
                  <w:vAlign w:val="center"/>
                </w:tcPr>
                <w:p w14:paraId="7189CA97">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11</w:t>
                  </w:r>
                </w:p>
              </w:tc>
              <w:tc>
                <w:tcPr>
                  <w:tcW w:w="799" w:type="dxa"/>
                  <w:vMerge w:val="continue"/>
                  <w:tcBorders>
                    <w:tl2br w:val="nil"/>
                    <w:tr2bl w:val="nil"/>
                  </w:tcBorders>
                  <w:noWrap w:val="0"/>
                  <w:vAlign w:val="center"/>
                </w:tcPr>
                <w:p w14:paraId="08D924CF">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p>
              </w:tc>
              <w:tc>
                <w:tcPr>
                  <w:tcW w:w="1355" w:type="dxa"/>
                  <w:tcBorders>
                    <w:tl2br w:val="nil"/>
                    <w:tr2bl w:val="nil"/>
                  </w:tcBorders>
                  <w:noWrap w:val="0"/>
                  <w:vAlign w:val="center"/>
                </w:tcPr>
                <w:p w14:paraId="7E6467CD">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auto"/>
                      <w:lang w:val="en-US" w:eastAsia="zh-CN"/>
                    </w:rPr>
                  </w:pPr>
                  <w:r>
                    <w:rPr>
                      <w:rFonts w:hint="eastAsia" w:ascii="Times New Roman" w:hAnsi="Times New Roman" w:eastAsia="宋体"/>
                      <w:bCs/>
                      <w:color w:val="auto"/>
                      <w:sz w:val="21"/>
                      <w:szCs w:val="21"/>
                    </w:rPr>
                    <w:t>熔接机</w:t>
                  </w:r>
                </w:p>
              </w:tc>
              <w:tc>
                <w:tcPr>
                  <w:tcW w:w="813" w:type="dxa"/>
                  <w:tcBorders>
                    <w:tl2br w:val="nil"/>
                    <w:tr2bl w:val="nil"/>
                  </w:tcBorders>
                  <w:noWrap w:val="0"/>
                  <w:vAlign w:val="center"/>
                </w:tcPr>
                <w:p w14:paraId="6F3B2ED3">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auto"/>
                      <w:lang w:val="en-US" w:eastAsia="zh-CN"/>
                    </w:rPr>
                  </w:pPr>
                  <w:r>
                    <w:rPr>
                      <w:rFonts w:hint="eastAsia" w:ascii="Times New Roman" w:hAnsi="Times New Roman" w:eastAsia="宋体"/>
                      <w:bCs/>
                      <w:color w:val="auto"/>
                      <w:sz w:val="21"/>
                      <w:szCs w:val="21"/>
                    </w:rPr>
                    <w:t>20台</w:t>
                  </w:r>
                </w:p>
              </w:tc>
              <w:tc>
                <w:tcPr>
                  <w:tcW w:w="1477" w:type="dxa"/>
                  <w:tcBorders>
                    <w:tl2br w:val="nil"/>
                    <w:tr2bl w:val="nil"/>
                  </w:tcBorders>
                  <w:noWrap w:val="0"/>
                  <w:vAlign w:val="center"/>
                </w:tcPr>
                <w:p w14:paraId="5719D2AC">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75-80</w:t>
                  </w:r>
                </w:p>
              </w:tc>
              <w:tc>
                <w:tcPr>
                  <w:tcW w:w="1582" w:type="dxa"/>
                  <w:vMerge w:val="continue"/>
                  <w:tcBorders>
                    <w:tl2br w:val="nil"/>
                    <w:tr2bl w:val="nil"/>
                  </w:tcBorders>
                  <w:noWrap w:val="0"/>
                  <w:vAlign w:val="center"/>
                </w:tcPr>
                <w:p w14:paraId="508FB784">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p>
              </w:tc>
              <w:tc>
                <w:tcPr>
                  <w:tcW w:w="1276" w:type="dxa"/>
                  <w:tcBorders>
                    <w:tl2br w:val="nil"/>
                    <w:tr2bl w:val="nil"/>
                  </w:tcBorders>
                  <w:noWrap w:val="0"/>
                  <w:vAlign w:val="center"/>
                </w:tcPr>
                <w:p w14:paraId="36B62627">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8h</w:t>
                  </w:r>
                </w:p>
              </w:tc>
            </w:tr>
            <w:tr w14:paraId="1DDE81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95" w:type="dxa"/>
                  <w:tcBorders>
                    <w:tl2br w:val="nil"/>
                    <w:tr2bl w:val="nil"/>
                  </w:tcBorders>
                  <w:noWrap w:val="0"/>
                  <w:vAlign w:val="center"/>
                </w:tcPr>
                <w:p w14:paraId="6879605A">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12</w:t>
                  </w:r>
                </w:p>
              </w:tc>
              <w:tc>
                <w:tcPr>
                  <w:tcW w:w="799" w:type="dxa"/>
                  <w:vMerge w:val="continue"/>
                  <w:tcBorders>
                    <w:tl2br w:val="nil"/>
                    <w:tr2bl w:val="nil"/>
                  </w:tcBorders>
                  <w:noWrap w:val="0"/>
                  <w:vAlign w:val="center"/>
                </w:tcPr>
                <w:p w14:paraId="755CC975">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p>
              </w:tc>
              <w:tc>
                <w:tcPr>
                  <w:tcW w:w="1355" w:type="dxa"/>
                  <w:tcBorders>
                    <w:tl2br w:val="nil"/>
                    <w:tr2bl w:val="nil"/>
                  </w:tcBorders>
                  <w:noWrap w:val="0"/>
                  <w:vAlign w:val="center"/>
                </w:tcPr>
                <w:p w14:paraId="5086B9DE">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ascii="Times New Roman" w:hAnsi="Times New Roman" w:eastAsia="宋体" w:cs="Times New Roman"/>
                      <w:color w:val="auto"/>
                      <w:kern w:val="0"/>
                      <w:sz w:val="21"/>
                      <w:szCs w:val="20"/>
                      <w:lang w:val="en-US" w:eastAsia="zh-CN" w:bidi="ar-SA"/>
                    </w:rPr>
                  </w:pPr>
                  <w:r>
                    <w:rPr>
                      <w:rFonts w:hint="eastAsia" w:ascii="Times New Roman" w:hAnsi="Times New Roman" w:eastAsia="宋体"/>
                      <w:color w:val="auto"/>
                      <w:sz w:val="21"/>
                      <w:szCs w:val="21"/>
                      <w:lang w:val="en-US" w:eastAsia="zh-CN"/>
                    </w:rPr>
                    <w:t>叠螺机</w:t>
                  </w:r>
                </w:p>
              </w:tc>
              <w:tc>
                <w:tcPr>
                  <w:tcW w:w="813" w:type="dxa"/>
                  <w:tcBorders>
                    <w:tl2br w:val="nil"/>
                    <w:tr2bl w:val="nil"/>
                  </w:tcBorders>
                  <w:noWrap w:val="0"/>
                  <w:vAlign w:val="center"/>
                </w:tcPr>
                <w:p w14:paraId="107931C7">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olor w:val="auto"/>
                      <w:sz w:val="21"/>
                      <w:szCs w:val="21"/>
                      <w:lang w:val="en-US" w:eastAsia="zh-CN"/>
                    </w:rPr>
                    <w:t>1台</w:t>
                  </w:r>
                </w:p>
              </w:tc>
              <w:tc>
                <w:tcPr>
                  <w:tcW w:w="1477" w:type="dxa"/>
                  <w:tcBorders>
                    <w:tl2br w:val="nil"/>
                    <w:tr2bl w:val="nil"/>
                  </w:tcBorders>
                  <w:noWrap w:val="0"/>
                  <w:vAlign w:val="center"/>
                </w:tcPr>
                <w:p w14:paraId="51FA5C77">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75-80</w:t>
                  </w:r>
                </w:p>
              </w:tc>
              <w:tc>
                <w:tcPr>
                  <w:tcW w:w="1582" w:type="dxa"/>
                  <w:vMerge w:val="continue"/>
                  <w:tcBorders>
                    <w:tl2br w:val="nil"/>
                    <w:tr2bl w:val="nil"/>
                  </w:tcBorders>
                  <w:noWrap w:val="0"/>
                  <w:vAlign w:val="center"/>
                </w:tcPr>
                <w:p w14:paraId="5A831827">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p>
              </w:tc>
              <w:tc>
                <w:tcPr>
                  <w:tcW w:w="1276" w:type="dxa"/>
                  <w:tcBorders>
                    <w:tl2br w:val="nil"/>
                    <w:tr2bl w:val="nil"/>
                  </w:tcBorders>
                  <w:noWrap w:val="0"/>
                  <w:vAlign w:val="center"/>
                </w:tcPr>
                <w:p w14:paraId="2B2100DF">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8h</w:t>
                  </w:r>
                </w:p>
              </w:tc>
            </w:tr>
            <w:tr w14:paraId="79906B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95" w:type="dxa"/>
                  <w:tcBorders>
                    <w:tl2br w:val="nil"/>
                    <w:tr2bl w:val="nil"/>
                  </w:tcBorders>
                  <w:noWrap w:val="0"/>
                  <w:vAlign w:val="center"/>
                </w:tcPr>
                <w:p w14:paraId="790E38EA">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13</w:t>
                  </w:r>
                </w:p>
              </w:tc>
              <w:tc>
                <w:tcPr>
                  <w:tcW w:w="799" w:type="dxa"/>
                  <w:vMerge w:val="continue"/>
                  <w:tcBorders>
                    <w:tl2br w:val="nil"/>
                    <w:tr2bl w:val="nil"/>
                  </w:tcBorders>
                  <w:noWrap w:val="0"/>
                  <w:vAlign w:val="center"/>
                </w:tcPr>
                <w:p w14:paraId="286B90C1">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p>
              </w:tc>
              <w:tc>
                <w:tcPr>
                  <w:tcW w:w="1355" w:type="dxa"/>
                  <w:tcBorders>
                    <w:tl2br w:val="nil"/>
                    <w:tr2bl w:val="nil"/>
                  </w:tcBorders>
                  <w:noWrap w:val="0"/>
                  <w:vAlign w:val="center"/>
                </w:tcPr>
                <w:p w14:paraId="245D40E7">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风机</w:t>
                  </w:r>
                </w:p>
              </w:tc>
              <w:tc>
                <w:tcPr>
                  <w:tcW w:w="813" w:type="dxa"/>
                  <w:tcBorders>
                    <w:tl2br w:val="nil"/>
                    <w:tr2bl w:val="nil"/>
                  </w:tcBorders>
                  <w:noWrap w:val="0"/>
                  <w:vAlign w:val="center"/>
                </w:tcPr>
                <w:p w14:paraId="6442592D">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2台</w:t>
                  </w:r>
                </w:p>
              </w:tc>
              <w:tc>
                <w:tcPr>
                  <w:tcW w:w="1477" w:type="dxa"/>
                  <w:tcBorders>
                    <w:tl2br w:val="nil"/>
                    <w:tr2bl w:val="nil"/>
                  </w:tcBorders>
                  <w:noWrap w:val="0"/>
                  <w:vAlign w:val="center"/>
                </w:tcPr>
                <w:p w14:paraId="2A40EB83">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color w:val="auto"/>
                      <w:lang w:val="en-US" w:eastAsia="zh-CN"/>
                    </w:rPr>
                  </w:pPr>
                  <w:r>
                    <w:rPr>
                      <w:rFonts w:hint="eastAsia"/>
                      <w:color w:val="auto"/>
                      <w:lang w:val="en-US" w:eastAsia="zh-CN"/>
                    </w:rPr>
                    <w:t>75-80</w:t>
                  </w:r>
                </w:p>
              </w:tc>
              <w:tc>
                <w:tcPr>
                  <w:tcW w:w="1582" w:type="dxa"/>
                  <w:vMerge w:val="continue"/>
                  <w:tcBorders>
                    <w:tl2br w:val="nil"/>
                    <w:tr2bl w:val="nil"/>
                  </w:tcBorders>
                  <w:noWrap w:val="0"/>
                  <w:vAlign w:val="center"/>
                </w:tcPr>
                <w:p w14:paraId="632497C0">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color w:val="auto"/>
                      <w:lang w:val="en-US" w:eastAsia="zh-CN"/>
                    </w:rPr>
                  </w:pPr>
                </w:p>
              </w:tc>
              <w:tc>
                <w:tcPr>
                  <w:tcW w:w="1276" w:type="dxa"/>
                  <w:tcBorders>
                    <w:tl2br w:val="nil"/>
                    <w:tr2bl w:val="nil"/>
                  </w:tcBorders>
                  <w:noWrap w:val="0"/>
                  <w:vAlign w:val="center"/>
                </w:tcPr>
                <w:p w14:paraId="4E3271EA">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lang w:val="en-US" w:eastAsia="zh-CN"/>
                    </w:rPr>
                  </w:pPr>
                  <w:r>
                    <w:rPr>
                      <w:rFonts w:hint="eastAsia"/>
                      <w:color w:val="auto"/>
                      <w:lang w:val="en-US" w:eastAsia="zh-CN"/>
                    </w:rPr>
                    <w:t>8h</w:t>
                  </w:r>
                </w:p>
              </w:tc>
            </w:tr>
          </w:tbl>
          <w:p w14:paraId="092AEC33">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69" w:name="_Toc31354"/>
            <w:r>
              <w:rPr>
                <w:rFonts w:hint="eastAsia" w:ascii="Times New Roman" w:hAnsi="Times New Roman" w:eastAsia="宋体" w:cs="Times New Roman"/>
                <w:b/>
                <w:color w:val="auto"/>
                <w:kern w:val="2"/>
                <w:sz w:val="24"/>
                <w:szCs w:val="24"/>
                <w:lang w:val="en-US" w:eastAsia="zh-CN" w:bidi="ar-SA"/>
              </w:rPr>
              <w:t>4.3.2声环境影响分析</w:t>
            </w:r>
            <w:bookmarkEnd w:id="69"/>
          </w:p>
          <w:p w14:paraId="09B87B9B">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项目噪声预测模式采用《环境影响评价技术导则</w:t>
            </w:r>
            <w:r>
              <w:rPr>
                <w:rFonts w:hint="eastAsia" w:ascii="Times New Roman" w:hAnsi="Times New Roman" w:eastAsia="宋体" w:cs="宋体"/>
                <w:color w:val="auto"/>
                <w:kern w:val="2"/>
                <w:sz w:val="24"/>
                <w:szCs w:val="24"/>
                <w:lang w:val="en-US" w:eastAsia="zh-CN" w:bidi="ar-SA"/>
              </w:rPr>
              <w:t xml:space="preserve"> </w:t>
            </w:r>
            <w:r>
              <w:rPr>
                <w:rFonts w:hint="default" w:ascii="Times New Roman" w:hAnsi="Times New Roman" w:eastAsia="宋体" w:cs="宋体"/>
                <w:color w:val="auto"/>
                <w:kern w:val="2"/>
                <w:sz w:val="24"/>
                <w:szCs w:val="24"/>
                <w:lang w:val="en-US" w:eastAsia="zh-CN" w:bidi="ar-SA"/>
              </w:rPr>
              <w:t>声环境》</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HJ</w:t>
            </w:r>
            <w:r>
              <w:rPr>
                <w:rFonts w:hint="eastAsia" w:ascii="Times New Roman" w:hAnsi="Times New Roman" w:eastAsia="宋体" w:cs="宋体"/>
                <w:color w:val="auto"/>
                <w:kern w:val="2"/>
                <w:sz w:val="24"/>
                <w:szCs w:val="24"/>
                <w:lang w:val="en-US" w:eastAsia="zh-CN" w:bidi="ar-SA"/>
              </w:rPr>
              <w:t xml:space="preserve"> </w:t>
            </w:r>
            <w:r>
              <w:rPr>
                <w:rFonts w:hint="default" w:ascii="Times New Roman" w:hAnsi="Times New Roman" w:eastAsia="宋体" w:cs="宋体"/>
                <w:color w:val="auto"/>
                <w:kern w:val="2"/>
                <w:sz w:val="24"/>
                <w:szCs w:val="24"/>
                <w:lang w:val="en-US" w:eastAsia="zh-CN" w:bidi="ar-SA"/>
              </w:rPr>
              <w:t>2.4-20</w:t>
            </w:r>
            <w:r>
              <w:rPr>
                <w:rFonts w:hint="eastAsia" w:ascii="Times New Roman" w:hAnsi="Times New Roman" w:eastAsia="宋体" w:cs="宋体"/>
                <w:color w:val="auto"/>
                <w:kern w:val="2"/>
                <w:sz w:val="24"/>
                <w:szCs w:val="24"/>
                <w:lang w:val="en-US" w:eastAsia="zh-CN" w:bidi="ar-SA"/>
              </w:rPr>
              <w:t>21）</w:t>
            </w:r>
            <w:r>
              <w:rPr>
                <w:rFonts w:hint="default" w:ascii="Times New Roman" w:hAnsi="Times New Roman" w:eastAsia="宋体" w:cs="宋体"/>
                <w:color w:val="auto"/>
                <w:kern w:val="2"/>
                <w:sz w:val="24"/>
                <w:szCs w:val="24"/>
                <w:lang w:val="en-US" w:eastAsia="zh-CN" w:bidi="ar-SA"/>
              </w:rPr>
              <w:t>中推荐的模型。噪声在传播过程</w:t>
            </w:r>
            <w:r>
              <w:rPr>
                <w:rFonts w:hint="eastAsia" w:ascii="Times New Roman" w:hAnsi="Times New Roman" w:eastAsia="宋体" w:cs="宋体"/>
                <w:color w:val="auto"/>
                <w:kern w:val="2"/>
                <w:sz w:val="24"/>
                <w:szCs w:val="24"/>
                <w:lang w:val="en-US" w:eastAsia="zh-CN" w:bidi="ar-SA"/>
              </w:rPr>
              <w:t>中受到</w:t>
            </w:r>
            <w:r>
              <w:rPr>
                <w:rFonts w:hint="default" w:ascii="Times New Roman" w:hAnsi="Times New Roman" w:eastAsia="宋体" w:cs="宋体"/>
                <w:color w:val="auto"/>
                <w:kern w:val="2"/>
                <w:sz w:val="24"/>
                <w:szCs w:val="24"/>
                <w:lang w:val="en-US" w:eastAsia="zh-CN" w:bidi="ar-SA"/>
              </w:rPr>
              <w:t>多种因数的干扰，使其产生衰减，根据建设项目噪声源和环境特征</w:t>
            </w:r>
            <w:r>
              <w:rPr>
                <w:rFonts w:hint="eastAsia" w:ascii="Times New Roman" w:hAnsi="Times New Roman" w:eastAsia="宋体" w:cs="宋体"/>
                <w:color w:val="auto"/>
                <w:kern w:val="2"/>
                <w:sz w:val="24"/>
                <w:szCs w:val="24"/>
                <w:lang w:val="en-US" w:eastAsia="zh-CN" w:bidi="ar-SA"/>
              </w:rPr>
              <w:t>，在</w:t>
            </w:r>
            <w:r>
              <w:rPr>
                <w:rFonts w:hint="default" w:ascii="Times New Roman" w:hAnsi="Times New Roman" w:eastAsia="宋体" w:cs="宋体"/>
                <w:color w:val="auto"/>
                <w:kern w:val="2"/>
                <w:sz w:val="24"/>
                <w:szCs w:val="24"/>
                <w:lang w:val="en-US" w:eastAsia="zh-CN" w:bidi="ar-SA"/>
              </w:rPr>
              <w:t>预测过程中考虑了车间等建筑物的屏障作用、空气吸收。预测模式采用</w:t>
            </w:r>
            <w:r>
              <w:rPr>
                <w:rFonts w:hint="eastAsia" w:ascii="Times New Roman" w:hAnsi="Times New Roman" w:eastAsia="宋体" w:cs="宋体"/>
                <w:color w:val="auto"/>
                <w:kern w:val="2"/>
                <w:sz w:val="24"/>
                <w:szCs w:val="24"/>
                <w:lang w:val="en-US" w:eastAsia="zh-CN" w:bidi="ar-SA"/>
              </w:rPr>
              <w:t>点</w:t>
            </w:r>
            <w:r>
              <w:rPr>
                <w:rFonts w:hint="default" w:ascii="Times New Roman" w:hAnsi="Times New Roman" w:eastAsia="宋体" w:cs="宋体"/>
                <w:color w:val="auto"/>
                <w:kern w:val="2"/>
                <w:sz w:val="24"/>
                <w:szCs w:val="24"/>
                <w:lang w:val="en-US" w:eastAsia="zh-CN" w:bidi="ar-SA"/>
              </w:rPr>
              <w:t>声源处于半自由空间的几何发散模式。</w:t>
            </w:r>
          </w:p>
          <w:p w14:paraId="44F6B7B3">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（1）</w:t>
            </w:r>
            <w:r>
              <w:rPr>
                <w:rFonts w:hint="default" w:ascii="Times New Roman" w:hAnsi="Times New Roman" w:eastAsia="宋体" w:cs="宋体"/>
                <w:color w:val="auto"/>
                <w:kern w:val="2"/>
                <w:sz w:val="24"/>
                <w:szCs w:val="24"/>
                <w:lang w:val="en-US" w:eastAsia="zh-CN" w:bidi="ar-SA"/>
              </w:rPr>
              <w:t>声级的计算</w:t>
            </w:r>
          </w:p>
          <w:p w14:paraId="0B0BA0A8">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①建设项目声源在预测点产生的等效声级贡献值</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L</w:t>
            </w:r>
            <w:r>
              <w:rPr>
                <w:rFonts w:hint="default" w:ascii="Times New Roman" w:hAnsi="Times New Roman" w:eastAsia="宋体" w:cs="宋体"/>
                <w:color w:val="auto"/>
                <w:kern w:val="2"/>
                <w:sz w:val="24"/>
                <w:szCs w:val="24"/>
                <w:vertAlign w:val="subscript"/>
                <w:lang w:val="en-US" w:eastAsia="zh-CN" w:bidi="ar-SA"/>
              </w:rPr>
              <w:t>eqg</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计算公式：</w:t>
            </w:r>
          </w:p>
          <w:p w14:paraId="66A809E1">
            <w:pPr>
              <w:widowControl w:val="0"/>
              <w:bidi w:val="0"/>
              <w:spacing w:line="360" w:lineRule="auto"/>
              <w:ind w:firstLine="480" w:firstLineChars="200"/>
              <w:jc w:val="right"/>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2138680" cy="531495"/>
                  <wp:effectExtent l="0" t="0" r="0" b="0"/>
                  <wp:docPr id="4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7"/>
                          <pic:cNvPicPr>
                            <a:picLocks noChangeAspect="1"/>
                          </pic:cNvPicPr>
                        </pic:nvPicPr>
                        <pic:blipFill>
                          <a:blip r:embed="rId40"/>
                          <a:stretch>
                            <a:fillRect/>
                          </a:stretch>
                        </pic:blipFill>
                        <pic:spPr>
                          <a:xfrm>
                            <a:off x="0" y="0"/>
                            <a:ext cx="2138680" cy="531495"/>
                          </a:xfrm>
                          <a:prstGeom prst="rect">
                            <a:avLst/>
                          </a:prstGeom>
                          <a:noFill/>
                          <a:ln>
                            <a:noFill/>
                          </a:ln>
                        </pic:spPr>
                      </pic:pic>
                    </a:graphicData>
                  </a:graphic>
                </wp:inline>
              </w:drawing>
            </w:r>
            <w:r>
              <w:rPr>
                <w:rFonts w:hint="eastAsia" w:ascii="Times New Roman" w:hAnsi="Times New Roman" w:eastAsia="宋体" w:cs="宋体"/>
                <w:color w:val="auto"/>
                <w:kern w:val="2"/>
                <w:sz w:val="24"/>
                <w:szCs w:val="24"/>
                <w:lang w:val="en-US" w:eastAsia="zh-CN" w:bidi="ar-SA"/>
              </w:rPr>
              <w:t xml:space="preserve">                  (1)</w:t>
            </w:r>
          </w:p>
          <w:p w14:paraId="7CE06703">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式中：L</w:t>
            </w:r>
            <w:r>
              <w:rPr>
                <w:rFonts w:hint="default" w:ascii="Times New Roman" w:hAnsi="Times New Roman" w:eastAsia="宋体" w:cs="宋体"/>
                <w:color w:val="auto"/>
                <w:kern w:val="2"/>
                <w:sz w:val="24"/>
                <w:szCs w:val="24"/>
                <w:vertAlign w:val="subscript"/>
                <w:lang w:val="en-US" w:eastAsia="zh-CN" w:bidi="ar-SA"/>
              </w:rPr>
              <w:t>eqg</w:t>
            </w:r>
            <w:r>
              <w:rPr>
                <w:rFonts w:hint="default" w:ascii="Times New Roman" w:hAnsi="Times New Roman" w:eastAsia="宋体" w:cs="宋体"/>
                <w:color w:val="auto"/>
                <w:kern w:val="2"/>
                <w:sz w:val="24"/>
                <w:szCs w:val="24"/>
                <w:lang w:val="en-US" w:eastAsia="zh-CN" w:bidi="ar-SA"/>
              </w:rPr>
              <w:t>—建设项目声源在预测点的等效声级贡献值，dB</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w:t>
            </w:r>
          </w:p>
          <w:p w14:paraId="04A7E4AE">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L</w:t>
            </w:r>
            <w:r>
              <w:rPr>
                <w:rFonts w:hint="default" w:ascii="Times New Roman" w:hAnsi="Times New Roman" w:eastAsia="宋体" w:cs="宋体"/>
                <w:color w:val="auto"/>
                <w:kern w:val="2"/>
                <w:sz w:val="24"/>
                <w:szCs w:val="24"/>
                <w:vertAlign w:val="subscript"/>
                <w:lang w:val="en-US" w:eastAsia="zh-CN" w:bidi="ar-SA"/>
              </w:rPr>
              <w:t>Ai</w:t>
            </w:r>
            <w:r>
              <w:rPr>
                <w:rFonts w:hint="default" w:ascii="Times New Roman" w:hAnsi="Times New Roman" w:eastAsia="宋体" w:cs="宋体"/>
                <w:color w:val="auto"/>
                <w:kern w:val="2"/>
                <w:sz w:val="24"/>
                <w:szCs w:val="24"/>
                <w:lang w:val="en-US" w:eastAsia="zh-CN" w:bidi="ar-SA"/>
              </w:rPr>
              <w:t>—i声源在预测点产生的A声级，dB</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w:t>
            </w:r>
          </w:p>
          <w:p w14:paraId="055B5507">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T—预测计算的时间段，s；</w:t>
            </w:r>
          </w:p>
          <w:p w14:paraId="7C444681">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ti—i声源在T时段内的运行时间，s。</w:t>
            </w:r>
          </w:p>
          <w:p w14:paraId="7064CC93">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②预测点的预测等效声级</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Leq</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计算公式：</w:t>
            </w:r>
          </w:p>
          <w:p w14:paraId="4469CD6E">
            <w:pPr>
              <w:widowControl w:val="0"/>
              <w:bidi w:val="0"/>
              <w:spacing w:line="360" w:lineRule="auto"/>
              <w:ind w:firstLine="480" w:firstLineChars="200"/>
              <w:jc w:val="right"/>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1809750" cy="288925"/>
                  <wp:effectExtent l="0" t="0" r="0" b="0"/>
                  <wp:docPr id="4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8"/>
                          <pic:cNvPicPr>
                            <a:picLocks noChangeAspect="1"/>
                          </pic:cNvPicPr>
                        </pic:nvPicPr>
                        <pic:blipFill>
                          <a:blip r:embed="rId41"/>
                          <a:stretch>
                            <a:fillRect/>
                          </a:stretch>
                        </pic:blipFill>
                        <pic:spPr>
                          <a:xfrm>
                            <a:off x="0" y="0"/>
                            <a:ext cx="1809750" cy="288925"/>
                          </a:xfrm>
                          <a:prstGeom prst="rect">
                            <a:avLst/>
                          </a:prstGeom>
                          <a:noFill/>
                          <a:ln>
                            <a:noFill/>
                          </a:ln>
                        </pic:spPr>
                      </pic:pic>
                    </a:graphicData>
                  </a:graphic>
                </wp:inline>
              </w:drawing>
            </w:r>
            <w:r>
              <w:rPr>
                <w:rFonts w:hint="eastAsia" w:ascii="Times New Roman" w:hAnsi="Times New Roman" w:eastAsia="宋体" w:cs="宋体"/>
                <w:color w:val="auto"/>
                <w:kern w:val="2"/>
                <w:sz w:val="24"/>
                <w:szCs w:val="24"/>
                <w:lang w:val="en-US" w:eastAsia="zh-CN" w:bidi="ar-SA"/>
              </w:rPr>
              <w:t xml:space="preserve">                    (2)</w:t>
            </w:r>
          </w:p>
          <w:p w14:paraId="79A303A7">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式中：L</w:t>
            </w:r>
            <w:r>
              <w:rPr>
                <w:rFonts w:hint="default" w:ascii="Times New Roman" w:hAnsi="Times New Roman" w:eastAsia="宋体" w:cs="宋体"/>
                <w:color w:val="auto"/>
                <w:kern w:val="2"/>
                <w:sz w:val="24"/>
                <w:szCs w:val="24"/>
                <w:vertAlign w:val="subscript"/>
                <w:lang w:val="en-US" w:eastAsia="zh-CN" w:bidi="ar-SA"/>
              </w:rPr>
              <w:t>eqg</w:t>
            </w:r>
            <w:r>
              <w:rPr>
                <w:rFonts w:hint="default" w:ascii="Times New Roman" w:hAnsi="Times New Roman" w:eastAsia="宋体" w:cs="宋体"/>
                <w:color w:val="auto"/>
                <w:kern w:val="2"/>
                <w:sz w:val="24"/>
                <w:szCs w:val="24"/>
                <w:lang w:val="en-US" w:eastAsia="zh-CN" w:bidi="ar-SA"/>
              </w:rPr>
              <w:t>—建设项目声源在预测点的等效声级贡献值，dB</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w:t>
            </w:r>
          </w:p>
          <w:p w14:paraId="66A9A667">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L</w:t>
            </w:r>
            <w:r>
              <w:rPr>
                <w:rFonts w:hint="default" w:ascii="Times New Roman" w:hAnsi="Times New Roman" w:eastAsia="宋体" w:cs="宋体"/>
                <w:color w:val="auto"/>
                <w:kern w:val="2"/>
                <w:sz w:val="24"/>
                <w:szCs w:val="24"/>
                <w:vertAlign w:val="subscript"/>
                <w:lang w:val="en-US" w:eastAsia="zh-CN" w:bidi="ar-SA"/>
              </w:rPr>
              <w:t>eqg</w:t>
            </w:r>
            <w:r>
              <w:rPr>
                <w:rFonts w:hint="default" w:ascii="Times New Roman" w:hAnsi="Times New Roman" w:eastAsia="宋体" w:cs="宋体"/>
                <w:color w:val="auto"/>
                <w:kern w:val="2"/>
                <w:sz w:val="24"/>
                <w:szCs w:val="24"/>
                <w:lang w:val="en-US" w:eastAsia="zh-CN" w:bidi="ar-SA"/>
              </w:rPr>
              <w:t>—预测点的背景值，dB</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w:t>
            </w:r>
          </w:p>
          <w:p w14:paraId="3B78EB9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w:t>
            </w:r>
            <w:r>
              <w:rPr>
                <w:rFonts w:hint="default" w:ascii="Times New Roman" w:hAnsi="Times New Roman" w:eastAsia="宋体" w:cs="宋体"/>
                <w:color w:val="auto"/>
                <w:kern w:val="2"/>
                <w:sz w:val="24"/>
                <w:szCs w:val="24"/>
                <w:lang w:val="en-US" w:eastAsia="zh-CN" w:bidi="ar-SA"/>
              </w:rPr>
              <w:t>户外声传基本公式</w:t>
            </w:r>
          </w:p>
          <w:p w14:paraId="668D62AD">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①基本公式</w:t>
            </w:r>
          </w:p>
          <w:p w14:paraId="6EBE0191">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户外声传播衰减包括几何发散</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Adiv</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、大气吸收</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Aatm</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、地面效应</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Agr</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、屏障屏蔽</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Abar</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、其他多方面效应</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Amisc</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引起的衰减。</w:t>
            </w:r>
          </w:p>
          <w:p w14:paraId="3FA20D8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A.在环境影响评价中，应根据声源声功率级或靠近声源某一参考位置处的已知声级</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如实测得到的</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、户外声传播衰减，计算距离声源较远处的预测点的声级。在已知距离无指向性点声源参考点r</w:t>
            </w:r>
            <w:r>
              <w:rPr>
                <w:rFonts w:hint="default" w:ascii="Times New Roman" w:hAnsi="Times New Roman" w:eastAsia="宋体" w:cs="宋体"/>
                <w:color w:val="auto"/>
                <w:kern w:val="2"/>
                <w:sz w:val="24"/>
                <w:szCs w:val="24"/>
                <w:vertAlign w:val="subscript"/>
                <w:lang w:val="en-US" w:eastAsia="zh-CN" w:bidi="ar-SA"/>
              </w:rPr>
              <w:t>0</w:t>
            </w:r>
            <w:r>
              <w:rPr>
                <w:rFonts w:hint="default" w:ascii="Times New Roman" w:hAnsi="Times New Roman" w:eastAsia="宋体" w:cs="宋体"/>
                <w:color w:val="auto"/>
                <w:kern w:val="2"/>
                <w:sz w:val="24"/>
                <w:szCs w:val="24"/>
                <w:lang w:val="en-US" w:eastAsia="zh-CN" w:bidi="ar-SA"/>
              </w:rPr>
              <w:t>处的倍频带</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用63Hz到8KHz的8个标称倍频带中心频率</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声压级Lp</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r</w:t>
            </w:r>
            <w:r>
              <w:rPr>
                <w:rFonts w:hint="default" w:ascii="Times New Roman" w:hAnsi="Times New Roman" w:eastAsia="宋体" w:cs="宋体"/>
                <w:color w:val="auto"/>
                <w:kern w:val="2"/>
                <w:sz w:val="24"/>
                <w:szCs w:val="24"/>
                <w:vertAlign w:val="subscript"/>
                <w:lang w:val="en-US" w:eastAsia="zh-CN" w:bidi="ar-SA"/>
              </w:rPr>
              <w:t>0</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和计算出参考点</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r</w:t>
            </w:r>
            <w:r>
              <w:rPr>
                <w:rFonts w:hint="default" w:ascii="Times New Roman" w:hAnsi="Times New Roman" w:eastAsia="宋体" w:cs="宋体"/>
                <w:color w:val="auto"/>
                <w:kern w:val="2"/>
                <w:sz w:val="24"/>
                <w:szCs w:val="24"/>
                <w:vertAlign w:val="subscript"/>
                <w:lang w:val="en-US" w:eastAsia="zh-CN" w:bidi="ar-SA"/>
              </w:rPr>
              <w:t>0</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和预测点</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r</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处之间的户外声传播衰减后，预测点8个倍频带声压级可分别用式</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3</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计算。</w:t>
            </w:r>
          </w:p>
          <w:p w14:paraId="50D082A9">
            <w:pPr>
              <w:widowControl w:val="0"/>
              <w:bidi w:val="0"/>
              <w:spacing w:line="360" w:lineRule="auto"/>
              <w:ind w:firstLine="480" w:firstLineChars="200"/>
              <w:jc w:val="right"/>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2871470" cy="314325"/>
                  <wp:effectExtent l="0" t="0" r="0" b="0"/>
                  <wp:docPr id="4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9"/>
                          <pic:cNvPicPr>
                            <a:picLocks noChangeAspect="1"/>
                          </pic:cNvPicPr>
                        </pic:nvPicPr>
                        <pic:blipFill>
                          <a:blip r:embed="rId42"/>
                          <a:stretch>
                            <a:fillRect/>
                          </a:stretch>
                        </pic:blipFill>
                        <pic:spPr>
                          <a:xfrm>
                            <a:off x="0" y="0"/>
                            <a:ext cx="2871470" cy="314325"/>
                          </a:xfrm>
                          <a:prstGeom prst="rect">
                            <a:avLst/>
                          </a:prstGeom>
                          <a:noFill/>
                          <a:ln>
                            <a:noFill/>
                          </a:ln>
                        </pic:spPr>
                      </pic:pic>
                    </a:graphicData>
                  </a:graphic>
                </wp:inline>
              </w:drawing>
            </w:r>
            <w:r>
              <w:rPr>
                <w:rFonts w:hint="eastAsia" w:ascii="Times New Roman" w:hAnsi="Times New Roman" w:eastAsia="宋体" w:cs="宋体"/>
                <w:color w:val="auto"/>
                <w:kern w:val="2"/>
                <w:sz w:val="24"/>
                <w:szCs w:val="24"/>
                <w:lang w:val="en-US" w:eastAsia="zh-CN" w:bidi="ar-SA"/>
              </w:rPr>
              <w:t xml:space="preserve">          (</w:t>
            </w:r>
            <w:r>
              <w:rPr>
                <w:rFonts w:hint="default" w:ascii="Times New Roman" w:hAnsi="Times New Roman" w:eastAsia="宋体" w:cs="宋体"/>
                <w:color w:val="auto"/>
                <w:kern w:val="2"/>
                <w:sz w:val="24"/>
                <w:szCs w:val="24"/>
                <w:lang w:val="en-US" w:eastAsia="zh-CN" w:bidi="ar-SA"/>
              </w:rPr>
              <w:t>3</w:t>
            </w:r>
            <w:r>
              <w:rPr>
                <w:rFonts w:hint="eastAsia" w:ascii="Times New Roman" w:hAnsi="Times New Roman" w:eastAsia="宋体" w:cs="宋体"/>
                <w:color w:val="auto"/>
                <w:kern w:val="2"/>
                <w:sz w:val="24"/>
                <w:szCs w:val="24"/>
                <w:lang w:val="en-US" w:eastAsia="zh-CN" w:bidi="ar-SA"/>
              </w:rPr>
              <w:t>)</w:t>
            </w:r>
          </w:p>
          <w:p w14:paraId="5712CBA3">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B.预测点的A声级LA</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r</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可按公式</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6</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计算，即将8个倍频带声压级合成，计算出预测点的A声级</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LA</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r</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w:t>
            </w:r>
          </w:p>
          <w:p w14:paraId="45219F94">
            <w:pPr>
              <w:widowControl w:val="0"/>
              <w:bidi w:val="0"/>
              <w:spacing w:line="360" w:lineRule="auto"/>
              <w:ind w:firstLine="480" w:firstLineChars="200"/>
              <w:jc w:val="right"/>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1924050" cy="416560"/>
                  <wp:effectExtent l="0" t="0" r="0" b="0"/>
                  <wp:docPr id="5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0"/>
                          <pic:cNvPicPr>
                            <a:picLocks noChangeAspect="1"/>
                          </pic:cNvPicPr>
                        </pic:nvPicPr>
                        <pic:blipFill>
                          <a:blip r:embed="rId43"/>
                          <a:stretch>
                            <a:fillRect/>
                          </a:stretch>
                        </pic:blipFill>
                        <pic:spPr>
                          <a:xfrm>
                            <a:off x="0" y="0"/>
                            <a:ext cx="1924050" cy="416560"/>
                          </a:xfrm>
                          <a:prstGeom prst="rect">
                            <a:avLst/>
                          </a:prstGeom>
                          <a:noFill/>
                          <a:ln>
                            <a:noFill/>
                          </a:ln>
                        </pic:spPr>
                      </pic:pic>
                    </a:graphicData>
                  </a:graphic>
                </wp:inline>
              </w:drawing>
            </w:r>
            <w:r>
              <w:rPr>
                <w:rFonts w:hint="eastAsia" w:ascii="Times New Roman" w:hAnsi="Times New Roman" w:eastAsia="宋体" w:cs="宋体"/>
                <w:color w:val="auto"/>
                <w:kern w:val="2"/>
                <w:sz w:val="24"/>
                <w:szCs w:val="24"/>
                <w:lang w:val="en-US" w:eastAsia="zh-CN" w:bidi="ar-SA"/>
              </w:rPr>
              <w:t xml:space="preserve">                   (</w:t>
            </w:r>
            <w:r>
              <w:rPr>
                <w:rFonts w:hint="default" w:ascii="Times New Roman" w:hAnsi="Times New Roman" w:eastAsia="宋体" w:cs="宋体"/>
                <w:color w:val="auto"/>
                <w:kern w:val="2"/>
                <w:sz w:val="24"/>
                <w:szCs w:val="24"/>
                <w:lang w:val="en-US" w:eastAsia="zh-CN" w:bidi="ar-SA"/>
              </w:rPr>
              <w:t>4</w:t>
            </w:r>
            <w:r>
              <w:rPr>
                <w:rFonts w:hint="eastAsia" w:ascii="Times New Roman" w:hAnsi="Times New Roman" w:eastAsia="宋体" w:cs="宋体"/>
                <w:color w:val="auto"/>
                <w:kern w:val="2"/>
                <w:sz w:val="24"/>
                <w:szCs w:val="24"/>
                <w:lang w:val="en-US" w:eastAsia="zh-CN" w:bidi="ar-SA"/>
              </w:rPr>
              <w:t>)</w:t>
            </w:r>
          </w:p>
          <w:p w14:paraId="03FBFD10">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式中：L</w:t>
            </w:r>
            <w:r>
              <w:rPr>
                <w:rFonts w:hint="default" w:ascii="Times New Roman" w:hAnsi="Times New Roman" w:eastAsia="宋体" w:cs="宋体"/>
                <w:color w:val="auto"/>
                <w:kern w:val="2"/>
                <w:sz w:val="24"/>
                <w:szCs w:val="24"/>
                <w:vertAlign w:val="subscript"/>
                <w:lang w:val="en-US" w:eastAsia="zh-CN" w:bidi="ar-SA"/>
              </w:rPr>
              <w:t>Pi</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r</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—预测点</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r</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处，第i倍频带声压级，dB</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w:t>
            </w:r>
          </w:p>
          <w:p w14:paraId="7B45F70A">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ΔL i—第i倍频带的A计权网络修正值，dB。</w:t>
            </w:r>
          </w:p>
          <w:p w14:paraId="1BFBAFA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C.</w:t>
            </w:r>
            <w:r>
              <w:rPr>
                <w:rFonts w:hint="default" w:ascii="Times New Roman" w:hAnsi="Times New Roman" w:eastAsia="宋体" w:cs="宋体"/>
                <w:color w:val="auto"/>
                <w:kern w:val="2"/>
                <w:sz w:val="24"/>
                <w:szCs w:val="24"/>
                <w:lang w:val="en-US" w:eastAsia="zh-CN" w:bidi="ar-SA"/>
              </w:rPr>
              <w:t>在只考虑几何发散衰减时，可用公式</w:t>
            </w:r>
            <w:r>
              <w:rPr>
                <w:rFonts w:hint="eastAsia" w:ascii="Times New Roman" w:hAnsi="Times New Roman" w:eastAsia="宋体" w:cs="宋体"/>
                <w:color w:val="auto"/>
                <w:kern w:val="2"/>
                <w:sz w:val="24"/>
                <w:szCs w:val="24"/>
                <w:lang w:val="en-US" w:eastAsia="zh-CN" w:bidi="ar-SA"/>
              </w:rPr>
              <w:t>（5）</w:t>
            </w:r>
            <w:r>
              <w:rPr>
                <w:rFonts w:hint="default" w:ascii="Times New Roman" w:hAnsi="Times New Roman" w:eastAsia="宋体" w:cs="宋体"/>
                <w:color w:val="auto"/>
                <w:kern w:val="2"/>
                <w:sz w:val="24"/>
                <w:szCs w:val="24"/>
                <w:lang w:val="en-US" w:eastAsia="zh-CN" w:bidi="ar-SA"/>
              </w:rPr>
              <w:t>计算：</w:t>
            </w:r>
          </w:p>
          <w:p w14:paraId="469DFE8D">
            <w:pPr>
              <w:widowControl w:val="0"/>
              <w:bidi w:val="0"/>
              <w:spacing w:line="360" w:lineRule="auto"/>
              <w:ind w:firstLine="480" w:firstLineChars="200"/>
              <w:jc w:val="right"/>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1334135" cy="320675"/>
                  <wp:effectExtent l="0" t="0" r="0" b="0"/>
                  <wp:docPr id="5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1"/>
                          <pic:cNvPicPr>
                            <a:picLocks noChangeAspect="1"/>
                          </pic:cNvPicPr>
                        </pic:nvPicPr>
                        <pic:blipFill>
                          <a:blip r:embed="rId44"/>
                          <a:stretch>
                            <a:fillRect/>
                          </a:stretch>
                        </pic:blipFill>
                        <pic:spPr>
                          <a:xfrm>
                            <a:off x="0" y="0"/>
                            <a:ext cx="1334135" cy="320675"/>
                          </a:xfrm>
                          <a:prstGeom prst="rect">
                            <a:avLst/>
                          </a:prstGeom>
                          <a:noFill/>
                          <a:ln>
                            <a:noFill/>
                          </a:ln>
                        </pic:spPr>
                      </pic:pic>
                    </a:graphicData>
                  </a:graphic>
                </wp:inline>
              </w:drawing>
            </w:r>
            <w:r>
              <w:rPr>
                <w:rFonts w:hint="eastAsia" w:ascii="Times New Roman" w:hAnsi="Times New Roman" w:eastAsia="宋体" w:cs="宋体"/>
                <w:color w:val="auto"/>
                <w:kern w:val="2"/>
                <w:sz w:val="24"/>
                <w:szCs w:val="24"/>
                <w:lang w:val="en-US" w:eastAsia="zh-CN" w:bidi="ar-SA"/>
              </w:rPr>
              <w:t xml:space="preserve">                       (</w:t>
            </w:r>
            <w:r>
              <w:rPr>
                <w:rFonts w:hint="default" w:ascii="Times New Roman" w:hAnsi="Times New Roman" w:eastAsia="宋体" w:cs="宋体"/>
                <w:color w:val="auto"/>
                <w:kern w:val="2"/>
                <w:sz w:val="24"/>
                <w:szCs w:val="24"/>
                <w:lang w:val="en-US" w:eastAsia="zh-CN" w:bidi="ar-SA"/>
              </w:rPr>
              <w:t>5</w:t>
            </w:r>
            <w:r>
              <w:rPr>
                <w:rFonts w:hint="eastAsia" w:ascii="Times New Roman" w:hAnsi="Times New Roman" w:eastAsia="宋体" w:cs="宋体"/>
                <w:color w:val="auto"/>
                <w:kern w:val="2"/>
                <w:sz w:val="24"/>
                <w:szCs w:val="24"/>
                <w:lang w:val="en-US" w:eastAsia="zh-CN" w:bidi="ar-SA"/>
              </w:rPr>
              <w:t>)</w:t>
            </w:r>
          </w:p>
          <w:p w14:paraId="7E96AE7D">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②几何发散衰减</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Adiv</w:t>
            </w:r>
            <w:r>
              <w:rPr>
                <w:rFonts w:hint="eastAsia" w:ascii="Times New Roman" w:hAnsi="Times New Roman" w:eastAsia="宋体" w:cs="宋体"/>
                <w:color w:val="auto"/>
                <w:kern w:val="2"/>
                <w:sz w:val="24"/>
                <w:szCs w:val="24"/>
                <w:lang w:val="en-US" w:eastAsia="zh-CN" w:bidi="ar-SA"/>
              </w:rPr>
              <w:t>）</w:t>
            </w:r>
          </w:p>
          <w:p w14:paraId="734E3FB6">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A.点声源的几何发散衰减</w:t>
            </w:r>
          </w:p>
          <w:p w14:paraId="22D436AB">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如果声源处于半自由声场，则等效为公式（6）或（7）</w:t>
            </w:r>
          </w:p>
          <w:p w14:paraId="666555B4">
            <w:pPr>
              <w:widowControl w:val="0"/>
              <w:bidi w:val="0"/>
              <w:spacing w:line="360" w:lineRule="auto"/>
              <w:ind w:firstLine="480" w:firstLineChars="200"/>
              <w:jc w:val="right"/>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2018030" cy="253365"/>
                  <wp:effectExtent l="0" t="0" r="0" b="0"/>
                  <wp:docPr id="5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2"/>
                          <pic:cNvPicPr>
                            <a:picLocks noChangeAspect="1"/>
                          </pic:cNvPicPr>
                        </pic:nvPicPr>
                        <pic:blipFill>
                          <a:blip r:embed="rId45"/>
                          <a:srcRect r="50000"/>
                          <a:stretch>
                            <a:fillRect/>
                          </a:stretch>
                        </pic:blipFill>
                        <pic:spPr>
                          <a:xfrm>
                            <a:off x="0" y="0"/>
                            <a:ext cx="2018030" cy="253365"/>
                          </a:xfrm>
                          <a:prstGeom prst="rect">
                            <a:avLst/>
                          </a:prstGeom>
                          <a:noFill/>
                          <a:ln>
                            <a:noFill/>
                          </a:ln>
                        </pic:spPr>
                      </pic:pic>
                    </a:graphicData>
                  </a:graphic>
                </wp:inline>
              </w:drawing>
            </w:r>
            <w:r>
              <w:rPr>
                <w:rFonts w:hint="eastAsia" w:ascii="Times New Roman" w:hAnsi="Times New Roman" w:eastAsia="宋体" w:cs="宋体"/>
                <w:color w:val="auto"/>
                <w:kern w:val="2"/>
                <w:sz w:val="24"/>
                <w:szCs w:val="24"/>
                <w:lang w:val="en-US" w:eastAsia="zh-CN" w:bidi="ar-SA"/>
              </w:rPr>
              <w:t xml:space="preserve">                 (</w:t>
            </w:r>
            <w:r>
              <w:rPr>
                <w:rFonts w:hint="default" w:ascii="Times New Roman" w:hAnsi="Times New Roman" w:eastAsia="宋体" w:cs="宋体"/>
                <w:color w:val="auto"/>
                <w:kern w:val="2"/>
                <w:sz w:val="24"/>
                <w:szCs w:val="24"/>
                <w:lang w:val="en-US" w:eastAsia="zh-CN" w:bidi="ar-SA"/>
              </w:rPr>
              <w:t>6</w:t>
            </w:r>
            <w:r>
              <w:rPr>
                <w:rFonts w:hint="eastAsia" w:ascii="Times New Roman" w:hAnsi="Times New Roman" w:eastAsia="宋体" w:cs="宋体"/>
                <w:color w:val="auto"/>
                <w:kern w:val="2"/>
                <w:sz w:val="24"/>
                <w:szCs w:val="24"/>
                <w:lang w:val="en-US" w:eastAsia="zh-CN" w:bidi="ar-SA"/>
              </w:rPr>
              <w:t>)</w:t>
            </w:r>
          </w:p>
          <w:p w14:paraId="4C5DC39A">
            <w:pPr>
              <w:widowControl w:val="0"/>
              <w:bidi w:val="0"/>
              <w:spacing w:line="360" w:lineRule="auto"/>
              <w:ind w:firstLine="480" w:firstLineChars="200"/>
              <w:jc w:val="right"/>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2019935" cy="228600"/>
                  <wp:effectExtent l="0" t="0" r="0" b="0"/>
                  <wp:docPr id="5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3"/>
                          <pic:cNvPicPr>
                            <a:picLocks noChangeAspect="1"/>
                          </pic:cNvPicPr>
                        </pic:nvPicPr>
                        <pic:blipFill>
                          <a:blip r:embed="rId46"/>
                          <a:srcRect r="49283"/>
                          <a:stretch>
                            <a:fillRect/>
                          </a:stretch>
                        </pic:blipFill>
                        <pic:spPr>
                          <a:xfrm>
                            <a:off x="0" y="0"/>
                            <a:ext cx="2019935" cy="228600"/>
                          </a:xfrm>
                          <a:prstGeom prst="rect">
                            <a:avLst/>
                          </a:prstGeom>
                          <a:noFill/>
                          <a:ln>
                            <a:noFill/>
                          </a:ln>
                        </pic:spPr>
                      </pic:pic>
                    </a:graphicData>
                  </a:graphic>
                </wp:inline>
              </w:drawing>
            </w:r>
            <w:r>
              <w:rPr>
                <w:rFonts w:hint="eastAsia" w:ascii="Times New Roman" w:hAnsi="Times New Roman" w:eastAsia="宋体" w:cs="宋体"/>
                <w:color w:val="auto"/>
                <w:kern w:val="2"/>
                <w:sz w:val="24"/>
                <w:szCs w:val="24"/>
                <w:lang w:val="en-US" w:eastAsia="zh-CN" w:bidi="ar-SA"/>
              </w:rPr>
              <w:t xml:space="preserve">                 (</w:t>
            </w:r>
            <w:r>
              <w:rPr>
                <w:rFonts w:hint="default" w:ascii="Times New Roman" w:hAnsi="Times New Roman" w:eastAsia="宋体" w:cs="宋体"/>
                <w:color w:val="auto"/>
                <w:kern w:val="2"/>
                <w:sz w:val="24"/>
                <w:szCs w:val="24"/>
                <w:lang w:val="en-US" w:eastAsia="zh-CN" w:bidi="ar-SA"/>
              </w:rPr>
              <w:t>7</w:t>
            </w:r>
            <w:r>
              <w:rPr>
                <w:rFonts w:hint="eastAsia" w:ascii="Times New Roman" w:hAnsi="Times New Roman" w:eastAsia="宋体" w:cs="宋体"/>
                <w:color w:val="auto"/>
                <w:kern w:val="2"/>
                <w:sz w:val="24"/>
                <w:szCs w:val="24"/>
                <w:lang w:val="en-US" w:eastAsia="zh-CN" w:bidi="ar-SA"/>
              </w:rPr>
              <w:t>)</w:t>
            </w:r>
          </w:p>
          <w:p w14:paraId="20662BDD">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B.反射体引起的修正ΔL</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r</w:t>
            </w:r>
            <w:r>
              <w:rPr>
                <w:rFonts w:hint="eastAsia" w:ascii="Times New Roman" w:hAnsi="Times New Roman" w:eastAsia="宋体" w:cs="宋体"/>
                <w:color w:val="auto"/>
                <w:kern w:val="2"/>
                <w:sz w:val="24"/>
                <w:szCs w:val="24"/>
                <w:lang w:val="en-US" w:eastAsia="zh-CN" w:bidi="ar-SA"/>
              </w:rPr>
              <w:t>）</w:t>
            </w:r>
          </w:p>
          <w:p w14:paraId="09D4CE10">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如图</w:t>
            </w:r>
            <w:r>
              <w:rPr>
                <w:rFonts w:hint="eastAsia" w:ascii="Times New Roman" w:hAnsi="Times New Roman" w:eastAsia="宋体" w:cs="宋体"/>
                <w:color w:val="auto"/>
                <w:kern w:val="2"/>
                <w:sz w:val="24"/>
                <w:szCs w:val="24"/>
                <w:lang w:val="en-US" w:eastAsia="zh-CN" w:bidi="ar-SA"/>
              </w:rPr>
              <w:t>4</w:t>
            </w:r>
            <w:r>
              <w:rPr>
                <w:rFonts w:hint="default"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3</w:t>
            </w:r>
            <w:r>
              <w:rPr>
                <w:rFonts w:hint="default" w:ascii="Times New Roman" w:hAnsi="Times New Roman" w:eastAsia="宋体" w:cs="宋体"/>
                <w:color w:val="auto"/>
                <w:kern w:val="2"/>
                <w:sz w:val="24"/>
                <w:szCs w:val="24"/>
                <w:lang w:val="en-US" w:eastAsia="zh-CN" w:bidi="ar-SA"/>
              </w:rPr>
              <w:t>-1所示，当点声源与预测点处在反射体同侧附近时，到达预测点的声级是直达声与反射声叠加的结果，从而使预测点声级增高。</w:t>
            </w:r>
          </w:p>
          <w:p w14:paraId="2FC07FD0">
            <w:pPr>
              <w:widowControl w:val="0"/>
              <w:bidi w:val="0"/>
              <w:spacing w:line="240" w:lineRule="auto"/>
              <w:ind w:firstLine="0" w:firstLineChars="0"/>
              <w:jc w:val="center"/>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2889250" cy="2061210"/>
                  <wp:effectExtent l="0" t="0" r="0" b="0"/>
                  <wp:docPr id="5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4"/>
                          <pic:cNvPicPr>
                            <a:picLocks noChangeAspect="1"/>
                          </pic:cNvPicPr>
                        </pic:nvPicPr>
                        <pic:blipFill>
                          <a:blip r:embed="rId47"/>
                          <a:stretch>
                            <a:fillRect/>
                          </a:stretch>
                        </pic:blipFill>
                        <pic:spPr>
                          <a:xfrm>
                            <a:off x="0" y="0"/>
                            <a:ext cx="2889250" cy="2061210"/>
                          </a:xfrm>
                          <a:prstGeom prst="rect">
                            <a:avLst/>
                          </a:prstGeom>
                          <a:noFill/>
                          <a:ln>
                            <a:noFill/>
                          </a:ln>
                        </pic:spPr>
                      </pic:pic>
                    </a:graphicData>
                  </a:graphic>
                </wp:inline>
              </w:drawing>
            </w:r>
          </w:p>
          <w:p w14:paraId="4BE2676F">
            <w:pPr>
              <w:pStyle w:val="24"/>
              <w:bidi w:val="0"/>
              <w:rPr>
                <w:rFonts w:hint="default"/>
                <w:color w:val="auto"/>
                <w:lang w:val="en-US" w:eastAsia="zh-CN"/>
              </w:rPr>
            </w:pPr>
            <w:r>
              <w:rPr>
                <w:rFonts w:hint="default"/>
                <w:color w:val="auto"/>
                <w:lang w:val="en-US" w:eastAsia="zh-CN"/>
              </w:rPr>
              <w:t>图</w:t>
            </w:r>
            <w:r>
              <w:rPr>
                <w:rFonts w:hint="eastAsia"/>
                <w:color w:val="auto"/>
                <w:lang w:val="en-US" w:eastAsia="zh-CN"/>
              </w:rPr>
              <w:t xml:space="preserve">4.3-1  </w:t>
            </w:r>
            <w:r>
              <w:rPr>
                <w:rFonts w:hint="default"/>
                <w:color w:val="auto"/>
                <w:lang w:val="en-US" w:eastAsia="zh-CN"/>
              </w:rPr>
              <w:t>反射体的影响</w:t>
            </w:r>
          </w:p>
          <w:p w14:paraId="1A71773D">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当满足下列条件时，需考虑反射体引起的声级增高：</w:t>
            </w:r>
          </w:p>
          <w:p w14:paraId="14FE6E7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1）反射体表面平整光滑，坚硬的。</w:t>
            </w:r>
          </w:p>
          <w:p w14:paraId="6AA43AFB">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2）反射体尺寸远远大于所有声波波长λ。</w:t>
            </w:r>
          </w:p>
          <w:p w14:paraId="6B3EC85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3）入射角θ＜85º。</w:t>
            </w:r>
          </w:p>
          <w:p w14:paraId="62D0EEBF">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rr−rd</w:t>
            </w:r>
            <w:r>
              <w:rPr>
                <w:rFonts w:hint="eastAsia" w:ascii="Times New Roman" w:hAnsi="Times New Roman" w:eastAsia="宋体" w:cs="宋体"/>
                <w:color w:val="auto"/>
                <w:kern w:val="2"/>
                <w:sz w:val="24"/>
                <w:szCs w:val="24"/>
                <w:lang w:val="en-US" w:eastAsia="zh-CN" w:bidi="ar-SA"/>
              </w:rPr>
              <w:t>&gt;</w:t>
            </w:r>
            <w:r>
              <w:rPr>
                <w:rFonts w:hint="default" w:ascii="Times New Roman" w:hAnsi="Times New Roman" w:eastAsia="宋体" w:cs="宋体"/>
                <w:color w:val="auto"/>
                <w:kern w:val="2"/>
                <w:sz w:val="24"/>
                <w:szCs w:val="24"/>
                <w:lang w:val="en-US" w:eastAsia="zh-CN" w:bidi="ar-SA"/>
              </w:rPr>
              <w:t>λ反射引起的修正量ΔLr与rr/rd有关</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rr=IP、rd=SP</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，可按表</w:t>
            </w:r>
            <w:r>
              <w:rPr>
                <w:rFonts w:hint="eastAsia" w:ascii="Times New Roman" w:hAnsi="Times New Roman" w:eastAsia="宋体" w:cs="宋体"/>
                <w:color w:val="auto"/>
                <w:kern w:val="2"/>
                <w:sz w:val="24"/>
                <w:szCs w:val="24"/>
                <w:lang w:val="en-US" w:eastAsia="zh-CN" w:bidi="ar-SA"/>
              </w:rPr>
              <w:t>4.3-2</w:t>
            </w:r>
            <w:r>
              <w:rPr>
                <w:rFonts w:hint="default" w:ascii="Times New Roman" w:hAnsi="Times New Roman" w:eastAsia="宋体" w:cs="宋体"/>
                <w:color w:val="auto"/>
                <w:kern w:val="2"/>
                <w:sz w:val="24"/>
                <w:szCs w:val="24"/>
                <w:lang w:val="en-US" w:eastAsia="zh-CN" w:bidi="ar-SA"/>
              </w:rPr>
              <w:t>计算：</w:t>
            </w:r>
          </w:p>
          <w:p w14:paraId="73DD4E8C">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default" w:ascii="Times New Roman" w:hAnsi="Times New Roman" w:eastAsia="宋体" w:cs="Times New Roman"/>
                <w:b/>
                <w:color w:val="auto"/>
                <w:kern w:val="0"/>
                <w:sz w:val="24"/>
                <w:szCs w:val="20"/>
                <w:lang w:val="en-US" w:eastAsia="zh-CN" w:bidi="ar-SA"/>
              </w:rPr>
              <w:t>表</w:t>
            </w:r>
            <w:r>
              <w:rPr>
                <w:rFonts w:hint="eastAsia" w:ascii="Times New Roman" w:hAnsi="Times New Roman" w:eastAsia="宋体" w:cs="Times New Roman"/>
                <w:b/>
                <w:color w:val="auto"/>
                <w:kern w:val="0"/>
                <w:sz w:val="24"/>
                <w:szCs w:val="20"/>
                <w:lang w:val="en-US" w:eastAsia="zh-CN" w:bidi="ar-SA"/>
              </w:rPr>
              <w:t xml:space="preserve">4.3-2  </w:t>
            </w:r>
            <w:r>
              <w:rPr>
                <w:rFonts w:hint="default" w:ascii="Times New Roman" w:hAnsi="Times New Roman" w:eastAsia="宋体" w:cs="Times New Roman"/>
                <w:b/>
                <w:color w:val="auto"/>
                <w:kern w:val="0"/>
                <w:sz w:val="24"/>
                <w:szCs w:val="20"/>
                <w:lang w:val="en-US" w:eastAsia="zh-CN" w:bidi="ar-SA"/>
              </w:rPr>
              <w:t>反射体引起的修正量</w:t>
            </w:r>
          </w:p>
          <w:tbl>
            <w:tblPr>
              <w:tblStyle w:val="17"/>
              <w:tblW w:w="79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9"/>
              <w:gridCol w:w="4000"/>
            </w:tblGrid>
            <w:tr w14:paraId="249C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 w:hRule="atLeast"/>
                <w:jc w:val="center"/>
              </w:trPr>
              <w:tc>
                <w:tcPr>
                  <w:tcW w:w="3999" w:type="dxa"/>
                  <w:tcBorders>
                    <w:top w:val="single" w:color="auto" w:sz="12" w:space="0"/>
                  </w:tcBorders>
                  <w:noWrap w:val="0"/>
                  <w:vAlign w:val="center"/>
                </w:tcPr>
                <w:p w14:paraId="192C643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rr/rd</w:t>
                  </w:r>
                </w:p>
              </w:tc>
              <w:tc>
                <w:tcPr>
                  <w:tcW w:w="4000" w:type="dxa"/>
                  <w:tcBorders>
                    <w:top w:val="single" w:color="auto" w:sz="12" w:space="0"/>
                    <w:right w:val="nil"/>
                  </w:tcBorders>
                  <w:noWrap w:val="0"/>
                  <w:vAlign w:val="center"/>
                </w:tcPr>
                <w:p w14:paraId="21AE0DC8">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dB</w:t>
                  </w:r>
                  <w:r>
                    <w:rPr>
                      <w:rFonts w:hint="eastAsia" w:ascii="Times New Roman" w:hAnsi="Times New Roman" w:eastAsia="宋体" w:cs="Times New Roman"/>
                      <w:b/>
                      <w:bCs/>
                      <w:color w:val="auto"/>
                      <w:kern w:val="0"/>
                      <w:sz w:val="21"/>
                      <w:szCs w:val="20"/>
                      <w:lang w:val="en-US" w:eastAsia="zh-CN" w:bidi="ar-SA"/>
                    </w:rPr>
                    <w:t>（</w:t>
                  </w:r>
                  <w:r>
                    <w:rPr>
                      <w:rFonts w:hint="default" w:ascii="Times New Roman" w:hAnsi="Times New Roman" w:eastAsia="宋体" w:cs="Times New Roman"/>
                      <w:b/>
                      <w:bCs/>
                      <w:color w:val="auto"/>
                      <w:kern w:val="0"/>
                      <w:sz w:val="21"/>
                      <w:szCs w:val="20"/>
                      <w:lang w:val="en-US" w:eastAsia="zh-CN" w:bidi="ar-SA"/>
                    </w:rPr>
                    <w:t>A</w:t>
                  </w:r>
                  <w:r>
                    <w:rPr>
                      <w:rFonts w:hint="eastAsia" w:ascii="Times New Roman" w:hAnsi="Times New Roman" w:eastAsia="宋体" w:cs="Times New Roman"/>
                      <w:b/>
                      <w:bCs/>
                      <w:color w:val="auto"/>
                      <w:kern w:val="0"/>
                      <w:sz w:val="21"/>
                      <w:szCs w:val="20"/>
                      <w:lang w:val="en-US" w:eastAsia="zh-CN" w:bidi="ar-SA"/>
                    </w:rPr>
                    <w:t>）</w:t>
                  </w:r>
                </w:p>
              </w:tc>
            </w:tr>
            <w:tr w14:paraId="20055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3999" w:type="dxa"/>
                  <w:tcBorders>
                    <w:left w:val="nil"/>
                    <w:bottom w:val="single" w:color="auto" w:sz="12" w:space="0"/>
                  </w:tcBorders>
                  <w:noWrap w:val="0"/>
                  <w:vAlign w:val="center"/>
                </w:tcPr>
                <w:p w14:paraId="58DB174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w:t>
                  </w:r>
                </w:p>
                <w:p w14:paraId="5BA0F7F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≈1.4</w:t>
                  </w:r>
                </w:p>
                <w:p w14:paraId="0190914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w:t>
                  </w:r>
                </w:p>
                <w:p w14:paraId="3BF3DEB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＞2.5</w:t>
                  </w:r>
                </w:p>
              </w:tc>
              <w:tc>
                <w:tcPr>
                  <w:tcW w:w="4000" w:type="dxa"/>
                  <w:tcBorders>
                    <w:bottom w:val="single" w:color="auto" w:sz="12" w:space="0"/>
                    <w:right w:val="nil"/>
                  </w:tcBorders>
                  <w:noWrap w:val="0"/>
                  <w:vAlign w:val="center"/>
                </w:tcPr>
                <w:p w14:paraId="31E139A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3</w:t>
                  </w:r>
                </w:p>
                <w:p w14:paraId="53FC0D8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w:t>
                  </w:r>
                </w:p>
                <w:p w14:paraId="6EC5605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w:t>
                  </w:r>
                </w:p>
                <w:p w14:paraId="6262156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w:t>
                  </w:r>
                </w:p>
              </w:tc>
            </w:tr>
          </w:tbl>
          <w:p w14:paraId="4EBFAD6F">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③面声源的几何发散衰减</w:t>
            </w:r>
          </w:p>
          <w:p w14:paraId="1A077DC3">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一个大型机器设备的振动表面，车间透声的墙壁，均可以认为是面声源。如果已知面声源单位面积的声功率为W，各面积元噪声的位相是随机的，面声源可看作由无数点声源连续分布组合而成，其合成声级可按能量叠加法求出。</w:t>
            </w:r>
          </w:p>
          <w:p w14:paraId="4C834373">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图</w:t>
            </w:r>
            <w:r>
              <w:rPr>
                <w:rFonts w:hint="eastAsia" w:ascii="Times New Roman" w:hAnsi="Times New Roman" w:eastAsia="宋体" w:cs="宋体"/>
                <w:color w:val="auto"/>
                <w:kern w:val="2"/>
                <w:sz w:val="24"/>
                <w:szCs w:val="24"/>
                <w:lang w:val="en-US" w:eastAsia="zh-CN" w:bidi="ar-SA"/>
              </w:rPr>
              <w:t>4.3-2</w:t>
            </w:r>
            <w:r>
              <w:rPr>
                <w:rFonts w:hint="default" w:ascii="Times New Roman" w:hAnsi="Times New Roman" w:eastAsia="宋体" w:cs="宋体"/>
                <w:color w:val="auto"/>
                <w:kern w:val="2"/>
                <w:sz w:val="24"/>
                <w:szCs w:val="24"/>
                <w:lang w:val="en-US" w:eastAsia="zh-CN" w:bidi="ar-SA"/>
              </w:rPr>
              <w:t>给出了长方形面声源中心轴线上的声衰减曲线。当预测点和面声源中心距离r处于以下条件时，可按下述方法近似计算：r&lt;a/π时，几乎不衰减</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Adiv≈0</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；当a/π&lt;r&lt;b/π，距离加倍衰减3dB</w:t>
            </w:r>
            <w:r>
              <w:rPr>
                <w:rFonts w:hint="eastAsia" w:ascii="Times New Roman" w:hAnsi="Times New Roman" w:eastAsia="宋体" w:cs="宋体"/>
                <w:color w:val="auto"/>
                <w:kern w:val="2"/>
                <w:sz w:val="24"/>
                <w:szCs w:val="24"/>
                <w:lang w:val="en-US" w:eastAsia="zh-CN" w:bidi="ar-SA"/>
              </w:rPr>
              <w:t>（A）</w:t>
            </w:r>
            <w:r>
              <w:rPr>
                <w:rFonts w:hint="default" w:ascii="Times New Roman" w:hAnsi="Times New Roman" w:eastAsia="宋体" w:cs="宋体"/>
                <w:color w:val="auto"/>
                <w:kern w:val="2"/>
                <w:sz w:val="24"/>
                <w:szCs w:val="24"/>
                <w:lang w:val="en-US" w:eastAsia="zh-CN" w:bidi="ar-SA"/>
              </w:rPr>
              <w:t>左右，类似线声源衰减特性</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Adiv≈10 lg</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r/r</w:t>
            </w:r>
            <w:r>
              <w:rPr>
                <w:rFonts w:hint="default" w:ascii="Times New Roman" w:hAnsi="Times New Roman" w:eastAsia="宋体" w:cs="宋体"/>
                <w:color w:val="auto"/>
                <w:kern w:val="2"/>
                <w:sz w:val="24"/>
                <w:szCs w:val="24"/>
                <w:vertAlign w:val="subscript"/>
                <w:lang w:val="en-US" w:eastAsia="zh-CN" w:bidi="ar-SA"/>
              </w:rPr>
              <w:t>0</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；当r&gt;b/π时，距离加倍衰减趋近于6dB</w:t>
            </w:r>
            <w:r>
              <w:rPr>
                <w:rFonts w:hint="eastAsia" w:ascii="Times New Roman" w:hAnsi="Times New Roman" w:eastAsia="宋体" w:cs="宋体"/>
                <w:color w:val="auto"/>
                <w:kern w:val="2"/>
                <w:sz w:val="24"/>
                <w:szCs w:val="24"/>
                <w:lang w:val="en-US" w:eastAsia="zh-CN" w:bidi="ar-SA"/>
              </w:rPr>
              <w:t>（A）</w:t>
            </w:r>
            <w:r>
              <w:rPr>
                <w:rFonts w:hint="default" w:ascii="Times New Roman" w:hAnsi="Times New Roman" w:eastAsia="宋体" w:cs="宋体"/>
                <w:color w:val="auto"/>
                <w:kern w:val="2"/>
                <w:sz w:val="24"/>
                <w:szCs w:val="24"/>
                <w:lang w:val="en-US" w:eastAsia="zh-CN" w:bidi="ar-SA"/>
              </w:rPr>
              <w:t>，类似点声源衰减特性</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Adiv≈20 lg</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r/r</w:t>
            </w:r>
            <w:r>
              <w:rPr>
                <w:rFonts w:hint="default" w:ascii="Times New Roman" w:hAnsi="Times New Roman" w:eastAsia="宋体" w:cs="宋体"/>
                <w:color w:val="auto"/>
                <w:kern w:val="2"/>
                <w:sz w:val="24"/>
                <w:szCs w:val="24"/>
                <w:vertAlign w:val="subscript"/>
                <w:lang w:val="en-US" w:eastAsia="zh-CN" w:bidi="ar-SA"/>
              </w:rPr>
              <w:t>0</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。其中面声源的b&gt;a。图中虚线为实际衰减量。</w:t>
            </w:r>
          </w:p>
          <w:p w14:paraId="6B108C10">
            <w:pPr>
              <w:widowControl w:val="0"/>
              <w:bidi w:val="0"/>
              <w:spacing w:line="240" w:lineRule="auto"/>
              <w:ind w:firstLine="0" w:firstLineChars="0"/>
              <w:jc w:val="center"/>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2850515" cy="2129790"/>
                  <wp:effectExtent l="0" t="0" r="0" b="0"/>
                  <wp:docPr id="5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8"/>
                          <pic:cNvPicPr>
                            <a:picLocks noChangeAspect="1"/>
                          </pic:cNvPicPr>
                        </pic:nvPicPr>
                        <pic:blipFill>
                          <a:blip r:embed="rId48"/>
                          <a:stretch>
                            <a:fillRect/>
                          </a:stretch>
                        </pic:blipFill>
                        <pic:spPr>
                          <a:xfrm>
                            <a:off x="0" y="0"/>
                            <a:ext cx="2850515" cy="2129790"/>
                          </a:xfrm>
                          <a:prstGeom prst="rect">
                            <a:avLst/>
                          </a:prstGeom>
                          <a:noFill/>
                          <a:ln>
                            <a:noFill/>
                          </a:ln>
                        </pic:spPr>
                      </pic:pic>
                    </a:graphicData>
                  </a:graphic>
                </wp:inline>
              </w:drawing>
            </w:r>
          </w:p>
          <w:p w14:paraId="7A5CA811">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default" w:ascii="Times New Roman" w:hAnsi="Times New Roman" w:eastAsia="宋体" w:cs="Times New Roman"/>
                <w:b/>
                <w:color w:val="auto"/>
                <w:kern w:val="0"/>
                <w:sz w:val="24"/>
                <w:szCs w:val="20"/>
                <w:lang w:val="en-US" w:eastAsia="zh-CN" w:bidi="ar-SA"/>
              </w:rPr>
              <w:t>图</w:t>
            </w:r>
            <w:r>
              <w:rPr>
                <w:rFonts w:hint="eastAsia" w:ascii="Times New Roman" w:hAnsi="Times New Roman" w:eastAsia="宋体" w:cs="Times New Roman"/>
                <w:b/>
                <w:color w:val="auto"/>
                <w:kern w:val="0"/>
                <w:sz w:val="24"/>
                <w:szCs w:val="20"/>
                <w:lang w:val="en-US" w:eastAsia="zh-CN" w:bidi="ar-SA"/>
              </w:rPr>
              <w:t>4.3</w:t>
            </w:r>
            <w:r>
              <w:rPr>
                <w:rFonts w:hint="default" w:ascii="Times New Roman" w:hAnsi="Times New Roman" w:eastAsia="宋体" w:cs="Times New Roman"/>
                <w:b/>
                <w:color w:val="auto"/>
                <w:kern w:val="0"/>
                <w:sz w:val="24"/>
                <w:szCs w:val="20"/>
                <w:lang w:val="en-US" w:eastAsia="zh-CN" w:bidi="ar-SA"/>
              </w:rPr>
              <w:t>-2</w:t>
            </w:r>
            <w:r>
              <w:rPr>
                <w:rFonts w:hint="eastAsia" w:ascii="Times New Roman" w:hAnsi="Times New Roman" w:eastAsia="宋体" w:cs="Times New Roman"/>
                <w:b/>
                <w:color w:val="auto"/>
                <w:kern w:val="0"/>
                <w:sz w:val="24"/>
                <w:szCs w:val="20"/>
                <w:lang w:val="en-US" w:eastAsia="zh-CN" w:bidi="ar-SA"/>
              </w:rPr>
              <w:t xml:space="preserve">  </w:t>
            </w:r>
            <w:r>
              <w:rPr>
                <w:rFonts w:hint="default" w:ascii="Times New Roman" w:hAnsi="Times New Roman" w:eastAsia="宋体" w:cs="Times New Roman"/>
                <w:b/>
                <w:color w:val="auto"/>
                <w:kern w:val="0"/>
                <w:sz w:val="24"/>
                <w:szCs w:val="20"/>
                <w:lang w:val="en-US" w:eastAsia="zh-CN" w:bidi="ar-SA"/>
              </w:rPr>
              <w:t>长方形面声源中心轴线上的衰减特性</w:t>
            </w:r>
          </w:p>
          <w:p w14:paraId="5528E24B">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④空气吸收引起的衰减（Aatm）</w:t>
            </w:r>
          </w:p>
          <w:p w14:paraId="0602024B">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空气吸收引起的衰减按公式（8）计算：</w:t>
            </w:r>
          </w:p>
          <w:p w14:paraId="2CD74E16">
            <w:pPr>
              <w:widowControl w:val="0"/>
              <w:bidi w:val="0"/>
              <w:spacing w:line="360" w:lineRule="auto"/>
              <w:ind w:firstLine="480" w:firstLineChars="200"/>
              <w:jc w:val="right"/>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1285240" cy="457835"/>
                  <wp:effectExtent l="0" t="0" r="0" b="0"/>
                  <wp:docPr id="5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6"/>
                          <pic:cNvPicPr>
                            <a:picLocks noChangeAspect="1"/>
                          </pic:cNvPicPr>
                        </pic:nvPicPr>
                        <pic:blipFill>
                          <a:blip r:embed="rId49"/>
                          <a:stretch>
                            <a:fillRect/>
                          </a:stretch>
                        </pic:blipFill>
                        <pic:spPr>
                          <a:xfrm>
                            <a:off x="0" y="0"/>
                            <a:ext cx="1285240" cy="457835"/>
                          </a:xfrm>
                          <a:prstGeom prst="rect">
                            <a:avLst/>
                          </a:prstGeom>
                          <a:noFill/>
                          <a:ln>
                            <a:noFill/>
                          </a:ln>
                        </pic:spPr>
                      </pic:pic>
                    </a:graphicData>
                  </a:graphic>
                </wp:inline>
              </w:drawing>
            </w:r>
            <w:r>
              <w:rPr>
                <w:rFonts w:hint="eastAsia" w:ascii="Times New Roman" w:hAnsi="Times New Roman" w:eastAsia="宋体" w:cs="宋体"/>
                <w:color w:val="auto"/>
                <w:kern w:val="2"/>
                <w:sz w:val="24"/>
                <w:szCs w:val="24"/>
                <w:lang w:val="en-US" w:eastAsia="zh-CN" w:bidi="ar-SA"/>
              </w:rPr>
              <w:t xml:space="preserve">                    </w:t>
            </w:r>
            <w:r>
              <w:rPr>
                <w:rFonts w:hint="eastAsia"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8</w:t>
            </w:r>
            <w:r>
              <w:rPr>
                <w:rFonts w:hint="eastAsia" w:cs="宋体"/>
                <w:color w:val="auto"/>
                <w:kern w:val="2"/>
                <w:sz w:val="24"/>
                <w:szCs w:val="24"/>
                <w:lang w:val="en-US" w:eastAsia="zh-CN" w:bidi="ar-SA"/>
              </w:rPr>
              <w:t>)</w:t>
            </w:r>
          </w:p>
          <w:p w14:paraId="1BA2039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式中：a为温度、湿度和声波频率的函数，预测计算中一般根据建设项目所处区域常年平均气温和湿度选择相应的空气吸收系数，见表</w:t>
            </w:r>
            <w:r>
              <w:rPr>
                <w:rFonts w:hint="eastAsia" w:ascii="Times New Roman" w:hAnsi="Times New Roman" w:eastAsia="宋体" w:cs="宋体"/>
                <w:color w:val="auto"/>
                <w:kern w:val="2"/>
                <w:sz w:val="24"/>
                <w:szCs w:val="24"/>
                <w:lang w:val="en-US" w:eastAsia="zh-CN" w:bidi="ar-SA"/>
              </w:rPr>
              <w:t>4.3</w:t>
            </w:r>
            <w:r>
              <w:rPr>
                <w:rFonts w:hint="default" w:ascii="Times New Roman" w:hAnsi="Times New Roman" w:eastAsia="宋体" w:cs="宋体"/>
                <w:color w:val="auto"/>
                <w:kern w:val="2"/>
                <w:sz w:val="24"/>
                <w:szCs w:val="24"/>
                <w:lang w:val="en-US" w:eastAsia="zh-CN" w:bidi="ar-SA"/>
              </w:rPr>
              <w:t>-3。</w:t>
            </w:r>
          </w:p>
          <w:p w14:paraId="6FF9A723">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default" w:ascii="Times New Roman" w:hAnsi="Times New Roman" w:eastAsia="宋体" w:cs="Times New Roman"/>
                <w:b/>
                <w:color w:val="auto"/>
                <w:kern w:val="0"/>
                <w:sz w:val="24"/>
                <w:szCs w:val="20"/>
                <w:lang w:val="en-US" w:eastAsia="zh-CN" w:bidi="ar-SA"/>
              </w:rPr>
              <w:t>表</w:t>
            </w:r>
            <w:r>
              <w:rPr>
                <w:rFonts w:hint="eastAsia" w:ascii="Times New Roman" w:hAnsi="Times New Roman" w:eastAsia="宋体" w:cs="Times New Roman"/>
                <w:b/>
                <w:color w:val="auto"/>
                <w:kern w:val="0"/>
                <w:sz w:val="24"/>
                <w:szCs w:val="20"/>
                <w:lang w:val="en-US" w:eastAsia="zh-CN" w:bidi="ar-SA"/>
              </w:rPr>
              <w:t>4.3</w:t>
            </w:r>
            <w:r>
              <w:rPr>
                <w:rFonts w:hint="default" w:ascii="Times New Roman" w:hAnsi="Times New Roman" w:eastAsia="宋体" w:cs="Times New Roman"/>
                <w:b/>
                <w:color w:val="auto"/>
                <w:kern w:val="0"/>
                <w:sz w:val="24"/>
                <w:szCs w:val="20"/>
                <w:lang w:val="en-US" w:eastAsia="zh-CN" w:bidi="ar-SA"/>
              </w:rPr>
              <w:t>-3</w:t>
            </w:r>
            <w:r>
              <w:rPr>
                <w:rFonts w:hint="eastAsia" w:ascii="Times New Roman" w:hAnsi="Times New Roman" w:eastAsia="宋体" w:cs="Times New Roman"/>
                <w:b/>
                <w:color w:val="auto"/>
                <w:kern w:val="0"/>
                <w:sz w:val="24"/>
                <w:szCs w:val="20"/>
                <w:lang w:val="en-US" w:eastAsia="zh-CN" w:bidi="ar-SA"/>
              </w:rPr>
              <w:t xml:space="preserve">  </w:t>
            </w:r>
            <w:r>
              <w:rPr>
                <w:rFonts w:hint="default" w:ascii="Times New Roman" w:hAnsi="Times New Roman" w:eastAsia="宋体" w:cs="Times New Roman"/>
                <w:b/>
                <w:color w:val="auto"/>
                <w:kern w:val="0"/>
                <w:sz w:val="24"/>
                <w:szCs w:val="20"/>
                <w:lang w:val="en-US" w:eastAsia="zh-CN" w:bidi="ar-SA"/>
              </w:rPr>
              <w:t>倍频带噪声的大气吸收衰减系数</w:t>
            </w:r>
          </w:p>
          <w:tbl>
            <w:tblPr>
              <w:tblStyle w:val="1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902"/>
              <w:gridCol w:w="752"/>
              <w:gridCol w:w="761"/>
              <w:gridCol w:w="761"/>
              <w:gridCol w:w="761"/>
              <w:gridCol w:w="786"/>
              <w:gridCol w:w="786"/>
              <w:gridCol w:w="786"/>
              <w:gridCol w:w="809"/>
            </w:tblGrid>
            <w:tr w14:paraId="52BC1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vMerge w:val="restart"/>
                  <w:tcBorders>
                    <w:top w:val="single" w:color="auto" w:sz="12" w:space="0"/>
                  </w:tcBorders>
                  <w:noWrap w:val="0"/>
                  <w:vAlign w:val="center"/>
                </w:tcPr>
                <w:p w14:paraId="5DCED36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温度℃</w:t>
                  </w:r>
                </w:p>
              </w:tc>
              <w:tc>
                <w:tcPr>
                  <w:tcW w:w="568" w:type="pct"/>
                  <w:vMerge w:val="restart"/>
                  <w:tcBorders>
                    <w:top w:val="single" w:color="auto" w:sz="12" w:space="0"/>
                  </w:tcBorders>
                  <w:noWrap w:val="0"/>
                  <w:vAlign w:val="center"/>
                </w:tcPr>
                <w:p w14:paraId="006F8DB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相对</w:t>
                  </w:r>
                </w:p>
                <w:p w14:paraId="30C9990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湿度</w:t>
                  </w:r>
                  <w:r>
                    <w:rPr>
                      <w:rFonts w:hint="eastAsia" w:ascii="Times New Roman" w:hAnsi="Times New Roman" w:eastAsia="宋体" w:cs="Times New Roman"/>
                      <w:b/>
                      <w:bCs/>
                      <w:color w:val="auto"/>
                      <w:kern w:val="0"/>
                      <w:sz w:val="21"/>
                      <w:szCs w:val="20"/>
                      <w:lang w:val="en-US" w:eastAsia="zh-CN" w:bidi="ar-SA"/>
                    </w:rPr>
                    <w:t>%</w:t>
                  </w:r>
                </w:p>
              </w:tc>
              <w:tc>
                <w:tcPr>
                  <w:tcW w:w="3908" w:type="pct"/>
                  <w:gridSpan w:val="8"/>
                  <w:tcBorders>
                    <w:top w:val="single" w:color="auto" w:sz="12" w:space="0"/>
                    <w:right w:val="nil"/>
                  </w:tcBorders>
                  <w:noWrap w:val="0"/>
                  <w:vAlign w:val="center"/>
                </w:tcPr>
                <w:p w14:paraId="344B899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大气吸收衰减系数a，dB/km</w:t>
                  </w:r>
                </w:p>
              </w:tc>
            </w:tr>
            <w:tr w14:paraId="0C183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vMerge w:val="continue"/>
                  <w:tcBorders>
                    <w:left w:val="nil"/>
                  </w:tcBorders>
                  <w:noWrap w:val="0"/>
                  <w:vAlign w:val="center"/>
                </w:tcPr>
                <w:p w14:paraId="1E25D91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p>
              </w:tc>
              <w:tc>
                <w:tcPr>
                  <w:tcW w:w="568" w:type="pct"/>
                  <w:vMerge w:val="continue"/>
                  <w:noWrap w:val="0"/>
                  <w:vAlign w:val="center"/>
                </w:tcPr>
                <w:p w14:paraId="791485E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p>
              </w:tc>
              <w:tc>
                <w:tcPr>
                  <w:tcW w:w="3908" w:type="pct"/>
                  <w:gridSpan w:val="8"/>
                  <w:tcBorders>
                    <w:right w:val="nil"/>
                  </w:tcBorders>
                  <w:noWrap w:val="0"/>
                  <w:vAlign w:val="center"/>
                </w:tcPr>
                <w:p w14:paraId="424866F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倍频带中心频率Hz</w:t>
                  </w:r>
                </w:p>
              </w:tc>
            </w:tr>
            <w:tr w14:paraId="6B237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vMerge w:val="continue"/>
                  <w:tcBorders>
                    <w:left w:val="nil"/>
                  </w:tcBorders>
                  <w:noWrap w:val="0"/>
                  <w:vAlign w:val="center"/>
                </w:tcPr>
                <w:p w14:paraId="56CCB76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p>
              </w:tc>
              <w:tc>
                <w:tcPr>
                  <w:tcW w:w="568" w:type="pct"/>
                  <w:vMerge w:val="continue"/>
                  <w:noWrap w:val="0"/>
                  <w:vAlign w:val="center"/>
                </w:tcPr>
                <w:p w14:paraId="02E247F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p>
              </w:tc>
              <w:tc>
                <w:tcPr>
                  <w:tcW w:w="474" w:type="pct"/>
                  <w:noWrap w:val="0"/>
                  <w:vAlign w:val="center"/>
                </w:tcPr>
                <w:p w14:paraId="2D383E7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63</w:t>
                  </w:r>
                </w:p>
              </w:tc>
              <w:tc>
                <w:tcPr>
                  <w:tcW w:w="480" w:type="pct"/>
                  <w:noWrap w:val="0"/>
                  <w:vAlign w:val="center"/>
                </w:tcPr>
                <w:p w14:paraId="732C3D5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125</w:t>
                  </w:r>
                </w:p>
              </w:tc>
              <w:tc>
                <w:tcPr>
                  <w:tcW w:w="480" w:type="pct"/>
                  <w:noWrap w:val="0"/>
                  <w:vAlign w:val="center"/>
                </w:tcPr>
                <w:p w14:paraId="5C4661A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250</w:t>
                  </w:r>
                </w:p>
              </w:tc>
              <w:tc>
                <w:tcPr>
                  <w:tcW w:w="480" w:type="pct"/>
                  <w:noWrap w:val="0"/>
                  <w:vAlign w:val="center"/>
                </w:tcPr>
                <w:p w14:paraId="795B61D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500</w:t>
                  </w:r>
                </w:p>
              </w:tc>
              <w:tc>
                <w:tcPr>
                  <w:tcW w:w="495" w:type="pct"/>
                  <w:noWrap w:val="0"/>
                  <w:vAlign w:val="center"/>
                </w:tcPr>
                <w:p w14:paraId="5018973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1000</w:t>
                  </w:r>
                </w:p>
              </w:tc>
              <w:tc>
                <w:tcPr>
                  <w:tcW w:w="495" w:type="pct"/>
                  <w:noWrap w:val="0"/>
                  <w:vAlign w:val="center"/>
                </w:tcPr>
                <w:p w14:paraId="258AE64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2000</w:t>
                  </w:r>
                </w:p>
              </w:tc>
              <w:tc>
                <w:tcPr>
                  <w:tcW w:w="495" w:type="pct"/>
                  <w:noWrap w:val="0"/>
                  <w:vAlign w:val="center"/>
                </w:tcPr>
                <w:p w14:paraId="2CA078C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4000</w:t>
                  </w:r>
                </w:p>
              </w:tc>
              <w:tc>
                <w:tcPr>
                  <w:tcW w:w="505" w:type="pct"/>
                  <w:tcBorders>
                    <w:right w:val="nil"/>
                  </w:tcBorders>
                  <w:noWrap w:val="0"/>
                  <w:vAlign w:val="center"/>
                </w:tcPr>
                <w:p w14:paraId="408F138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8000</w:t>
                  </w:r>
                </w:p>
              </w:tc>
            </w:tr>
            <w:tr w14:paraId="0F69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tcBorders>
                    <w:left w:val="nil"/>
                  </w:tcBorders>
                  <w:noWrap w:val="0"/>
                  <w:vAlign w:val="center"/>
                </w:tcPr>
                <w:p w14:paraId="6D030E2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10</w:t>
                  </w:r>
                </w:p>
              </w:tc>
              <w:tc>
                <w:tcPr>
                  <w:tcW w:w="568" w:type="pct"/>
                  <w:noWrap w:val="0"/>
                  <w:vAlign w:val="center"/>
                </w:tcPr>
                <w:p w14:paraId="2DA98C3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70</w:t>
                  </w:r>
                </w:p>
              </w:tc>
              <w:tc>
                <w:tcPr>
                  <w:tcW w:w="474" w:type="pct"/>
                  <w:noWrap w:val="0"/>
                  <w:vAlign w:val="center"/>
                </w:tcPr>
                <w:p w14:paraId="093CB99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0.1</w:t>
                  </w:r>
                </w:p>
              </w:tc>
              <w:tc>
                <w:tcPr>
                  <w:tcW w:w="480" w:type="pct"/>
                  <w:noWrap w:val="0"/>
                  <w:vAlign w:val="center"/>
                </w:tcPr>
                <w:p w14:paraId="049242A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0.4</w:t>
                  </w:r>
                </w:p>
              </w:tc>
              <w:tc>
                <w:tcPr>
                  <w:tcW w:w="480" w:type="pct"/>
                  <w:noWrap w:val="0"/>
                  <w:vAlign w:val="center"/>
                </w:tcPr>
                <w:p w14:paraId="0CB514B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1.0</w:t>
                  </w:r>
                </w:p>
              </w:tc>
              <w:tc>
                <w:tcPr>
                  <w:tcW w:w="480" w:type="pct"/>
                  <w:noWrap w:val="0"/>
                  <w:vAlign w:val="center"/>
                </w:tcPr>
                <w:p w14:paraId="46FF3A9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1.9</w:t>
                  </w:r>
                </w:p>
              </w:tc>
              <w:tc>
                <w:tcPr>
                  <w:tcW w:w="495" w:type="pct"/>
                  <w:noWrap w:val="0"/>
                  <w:vAlign w:val="center"/>
                </w:tcPr>
                <w:p w14:paraId="39EA4E9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3.7</w:t>
                  </w:r>
                </w:p>
              </w:tc>
              <w:tc>
                <w:tcPr>
                  <w:tcW w:w="495" w:type="pct"/>
                  <w:noWrap w:val="0"/>
                  <w:vAlign w:val="center"/>
                </w:tcPr>
                <w:p w14:paraId="59192E4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9.7</w:t>
                  </w:r>
                </w:p>
              </w:tc>
              <w:tc>
                <w:tcPr>
                  <w:tcW w:w="495" w:type="pct"/>
                  <w:noWrap w:val="0"/>
                  <w:vAlign w:val="center"/>
                </w:tcPr>
                <w:p w14:paraId="6057A32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32.8</w:t>
                  </w:r>
                </w:p>
              </w:tc>
              <w:tc>
                <w:tcPr>
                  <w:tcW w:w="505" w:type="pct"/>
                  <w:tcBorders>
                    <w:right w:val="nil"/>
                  </w:tcBorders>
                  <w:noWrap w:val="0"/>
                  <w:vAlign w:val="center"/>
                </w:tcPr>
                <w:p w14:paraId="28BC57C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117.0</w:t>
                  </w:r>
                </w:p>
              </w:tc>
            </w:tr>
            <w:tr w14:paraId="1CFAE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tcBorders>
                    <w:left w:val="nil"/>
                  </w:tcBorders>
                  <w:noWrap w:val="0"/>
                  <w:vAlign w:val="center"/>
                </w:tcPr>
                <w:p w14:paraId="311FFB8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20</w:t>
                  </w:r>
                </w:p>
              </w:tc>
              <w:tc>
                <w:tcPr>
                  <w:tcW w:w="568" w:type="pct"/>
                  <w:noWrap w:val="0"/>
                  <w:vAlign w:val="center"/>
                </w:tcPr>
                <w:p w14:paraId="7AC87B6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70</w:t>
                  </w:r>
                </w:p>
              </w:tc>
              <w:tc>
                <w:tcPr>
                  <w:tcW w:w="474" w:type="pct"/>
                  <w:noWrap w:val="0"/>
                  <w:vAlign w:val="center"/>
                </w:tcPr>
                <w:p w14:paraId="7A5A357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0.1</w:t>
                  </w:r>
                </w:p>
              </w:tc>
              <w:tc>
                <w:tcPr>
                  <w:tcW w:w="480" w:type="pct"/>
                  <w:noWrap w:val="0"/>
                  <w:vAlign w:val="center"/>
                </w:tcPr>
                <w:p w14:paraId="353631A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0.3</w:t>
                  </w:r>
                </w:p>
              </w:tc>
              <w:tc>
                <w:tcPr>
                  <w:tcW w:w="480" w:type="pct"/>
                  <w:noWrap w:val="0"/>
                  <w:vAlign w:val="center"/>
                </w:tcPr>
                <w:p w14:paraId="5B46259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1.1</w:t>
                  </w:r>
                </w:p>
              </w:tc>
              <w:tc>
                <w:tcPr>
                  <w:tcW w:w="480" w:type="pct"/>
                  <w:noWrap w:val="0"/>
                  <w:vAlign w:val="center"/>
                </w:tcPr>
                <w:p w14:paraId="100430B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2.8</w:t>
                  </w:r>
                </w:p>
              </w:tc>
              <w:tc>
                <w:tcPr>
                  <w:tcW w:w="495" w:type="pct"/>
                  <w:noWrap w:val="0"/>
                  <w:vAlign w:val="center"/>
                </w:tcPr>
                <w:p w14:paraId="3FA506E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5.0</w:t>
                  </w:r>
                </w:p>
              </w:tc>
              <w:tc>
                <w:tcPr>
                  <w:tcW w:w="495" w:type="pct"/>
                  <w:noWrap w:val="0"/>
                  <w:vAlign w:val="center"/>
                </w:tcPr>
                <w:p w14:paraId="239FF64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9.0</w:t>
                  </w:r>
                </w:p>
              </w:tc>
              <w:tc>
                <w:tcPr>
                  <w:tcW w:w="495" w:type="pct"/>
                  <w:noWrap w:val="0"/>
                  <w:vAlign w:val="center"/>
                </w:tcPr>
                <w:p w14:paraId="361383C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22.9</w:t>
                  </w:r>
                </w:p>
              </w:tc>
              <w:tc>
                <w:tcPr>
                  <w:tcW w:w="505" w:type="pct"/>
                  <w:tcBorders>
                    <w:right w:val="nil"/>
                  </w:tcBorders>
                  <w:noWrap w:val="0"/>
                  <w:vAlign w:val="center"/>
                </w:tcPr>
                <w:p w14:paraId="1F18F07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76.6</w:t>
                  </w:r>
                </w:p>
              </w:tc>
            </w:tr>
            <w:tr w14:paraId="3CDDD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tcBorders>
                    <w:left w:val="nil"/>
                  </w:tcBorders>
                  <w:noWrap w:val="0"/>
                  <w:vAlign w:val="center"/>
                </w:tcPr>
                <w:p w14:paraId="0A9BB33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30</w:t>
                  </w:r>
                </w:p>
              </w:tc>
              <w:tc>
                <w:tcPr>
                  <w:tcW w:w="568" w:type="pct"/>
                  <w:noWrap w:val="0"/>
                  <w:vAlign w:val="center"/>
                </w:tcPr>
                <w:p w14:paraId="09953A6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70</w:t>
                  </w:r>
                </w:p>
              </w:tc>
              <w:tc>
                <w:tcPr>
                  <w:tcW w:w="474" w:type="pct"/>
                  <w:noWrap w:val="0"/>
                  <w:vAlign w:val="center"/>
                </w:tcPr>
                <w:p w14:paraId="1D9A0EC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0.1</w:t>
                  </w:r>
                </w:p>
              </w:tc>
              <w:tc>
                <w:tcPr>
                  <w:tcW w:w="480" w:type="pct"/>
                  <w:noWrap w:val="0"/>
                  <w:vAlign w:val="center"/>
                </w:tcPr>
                <w:p w14:paraId="2F2B43A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0.3</w:t>
                  </w:r>
                </w:p>
              </w:tc>
              <w:tc>
                <w:tcPr>
                  <w:tcW w:w="480" w:type="pct"/>
                  <w:noWrap w:val="0"/>
                  <w:vAlign w:val="center"/>
                </w:tcPr>
                <w:p w14:paraId="222BCFA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1.0</w:t>
                  </w:r>
                </w:p>
              </w:tc>
              <w:tc>
                <w:tcPr>
                  <w:tcW w:w="480" w:type="pct"/>
                  <w:noWrap w:val="0"/>
                  <w:vAlign w:val="center"/>
                </w:tcPr>
                <w:p w14:paraId="6F53309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3.1</w:t>
                  </w:r>
                </w:p>
              </w:tc>
              <w:tc>
                <w:tcPr>
                  <w:tcW w:w="495" w:type="pct"/>
                  <w:noWrap w:val="0"/>
                  <w:vAlign w:val="center"/>
                </w:tcPr>
                <w:p w14:paraId="798ECC5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7.4</w:t>
                  </w:r>
                </w:p>
              </w:tc>
              <w:tc>
                <w:tcPr>
                  <w:tcW w:w="495" w:type="pct"/>
                  <w:noWrap w:val="0"/>
                  <w:vAlign w:val="center"/>
                </w:tcPr>
                <w:p w14:paraId="75100EF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12.7</w:t>
                  </w:r>
                </w:p>
              </w:tc>
              <w:tc>
                <w:tcPr>
                  <w:tcW w:w="495" w:type="pct"/>
                  <w:noWrap w:val="0"/>
                  <w:vAlign w:val="center"/>
                </w:tcPr>
                <w:p w14:paraId="5BEDF7A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23.1</w:t>
                  </w:r>
                </w:p>
              </w:tc>
              <w:tc>
                <w:tcPr>
                  <w:tcW w:w="505" w:type="pct"/>
                  <w:tcBorders>
                    <w:right w:val="nil"/>
                  </w:tcBorders>
                  <w:noWrap w:val="0"/>
                  <w:vAlign w:val="center"/>
                </w:tcPr>
                <w:p w14:paraId="72CBEB1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59.3</w:t>
                  </w:r>
                </w:p>
              </w:tc>
            </w:tr>
            <w:tr w14:paraId="0CEC3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tcBorders>
                    <w:left w:val="nil"/>
                  </w:tcBorders>
                  <w:noWrap w:val="0"/>
                  <w:vAlign w:val="center"/>
                </w:tcPr>
                <w:p w14:paraId="0ED0EDA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15</w:t>
                  </w:r>
                </w:p>
              </w:tc>
              <w:tc>
                <w:tcPr>
                  <w:tcW w:w="568" w:type="pct"/>
                  <w:noWrap w:val="0"/>
                  <w:vAlign w:val="center"/>
                </w:tcPr>
                <w:p w14:paraId="31ED4A5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20</w:t>
                  </w:r>
                </w:p>
              </w:tc>
              <w:tc>
                <w:tcPr>
                  <w:tcW w:w="474" w:type="pct"/>
                  <w:noWrap w:val="0"/>
                  <w:vAlign w:val="center"/>
                </w:tcPr>
                <w:p w14:paraId="132EB66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0.3</w:t>
                  </w:r>
                </w:p>
              </w:tc>
              <w:tc>
                <w:tcPr>
                  <w:tcW w:w="480" w:type="pct"/>
                  <w:noWrap w:val="0"/>
                  <w:vAlign w:val="center"/>
                </w:tcPr>
                <w:p w14:paraId="38BB5BB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0.6</w:t>
                  </w:r>
                </w:p>
              </w:tc>
              <w:tc>
                <w:tcPr>
                  <w:tcW w:w="480" w:type="pct"/>
                  <w:noWrap w:val="0"/>
                  <w:vAlign w:val="center"/>
                </w:tcPr>
                <w:p w14:paraId="455DB67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1.2</w:t>
                  </w:r>
                </w:p>
              </w:tc>
              <w:tc>
                <w:tcPr>
                  <w:tcW w:w="480" w:type="pct"/>
                  <w:noWrap w:val="0"/>
                  <w:vAlign w:val="center"/>
                </w:tcPr>
                <w:p w14:paraId="085BFF6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2.7</w:t>
                  </w:r>
                </w:p>
              </w:tc>
              <w:tc>
                <w:tcPr>
                  <w:tcW w:w="495" w:type="pct"/>
                  <w:noWrap w:val="0"/>
                  <w:vAlign w:val="center"/>
                </w:tcPr>
                <w:p w14:paraId="1C20B1A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8.2</w:t>
                  </w:r>
                </w:p>
              </w:tc>
              <w:tc>
                <w:tcPr>
                  <w:tcW w:w="495" w:type="pct"/>
                  <w:noWrap w:val="0"/>
                  <w:vAlign w:val="center"/>
                </w:tcPr>
                <w:p w14:paraId="098B816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28.2</w:t>
                  </w:r>
                </w:p>
              </w:tc>
              <w:tc>
                <w:tcPr>
                  <w:tcW w:w="495" w:type="pct"/>
                  <w:noWrap w:val="0"/>
                  <w:vAlign w:val="center"/>
                </w:tcPr>
                <w:p w14:paraId="165F887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28.8</w:t>
                  </w:r>
                </w:p>
              </w:tc>
              <w:tc>
                <w:tcPr>
                  <w:tcW w:w="505" w:type="pct"/>
                  <w:tcBorders>
                    <w:right w:val="nil"/>
                  </w:tcBorders>
                  <w:noWrap w:val="0"/>
                  <w:vAlign w:val="center"/>
                </w:tcPr>
                <w:p w14:paraId="28C3CA5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202.0</w:t>
                  </w:r>
                </w:p>
              </w:tc>
            </w:tr>
            <w:tr w14:paraId="70A49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tcBorders>
                    <w:left w:val="nil"/>
                  </w:tcBorders>
                  <w:noWrap w:val="0"/>
                  <w:vAlign w:val="center"/>
                </w:tcPr>
                <w:p w14:paraId="0DAEE03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15</w:t>
                  </w:r>
                </w:p>
              </w:tc>
              <w:tc>
                <w:tcPr>
                  <w:tcW w:w="568" w:type="pct"/>
                  <w:noWrap w:val="0"/>
                  <w:vAlign w:val="center"/>
                </w:tcPr>
                <w:p w14:paraId="53FCF0D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50</w:t>
                  </w:r>
                </w:p>
              </w:tc>
              <w:tc>
                <w:tcPr>
                  <w:tcW w:w="474" w:type="pct"/>
                  <w:noWrap w:val="0"/>
                  <w:vAlign w:val="center"/>
                </w:tcPr>
                <w:p w14:paraId="740323B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0.1</w:t>
                  </w:r>
                </w:p>
              </w:tc>
              <w:tc>
                <w:tcPr>
                  <w:tcW w:w="480" w:type="pct"/>
                  <w:noWrap w:val="0"/>
                  <w:vAlign w:val="center"/>
                </w:tcPr>
                <w:p w14:paraId="2A39263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0.5</w:t>
                  </w:r>
                </w:p>
              </w:tc>
              <w:tc>
                <w:tcPr>
                  <w:tcW w:w="480" w:type="pct"/>
                  <w:noWrap w:val="0"/>
                  <w:vAlign w:val="center"/>
                </w:tcPr>
                <w:p w14:paraId="6A4898F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1.2</w:t>
                  </w:r>
                </w:p>
              </w:tc>
              <w:tc>
                <w:tcPr>
                  <w:tcW w:w="480" w:type="pct"/>
                  <w:noWrap w:val="0"/>
                  <w:vAlign w:val="center"/>
                </w:tcPr>
                <w:p w14:paraId="436652B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2.2</w:t>
                  </w:r>
                </w:p>
              </w:tc>
              <w:tc>
                <w:tcPr>
                  <w:tcW w:w="495" w:type="pct"/>
                  <w:noWrap w:val="0"/>
                  <w:vAlign w:val="center"/>
                </w:tcPr>
                <w:p w14:paraId="1BABDF3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4.2</w:t>
                  </w:r>
                </w:p>
              </w:tc>
              <w:tc>
                <w:tcPr>
                  <w:tcW w:w="495" w:type="pct"/>
                  <w:noWrap w:val="0"/>
                  <w:vAlign w:val="center"/>
                </w:tcPr>
                <w:p w14:paraId="34B8356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10.8</w:t>
                  </w:r>
                </w:p>
              </w:tc>
              <w:tc>
                <w:tcPr>
                  <w:tcW w:w="495" w:type="pct"/>
                  <w:noWrap w:val="0"/>
                  <w:vAlign w:val="center"/>
                </w:tcPr>
                <w:p w14:paraId="49EE928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36.2</w:t>
                  </w:r>
                </w:p>
              </w:tc>
              <w:tc>
                <w:tcPr>
                  <w:tcW w:w="505" w:type="pct"/>
                  <w:tcBorders>
                    <w:right w:val="nil"/>
                  </w:tcBorders>
                  <w:noWrap w:val="0"/>
                  <w:vAlign w:val="center"/>
                </w:tcPr>
                <w:p w14:paraId="53EA9BA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129.0</w:t>
                  </w:r>
                </w:p>
              </w:tc>
            </w:tr>
            <w:tr w14:paraId="6C101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tcBorders>
                    <w:left w:val="nil"/>
                    <w:bottom w:val="single" w:color="auto" w:sz="12" w:space="0"/>
                  </w:tcBorders>
                  <w:noWrap w:val="0"/>
                  <w:vAlign w:val="center"/>
                </w:tcPr>
                <w:p w14:paraId="5153F07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15</w:t>
                  </w:r>
                </w:p>
              </w:tc>
              <w:tc>
                <w:tcPr>
                  <w:tcW w:w="568" w:type="pct"/>
                  <w:tcBorders>
                    <w:bottom w:val="single" w:color="auto" w:sz="12" w:space="0"/>
                  </w:tcBorders>
                  <w:noWrap w:val="0"/>
                  <w:vAlign w:val="center"/>
                </w:tcPr>
                <w:p w14:paraId="10C2F27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80</w:t>
                  </w:r>
                </w:p>
              </w:tc>
              <w:tc>
                <w:tcPr>
                  <w:tcW w:w="474" w:type="pct"/>
                  <w:tcBorders>
                    <w:bottom w:val="single" w:color="auto" w:sz="12" w:space="0"/>
                  </w:tcBorders>
                  <w:noWrap w:val="0"/>
                  <w:vAlign w:val="center"/>
                </w:tcPr>
                <w:p w14:paraId="5BD68D2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0.1</w:t>
                  </w:r>
                </w:p>
              </w:tc>
              <w:tc>
                <w:tcPr>
                  <w:tcW w:w="480" w:type="pct"/>
                  <w:tcBorders>
                    <w:bottom w:val="single" w:color="auto" w:sz="12" w:space="0"/>
                  </w:tcBorders>
                  <w:noWrap w:val="0"/>
                  <w:vAlign w:val="center"/>
                </w:tcPr>
                <w:p w14:paraId="6573D24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0.3</w:t>
                  </w:r>
                </w:p>
              </w:tc>
              <w:tc>
                <w:tcPr>
                  <w:tcW w:w="480" w:type="pct"/>
                  <w:tcBorders>
                    <w:bottom w:val="single" w:color="auto" w:sz="12" w:space="0"/>
                  </w:tcBorders>
                  <w:noWrap w:val="0"/>
                  <w:vAlign w:val="center"/>
                </w:tcPr>
                <w:p w14:paraId="0916466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1.1</w:t>
                  </w:r>
                </w:p>
              </w:tc>
              <w:tc>
                <w:tcPr>
                  <w:tcW w:w="480" w:type="pct"/>
                  <w:tcBorders>
                    <w:bottom w:val="single" w:color="auto" w:sz="12" w:space="0"/>
                  </w:tcBorders>
                  <w:noWrap w:val="0"/>
                  <w:vAlign w:val="center"/>
                </w:tcPr>
                <w:p w14:paraId="48DA0A1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2.4</w:t>
                  </w:r>
                </w:p>
              </w:tc>
              <w:tc>
                <w:tcPr>
                  <w:tcW w:w="495" w:type="pct"/>
                  <w:tcBorders>
                    <w:bottom w:val="single" w:color="auto" w:sz="12" w:space="0"/>
                  </w:tcBorders>
                  <w:noWrap w:val="0"/>
                  <w:vAlign w:val="center"/>
                </w:tcPr>
                <w:p w14:paraId="3B9650D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4.1</w:t>
                  </w:r>
                </w:p>
              </w:tc>
              <w:tc>
                <w:tcPr>
                  <w:tcW w:w="495" w:type="pct"/>
                  <w:tcBorders>
                    <w:bottom w:val="single" w:color="auto" w:sz="12" w:space="0"/>
                  </w:tcBorders>
                  <w:noWrap w:val="0"/>
                  <w:vAlign w:val="center"/>
                </w:tcPr>
                <w:p w14:paraId="7A673D4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8.3</w:t>
                  </w:r>
                </w:p>
              </w:tc>
              <w:tc>
                <w:tcPr>
                  <w:tcW w:w="495" w:type="pct"/>
                  <w:tcBorders>
                    <w:bottom w:val="single" w:color="auto" w:sz="12" w:space="0"/>
                  </w:tcBorders>
                  <w:noWrap w:val="0"/>
                  <w:vAlign w:val="center"/>
                </w:tcPr>
                <w:p w14:paraId="64DD12E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23.7</w:t>
                  </w:r>
                </w:p>
              </w:tc>
              <w:tc>
                <w:tcPr>
                  <w:tcW w:w="505" w:type="pct"/>
                  <w:tcBorders>
                    <w:bottom w:val="single" w:color="auto" w:sz="12" w:space="0"/>
                    <w:right w:val="nil"/>
                  </w:tcBorders>
                  <w:noWrap w:val="0"/>
                  <w:vAlign w:val="center"/>
                </w:tcPr>
                <w:p w14:paraId="3B7ADBF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82.8</w:t>
                  </w:r>
                </w:p>
              </w:tc>
            </w:tr>
          </w:tbl>
          <w:p w14:paraId="08B2FE3E">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⑤屏障引起的衰减（Abar）</w:t>
            </w:r>
          </w:p>
          <w:p w14:paraId="5FE7F74C">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位于声源和预测点之间的实体障碍物，如围墙、建筑物、土坡或地堑等起声屏障作用，从而引起声能量的较大衰减。在环境影响评价中，可将各种形式的屏障简化为具有一定高度的薄屏障。</w:t>
            </w:r>
          </w:p>
          <w:p w14:paraId="0FC93456">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如图</w:t>
            </w:r>
            <w:r>
              <w:rPr>
                <w:rFonts w:hint="eastAsia" w:ascii="Times New Roman" w:hAnsi="Times New Roman" w:eastAsia="宋体" w:cs="宋体"/>
                <w:color w:val="auto"/>
                <w:kern w:val="2"/>
                <w:sz w:val="24"/>
                <w:szCs w:val="24"/>
                <w:lang w:val="en-US" w:eastAsia="zh-CN" w:bidi="ar-SA"/>
              </w:rPr>
              <w:t>4</w:t>
            </w:r>
            <w:r>
              <w:rPr>
                <w:rFonts w:hint="default"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3</w:t>
            </w:r>
            <w:r>
              <w:rPr>
                <w:rFonts w:hint="default" w:ascii="Times New Roman" w:hAnsi="Times New Roman" w:eastAsia="宋体" w:cs="宋体"/>
                <w:color w:val="auto"/>
                <w:kern w:val="2"/>
                <w:sz w:val="24"/>
                <w:szCs w:val="24"/>
                <w:lang w:val="en-US" w:eastAsia="zh-CN" w:bidi="ar-SA"/>
              </w:rPr>
              <w:t>-3所示，S、O、P三点在同一平面内且垂直于地面。</w:t>
            </w:r>
          </w:p>
          <w:p w14:paraId="057FD7BD">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定义δ=SO＋OP－SP为声程差，N=2δ/λ为菲涅尔数，其中λ为声波波长。</w:t>
            </w:r>
          </w:p>
          <w:p w14:paraId="10DEDBC1">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在噪声预测中，声屏障插入损失的</w:t>
            </w:r>
            <w:r>
              <w:rPr>
                <w:rFonts w:hint="eastAsia" w:ascii="Times New Roman" w:hAnsi="Times New Roman" w:eastAsia="宋体" w:cs="宋体"/>
                <w:color w:val="auto"/>
                <w:kern w:val="2"/>
                <w:sz w:val="24"/>
                <w:szCs w:val="24"/>
                <w:lang w:val="en-US" w:eastAsia="zh-CN" w:bidi="ar-SA"/>
              </w:rPr>
              <w:t>计算方法</w:t>
            </w:r>
            <w:r>
              <w:rPr>
                <w:rFonts w:hint="default" w:ascii="Times New Roman" w:hAnsi="Times New Roman" w:eastAsia="宋体" w:cs="宋体"/>
                <w:color w:val="auto"/>
                <w:kern w:val="2"/>
                <w:sz w:val="24"/>
                <w:szCs w:val="24"/>
                <w:lang w:val="en-US" w:eastAsia="zh-CN" w:bidi="ar-SA"/>
              </w:rPr>
              <w:t>需要根据</w:t>
            </w:r>
            <w:r>
              <w:rPr>
                <w:rFonts w:hint="eastAsia" w:cs="宋体"/>
                <w:color w:val="auto"/>
                <w:kern w:val="2"/>
                <w:sz w:val="24"/>
                <w:szCs w:val="24"/>
                <w:lang w:val="en-US" w:eastAsia="zh-CN" w:bidi="ar-SA"/>
              </w:rPr>
              <w:t>实际情况做</w:t>
            </w:r>
            <w:r>
              <w:rPr>
                <w:rFonts w:hint="default" w:ascii="Times New Roman" w:hAnsi="Times New Roman" w:eastAsia="宋体" w:cs="宋体"/>
                <w:color w:val="auto"/>
                <w:kern w:val="2"/>
                <w:sz w:val="24"/>
                <w:szCs w:val="24"/>
                <w:lang w:val="en-US" w:eastAsia="zh-CN" w:bidi="ar-SA"/>
              </w:rPr>
              <w:t>简化处理。</w:t>
            </w:r>
          </w:p>
          <w:p w14:paraId="39841C6A">
            <w:pPr>
              <w:widowControl w:val="0"/>
              <w:bidi w:val="0"/>
              <w:spacing w:line="240" w:lineRule="auto"/>
              <w:ind w:firstLine="0" w:firstLineChars="0"/>
              <w:jc w:val="center"/>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3080385" cy="2041525"/>
                  <wp:effectExtent l="0" t="0" r="0" b="0"/>
                  <wp:docPr id="5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7"/>
                          <pic:cNvPicPr>
                            <a:picLocks noChangeAspect="1"/>
                          </pic:cNvPicPr>
                        </pic:nvPicPr>
                        <pic:blipFill>
                          <a:blip r:embed="rId50"/>
                          <a:stretch>
                            <a:fillRect/>
                          </a:stretch>
                        </pic:blipFill>
                        <pic:spPr>
                          <a:xfrm>
                            <a:off x="0" y="0"/>
                            <a:ext cx="3080385" cy="2041525"/>
                          </a:xfrm>
                          <a:prstGeom prst="rect">
                            <a:avLst/>
                          </a:prstGeom>
                          <a:noFill/>
                          <a:ln>
                            <a:noFill/>
                          </a:ln>
                        </pic:spPr>
                      </pic:pic>
                    </a:graphicData>
                  </a:graphic>
                </wp:inline>
              </w:drawing>
            </w:r>
          </w:p>
          <w:p w14:paraId="3A830EBF">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default" w:ascii="Times New Roman" w:hAnsi="Times New Roman" w:eastAsia="宋体" w:cs="Times New Roman"/>
                <w:b/>
                <w:color w:val="auto"/>
                <w:kern w:val="0"/>
                <w:sz w:val="24"/>
                <w:szCs w:val="20"/>
                <w:lang w:val="en-US" w:eastAsia="zh-CN" w:bidi="ar-SA"/>
              </w:rPr>
              <mc:AlternateContent>
                <mc:Choice Requires="wps">
                  <w:drawing>
                    <wp:anchor distT="0" distB="0" distL="114300" distR="114300" simplePos="0" relativeHeight="251663360" behindDoc="0" locked="0" layoutInCell="1" allowOverlap="1">
                      <wp:simplePos x="0" y="0"/>
                      <wp:positionH relativeFrom="column">
                        <wp:posOffset>-3126740</wp:posOffset>
                      </wp:positionH>
                      <wp:positionV relativeFrom="paragraph">
                        <wp:posOffset>238760</wp:posOffset>
                      </wp:positionV>
                      <wp:extent cx="0" cy="635"/>
                      <wp:effectExtent l="0" t="0" r="0" b="0"/>
                      <wp:wrapNone/>
                      <wp:docPr id="13" name="文本框 1964"/>
                      <wp:cNvGraphicFramePr/>
                      <a:graphic xmlns:a="http://schemas.openxmlformats.org/drawingml/2006/main">
                        <a:graphicData uri="http://schemas.microsoft.com/office/word/2010/wordprocessingShape">
                          <wps:wsp>
                            <wps:cNvSpPr txBox="1"/>
                            <wps:spPr>
                              <a:xfrm rot="-4020000">
                                <a:off x="0" y="0"/>
                                <a:ext cx="0" cy="635"/>
                              </a:xfrm>
                              <a:prstGeom prst="rect">
                                <a:avLst/>
                              </a:prstGeom>
                              <a:noFill/>
                              <a:ln>
                                <a:noFill/>
                              </a:ln>
                              <a:effectLst/>
                            </wps:spPr>
                            <wps:txbx>
                              <w:txbxContent>
                                <w:p w14:paraId="34F5E52D">
                                  <w:pPr>
                                    <w:ind w:left="0" w:leftChars="0" w:firstLine="0" w:firstLineChars="0"/>
                                    <w:rPr>
                                      <w:rFonts w:hint="eastAsia" w:ascii="Times New Roman" w:hAnsi="Times New Roman" w:eastAsia="宋体" w:cs="Times New Roman"/>
                                      <w:b/>
                                      <w:bCs/>
                                      <w:color w:val="FFFFFF"/>
                                      <w:highlight w:val="none"/>
                                      <w:lang w:eastAsia="zh-CN"/>
                                    </w:rPr>
                                  </w:pPr>
                                  <w:r>
                                    <w:rPr>
                                      <w:rFonts w:hint="eastAsia" w:ascii="Times New Roman" w:hAnsi="Times New Roman" w:eastAsia="宋体" w:cs="Times New Roman"/>
                                      <w:b/>
                                      <w:bCs/>
                                      <w:color w:val="FFFFFF"/>
                                      <w:highlight w:val="none"/>
                                      <w:lang w:eastAsia="zh-CN"/>
                                    </w:rPr>
                                    <w:t>洪</w:t>
                                  </w:r>
                                  <w:r>
                                    <w:rPr>
                                      <w:rFonts w:hint="eastAsia" w:ascii="Times New Roman" w:hAnsi="Times New Roman" w:eastAsia="宋体" w:cs="Times New Roman"/>
                                      <w:b/>
                                      <w:bCs/>
                                      <w:color w:val="FFFFFF"/>
                                      <w:highlight w:val="none"/>
                                      <w:lang w:val="en-US" w:eastAsia="zh-CN"/>
                                    </w:rPr>
                                    <w:t xml:space="preserve"> </w:t>
                                  </w:r>
                                  <w:r>
                                    <w:rPr>
                                      <w:rFonts w:hint="eastAsia" w:ascii="Times New Roman" w:hAnsi="Times New Roman" w:eastAsia="宋体" w:cs="Times New Roman"/>
                                      <w:b/>
                                      <w:bCs/>
                                      <w:color w:val="FFFFFF"/>
                                      <w:highlight w:val="none"/>
                                      <w:lang w:eastAsia="zh-CN"/>
                                    </w:rPr>
                                    <w:t>铨</w:t>
                                  </w:r>
                                  <w:r>
                                    <w:rPr>
                                      <w:rFonts w:hint="eastAsia" w:ascii="Times New Roman" w:hAnsi="Times New Roman" w:eastAsia="宋体" w:cs="Times New Roman"/>
                                      <w:b/>
                                      <w:bCs/>
                                      <w:color w:val="FFFFFF"/>
                                      <w:highlight w:val="none"/>
                                      <w:lang w:val="en-US" w:eastAsia="zh-CN"/>
                                    </w:rPr>
                                    <w:t xml:space="preserve"> </w:t>
                                  </w:r>
                                  <w:r>
                                    <w:rPr>
                                      <w:rFonts w:hint="eastAsia" w:ascii="Times New Roman" w:hAnsi="Times New Roman" w:eastAsia="宋体" w:cs="Times New Roman"/>
                                      <w:b/>
                                      <w:bCs/>
                                      <w:color w:val="FFFFFF"/>
                                      <w:highlight w:val="none"/>
                                      <w:lang w:eastAsia="zh-CN"/>
                                    </w:rPr>
                                    <w:t>路</w:t>
                                  </w:r>
                                </w:p>
                              </w:txbxContent>
                            </wps:txbx>
                            <wps:bodyPr vert="horz" wrap="square" anchor="t" anchorCtr="0" upright="0"/>
                          </wps:wsp>
                        </a:graphicData>
                      </a:graphic>
                    </wp:anchor>
                  </w:drawing>
                </mc:Choice>
                <mc:Fallback>
                  <w:pict>
                    <v:shape id="文本框 1964" o:spid="_x0000_s1026" o:spt="202" type="#_x0000_t202" style="position:absolute;left:0pt;margin-left:-246.2pt;margin-top:18.8pt;height:0.05pt;width:0pt;rotation:-4390912f;z-index:251663360;mso-width-relative:page;mso-height-relative:page;" filled="f" stroked="f" coordsize="21600,21600" o:gfxdata="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Hek7e2AAAAAsBAAAPAAAAAAAAAAEAIAAA&#10;ACIAAABkcnMvZG93bnJldi54bWxQSwECFAAUAAAACACHTuJA5ivXwtMBAACZAwAADgAAAAAAAAAB&#10;ACAAAAAnAQAAZHJzL2Uyb0RvYy54bWxQSwUGAAAAAAYABgBZAQAAbAUAAAAA&#10;">
                      <v:fill on="f" focussize="0,0"/>
                      <v:stroke on="f"/>
                      <v:imagedata o:title=""/>
                      <o:lock v:ext="edit" aspectratio="f"/>
                      <v:textbox>
                        <w:txbxContent>
                          <w:p w14:paraId="34F5E52D">
                            <w:pPr>
                              <w:ind w:left="0" w:leftChars="0" w:firstLine="0" w:firstLineChars="0"/>
                              <w:rPr>
                                <w:rFonts w:hint="eastAsia" w:ascii="Times New Roman" w:hAnsi="Times New Roman" w:eastAsia="宋体" w:cs="Times New Roman"/>
                                <w:b/>
                                <w:bCs/>
                                <w:color w:val="FFFFFF"/>
                                <w:highlight w:val="none"/>
                                <w:lang w:eastAsia="zh-CN"/>
                              </w:rPr>
                            </w:pPr>
                            <w:r>
                              <w:rPr>
                                <w:rFonts w:hint="eastAsia" w:ascii="Times New Roman" w:hAnsi="Times New Roman" w:eastAsia="宋体" w:cs="Times New Roman"/>
                                <w:b/>
                                <w:bCs/>
                                <w:color w:val="FFFFFF"/>
                                <w:highlight w:val="none"/>
                                <w:lang w:eastAsia="zh-CN"/>
                              </w:rPr>
                              <w:t>洪</w:t>
                            </w:r>
                            <w:r>
                              <w:rPr>
                                <w:rFonts w:hint="eastAsia" w:ascii="Times New Roman" w:hAnsi="Times New Roman" w:eastAsia="宋体" w:cs="Times New Roman"/>
                                <w:b/>
                                <w:bCs/>
                                <w:color w:val="FFFFFF"/>
                                <w:highlight w:val="none"/>
                                <w:lang w:val="en-US" w:eastAsia="zh-CN"/>
                              </w:rPr>
                              <w:t xml:space="preserve"> </w:t>
                            </w:r>
                            <w:r>
                              <w:rPr>
                                <w:rFonts w:hint="eastAsia" w:ascii="Times New Roman" w:hAnsi="Times New Roman" w:eastAsia="宋体" w:cs="Times New Roman"/>
                                <w:b/>
                                <w:bCs/>
                                <w:color w:val="FFFFFF"/>
                                <w:highlight w:val="none"/>
                                <w:lang w:eastAsia="zh-CN"/>
                              </w:rPr>
                              <w:t>铨</w:t>
                            </w:r>
                            <w:r>
                              <w:rPr>
                                <w:rFonts w:hint="eastAsia" w:ascii="Times New Roman" w:hAnsi="Times New Roman" w:eastAsia="宋体" w:cs="Times New Roman"/>
                                <w:b/>
                                <w:bCs/>
                                <w:color w:val="FFFFFF"/>
                                <w:highlight w:val="none"/>
                                <w:lang w:val="en-US" w:eastAsia="zh-CN"/>
                              </w:rPr>
                              <w:t xml:space="preserve"> </w:t>
                            </w:r>
                            <w:r>
                              <w:rPr>
                                <w:rFonts w:hint="eastAsia" w:ascii="Times New Roman" w:hAnsi="Times New Roman" w:eastAsia="宋体" w:cs="Times New Roman"/>
                                <w:b/>
                                <w:bCs/>
                                <w:color w:val="FFFFFF"/>
                                <w:highlight w:val="none"/>
                                <w:lang w:eastAsia="zh-CN"/>
                              </w:rPr>
                              <w:t>路</w:t>
                            </w:r>
                          </w:p>
                        </w:txbxContent>
                      </v:textbox>
                    </v:shape>
                  </w:pict>
                </mc:Fallback>
              </mc:AlternateContent>
            </w:r>
            <w:r>
              <w:rPr>
                <w:rFonts w:hint="default" w:ascii="Times New Roman" w:hAnsi="Times New Roman" w:eastAsia="宋体" w:cs="Times New Roman"/>
                <w:b/>
                <w:color w:val="auto"/>
                <w:kern w:val="0"/>
                <w:sz w:val="24"/>
                <w:szCs w:val="20"/>
                <w:lang w:val="en-US" w:eastAsia="zh-CN" w:bidi="ar-SA"/>
              </w:rPr>
              <mc:AlternateContent>
                <mc:Choice Requires="wps">
                  <w:drawing>
                    <wp:anchor distT="0" distB="0" distL="114300" distR="114300" simplePos="0" relativeHeight="251662336" behindDoc="0" locked="0" layoutInCell="1" allowOverlap="1">
                      <wp:simplePos x="0" y="0"/>
                      <wp:positionH relativeFrom="column">
                        <wp:posOffset>-3126740</wp:posOffset>
                      </wp:positionH>
                      <wp:positionV relativeFrom="paragraph">
                        <wp:posOffset>238760</wp:posOffset>
                      </wp:positionV>
                      <wp:extent cx="0" cy="635"/>
                      <wp:effectExtent l="0" t="0" r="0" b="0"/>
                      <wp:wrapNone/>
                      <wp:docPr id="12" name="文本框 1964"/>
                      <wp:cNvGraphicFramePr/>
                      <a:graphic xmlns:a="http://schemas.openxmlformats.org/drawingml/2006/main">
                        <a:graphicData uri="http://schemas.microsoft.com/office/word/2010/wordprocessingShape">
                          <wps:wsp>
                            <wps:cNvSpPr txBox="1"/>
                            <wps:spPr>
                              <a:xfrm rot="-4080000">
                                <a:off x="0" y="0"/>
                                <a:ext cx="0" cy="635"/>
                              </a:xfrm>
                              <a:prstGeom prst="rect">
                                <a:avLst/>
                              </a:prstGeom>
                              <a:noFill/>
                              <a:ln>
                                <a:noFill/>
                              </a:ln>
                              <a:effectLst/>
                            </wps:spPr>
                            <wps:txbx>
                              <w:txbxContent>
                                <w:p w14:paraId="4EC80496">
                                  <w:pPr>
                                    <w:ind w:left="0" w:leftChars="0" w:firstLine="0" w:firstLineChars="0"/>
                                    <w:rPr>
                                      <w:rFonts w:hint="eastAsia" w:ascii="Times New Roman" w:hAnsi="Times New Roman" w:eastAsia="宋体" w:cs="Times New Roman"/>
                                      <w:b/>
                                      <w:bCs/>
                                      <w:color w:val="000000"/>
                                      <w:highlight w:val="yellow"/>
                                      <w:lang w:eastAsia="zh-CN"/>
                                    </w:rPr>
                                  </w:pPr>
                                  <w:r>
                                    <w:rPr>
                                      <w:rFonts w:hint="eastAsia" w:ascii="Times New Roman" w:hAnsi="Times New Roman" w:eastAsia="宋体" w:cs="Times New Roman"/>
                                      <w:b/>
                                      <w:bCs/>
                                      <w:color w:val="000000"/>
                                      <w:highlight w:val="yellow"/>
                                      <w:lang w:eastAsia="zh-CN"/>
                                    </w:rPr>
                                    <w:t>佳宁化妆品有限公司</w:t>
                                  </w:r>
                                </w:p>
                              </w:txbxContent>
                            </wps:txbx>
                            <wps:bodyPr vert="horz" wrap="square" anchor="t" anchorCtr="0" upright="0"/>
                          </wps:wsp>
                        </a:graphicData>
                      </a:graphic>
                    </wp:anchor>
                  </w:drawing>
                </mc:Choice>
                <mc:Fallback>
                  <w:pict>
                    <v:shape id="文本框 1964" o:spid="_x0000_s1026" o:spt="202" type="#_x0000_t202" style="position:absolute;left:0pt;margin-left:-246.2pt;margin-top:18.8pt;height:0.05pt;width:0pt;rotation:-4456448f;z-index:251662336;mso-width-relative:page;mso-height-relative:page;" filled="f" stroked="f" coordsize="21600,21600" o:gfxdata="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DBpWiHXAAAACwEAAA8AAAAAAAAAAQAgAAAA&#10;IgAAAGRycy9kb3ducmV2LnhtbFBLAQIUABQAAAAIAIdO4kAbb86d0wEAAJkDAAAOAAAAAAAAAAEA&#10;IAAAACYBAABkcnMvZTJvRG9jLnhtbFBLBQYAAAAABgAGAFkBAABrBQAAAAA=&#10;">
                      <v:fill on="f" focussize="0,0"/>
                      <v:stroke on="f"/>
                      <v:imagedata o:title=""/>
                      <o:lock v:ext="edit" aspectratio="f"/>
                      <v:textbox>
                        <w:txbxContent>
                          <w:p w14:paraId="4EC80496">
                            <w:pPr>
                              <w:ind w:left="0" w:leftChars="0" w:firstLine="0" w:firstLineChars="0"/>
                              <w:rPr>
                                <w:rFonts w:hint="eastAsia" w:ascii="Times New Roman" w:hAnsi="Times New Roman" w:eastAsia="宋体" w:cs="Times New Roman"/>
                                <w:b/>
                                <w:bCs/>
                                <w:color w:val="000000"/>
                                <w:highlight w:val="yellow"/>
                                <w:lang w:eastAsia="zh-CN"/>
                              </w:rPr>
                            </w:pPr>
                            <w:r>
                              <w:rPr>
                                <w:rFonts w:hint="eastAsia" w:ascii="Times New Roman" w:hAnsi="Times New Roman" w:eastAsia="宋体" w:cs="Times New Roman"/>
                                <w:b/>
                                <w:bCs/>
                                <w:color w:val="000000"/>
                                <w:highlight w:val="yellow"/>
                                <w:lang w:eastAsia="zh-CN"/>
                              </w:rPr>
                              <w:t>佳宁化妆品有限公司</w:t>
                            </w:r>
                          </w:p>
                        </w:txbxContent>
                      </v:textbox>
                    </v:shape>
                  </w:pict>
                </mc:Fallback>
              </mc:AlternateContent>
            </w:r>
            <w:r>
              <w:rPr>
                <w:rFonts w:hint="default" w:ascii="Times New Roman" w:hAnsi="Times New Roman" w:eastAsia="宋体" w:cs="Times New Roman"/>
                <w:b/>
                <w:color w:val="auto"/>
                <w:kern w:val="0"/>
                <w:sz w:val="24"/>
                <w:szCs w:val="20"/>
                <w:lang w:val="en-US" w:eastAsia="zh-CN" w:bidi="ar-SA"/>
              </w:rPr>
              <mc:AlternateContent>
                <mc:Choice Requires="wps">
                  <w:drawing>
                    <wp:anchor distT="0" distB="0" distL="114300" distR="114300" simplePos="0" relativeHeight="251661312" behindDoc="0" locked="0" layoutInCell="1" allowOverlap="1">
                      <wp:simplePos x="0" y="0"/>
                      <wp:positionH relativeFrom="column">
                        <wp:posOffset>-3126740</wp:posOffset>
                      </wp:positionH>
                      <wp:positionV relativeFrom="paragraph">
                        <wp:posOffset>239395</wp:posOffset>
                      </wp:positionV>
                      <wp:extent cx="635" cy="0"/>
                      <wp:effectExtent l="0" t="0" r="0" b="0"/>
                      <wp:wrapNone/>
                      <wp:docPr id="11" name="文本框 1972"/>
                      <wp:cNvGraphicFramePr/>
                      <a:graphic xmlns:a="http://schemas.openxmlformats.org/drawingml/2006/main">
                        <a:graphicData uri="http://schemas.microsoft.com/office/word/2010/wordprocessingShape">
                          <wps:wsp>
                            <wps:cNvSpPr txBox="1"/>
                            <wps:spPr>
                              <a:xfrm>
                                <a:off x="0" y="0"/>
                                <a:ext cx="635" cy="0"/>
                              </a:xfrm>
                              <a:prstGeom prst="rect">
                                <a:avLst/>
                              </a:prstGeom>
                              <a:noFill/>
                              <a:ln>
                                <a:noFill/>
                              </a:ln>
                              <a:effectLst/>
                            </wps:spPr>
                            <wps:txbx>
                              <w:txbxContent>
                                <w:p w14:paraId="3F309834">
                                  <w:pPr>
                                    <w:ind w:left="0" w:leftChars="0" w:firstLine="0" w:firstLineChars="0"/>
                                    <w:rPr>
                                      <w:rFonts w:hint="eastAsia" w:ascii="Times New Roman" w:hAnsi="Times New Roman" w:eastAsia="宋体" w:cs="Times New Roman"/>
                                      <w:b/>
                                      <w:bCs/>
                                      <w:color w:val="00FAFA"/>
                                      <w:highlight w:val="none"/>
                                      <w:lang w:eastAsia="zh-CN"/>
                                    </w:rPr>
                                  </w:pPr>
                                  <w:r>
                                    <w:rPr>
                                      <w:rFonts w:hint="eastAsia" w:ascii="Times New Roman" w:hAnsi="Times New Roman" w:eastAsia="宋体" w:cs="Times New Roman"/>
                                      <w:b/>
                                      <w:bCs/>
                                      <w:color w:val="00FAFA"/>
                                      <w:highlight w:val="none"/>
                                      <w:lang w:eastAsia="zh-CN"/>
                                    </w:rPr>
                                    <w:t>大</w:t>
                                  </w:r>
                                </w:p>
                              </w:txbxContent>
                            </wps:txbx>
                            <wps:bodyPr vert="horz" wrap="square" anchor="t" anchorCtr="0" upright="1"/>
                          </wps:wsp>
                        </a:graphicData>
                      </a:graphic>
                    </wp:anchor>
                  </w:drawing>
                </mc:Choice>
                <mc:Fallback>
                  <w:pict>
                    <v:shape id="文本框 1972" o:spid="_x0000_s1026" o:spt="202" type="#_x0000_t202" style="position:absolute;left:0pt;margin-left:-246.2pt;margin-top:18.85pt;height:0pt;width:0.05pt;z-index:251661312;mso-width-relative:page;mso-height-relative:page;" filled="f" stroked="f" coordsize="21600,21600" o:gfxdata="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p9YEX1gAAAAsBAAAPAAAAAAAAAAEAIAAAACIAAABkcnMvZG93&#10;bnJldi54bWxQSwECFAAUAAAACACHTuJAnHCwhMkBAACKAwAADgAAAAAAAAABACAAAAAlAQAAZHJz&#10;L2Uyb0RvYy54bWxQSwUGAAAAAAYABgBZAQAAYAUAAAAA&#10;">
                      <v:fill on="f" focussize="0,0"/>
                      <v:stroke on="f"/>
                      <v:imagedata o:title=""/>
                      <o:lock v:ext="edit" aspectratio="f"/>
                      <v:textbox>
                        <w:txbxContent>
                          <w:p w14:paraId="3F309834">
                            <w:pPr>
                              <w:ind w:left="0" w:leftChars="0" w:firstLine="0" w:firstLineChars="0"/>
                              <w:rPr>
                                <w:rFonts w:hint="eastAsia" w:ascii="Times New Roman" w:hAnsi="Times New Roman" w:eastAsia="宋体" w:cs="Times New Roman"/>
                                <w:b/>
                                <w:bCs/>
                                <w:color w:val="00FAFA"/>
                                <w:highlight w:val="none"/>
                                <w:lang w:eastAsia="zh-CN"/>
                              </w:rPr>
                            </w:pPr>
                            <w:r>
                              <w:rPr>
                                <w:rFonts w:hint="eastAsia" w:ascii="Times New Roman" w:hAnsi="Times New Roman" w:eastAsia="宋体" w:cs="Times New Roman"/>
                                <w:b/>
                                <w:bCs/>
                                <w:color w:val="00FAFA"/>
                                <w:highlight w:val="none"/>
                                <w:lang w:eastAsia="zh-CN"/>
                              </w:rPr>
                              <w:t>大</w:t>
                            </w:r>
                          </w:p>
                        </w:txbxContent>
                      </v:textbox>
                    </v:shape>
                  </w:pict>
                </mc:Fallback>
              </mc:AlternateContent>
            </w:r>
            <w:r>
              <w:rPr>
                <w:rFonts w:hint="default" w:ascii="Times New Roman" w:hAnsi="Times New Roman" w:eastAsia="宋体" w:cs="Times New Roman"/>
                <w:b/>
                <w:color w:val="auto"/>
                <w:kern w:val="0"/>
                <w:sz w:val="24"/>
                <w:szCs w:val="20"/>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-3126740</wp:posOffset>
                      </wp:positionH>
                      <wp:positionV relativeFrom="paragraph">
                        <wp:posOffset>239395</wp:posOffset>
                      </wp:positionV>
                      <wp:extent cx="635" cy="0"/>
                      <wp:effectExtent l="0" t="0" r="0" b="0"/>
                      <wp:wrapNone/>
                      <wp:docPr id="10" name="文本框 1964"/>
                      <wp:cNvGraphicFramePr/>
                      <a:graphic xmlns:a="http://schemas.openxmlformats.org/drawingml/2006/main">
                        <a:graphicData uri="http://schemas.microsoft.com/office/word/2010/wordprocessingShape">
                          <wps:wsp>
                            <wps:cNvSpPr txBox="1"/>
                            <wps:spPr>
                              <a:xfrm rot="1740000">
                                <a:off x="0" y="0"/>
                                <a:ext cx="635" cy="0"/>
                              </a:xfrm>
                              <a:prstGeom prst="rect">
                                <a:avLst/>
                              </a:prstGeom>
                              <a:noFill/>
                              <a:ln>
                                <a:noFill/>
                              </a:ln>
                              <a:effectLst/>
                            </wps:spPr>
                            <wps:txbx>
                              <w:txbxContent>
                                <w:p w14:paraId="64AD1F2A">
                                  <w:pPr>
                                    <w:ind w:left="0" w:leftChars="0" w:firstLine="0" w:firstLineChars="0"/>
                                    <w:rPr>
                                      <w:rFonts w:hint="eastAsia" w:ascii="Times New Roman" w:hAnsi="Times New Roman" w:eastAsia="宋体" w:cs="Times New Roman"/>
                                      <w:b/>
                                      <w:bCs/>
                                      <w:color w:val="FFFFFF"/>
                                      <w:highlight w:val="none"/>
                                      <w:lang w:eastAsia="zh-CN"/>
                                    </w:rPr>
                                  </w:pPr>
                                  <w:r>
                                    <w:rPr>
                                      <w:rFonts w:hint="eastAsia" w:ascii="Times New Roman" w:hAnsi="Times New Roman" w:eastAsia="宋体" w:cs="Times New Roman"/>
                                      <w:b/>
                                      <w:bCs/>
                                      <w:color w:val="FFFFFF"/>
                                      <w:highlight w:val="none"/>
                                      <w:lang w:eastAsia="zh-CN"/>
                                    </w:rPr>
                                    <w:t>洪</w:t>
                                  </w:r>
                                  <w:r>
                                    <w:rPr>
                                      <w:rFonts w:hint="eastAsia" w:ascii="Times New Roman" w:hAnsi="Times New Roman" w:eastAsia="宋体" w:cs="Times New Roman"/>
                                      <w:b/>
                                      <w:bCs/>
                                      <w:color w:val="FFFFFF"/>
                                      <w:highlight w:val="none"/>
                                      <w:lang w:val="en-US" w:eastAsia="zh-CN"/>
                                    </w:rPr>
                                    <w:t xml:space="preserve"> </w:t>
                                  </w:r>
                                  <w:r>
                                    <w:rPr>
                                      <w:rFonts w:hint="eastAsia" w:ascii="Times New Roman" w:hAnsi="Times New Roman" w:eastAsia="宋体" w:cs="Times New Roman"/>
                                      <w:b/>
                                      <w:bCs/>
                                      <w:color w:val="FFFFFF"/>
                                      <w:highlight w:val="none"/>
                                      <w:lang w:eastAsia="zh-CN"/>
                                    </w:rPr>
                                    <w:t>宽</w:t>
                                  </w:r>
                                  <w:r>
                                    <w:rPr>
                                      <w:rFonts w:hint="eastAsia" w:ascii="Times New Roman" w:hAnsi="Times New Roman" w:eastAsia="宋体" w:cs="Times New Roman"/>
                                      <w:b/>
                                      <w:bCs/>
                                      <w:color w:val="FFFFFF"/>
                                      <w:highlight w:val="none"/>
                                      <w:lang w:val="en-US" w:eastAsia="zh-CN"/>
                                    </w:rPr>
                                    <w:t xml:space="preserve"> </w:t>
                                  </w:r>
                                  <w:r>
                                    <w:rPr>
                                      <w:rFonts w:hint="eastAsia" w:ascii="Times New Roman" w:hAnsi="Times New Roman" w:eastAsia="宋体" w:cs="Times New Roman"/>
                                      <w:b/>
                                      <w:bCs/>
                                      <w:color w:val="FFFFFF"/>
                                      <w:highlight w:val="none"/>
                                      <w:lang w:eastAsia="zh-CN"/>
                                    </w:rPr>
                                    <w:t>三</w:t>
                                  </w:r>
                                  <w:r>
                                    <w:rPr>
                                      <w:rFonts w:hint="eastAsia" w:ascii="Times New Roman" w:hAnsi="Times New Roman" w:eastAsia="宋体" w:cs="Times New Roman"/>
                                      <w:b/>
                                      <w:bCs/>
                                      <w:color w:val="FFFFFF"/>
                                      <w:highlight w:val="none"/>
                                      <w:lang w:val="en-US" w:eastAsia="zh-CN"/>
                                    </w:rPr>
                                    <w:t xml:space="preserve"> </w:t>
                                  </w:r>
                                  <w:r>
                                    <w:rPr>
                                      <w:rFonts w:hint="eastAsia" w:ascii="Times New Roman" w:hAnsi="Times New Roman" w:eastAsia="宋体" w:cs="Times New Roman"/>
                                      <w:b/>
                                      <w:bCs/>
                                      <w:color w:val="FFFFFF"/>
                                      <w:highlight w:val="none"/>
                                      <w:lang w:eastAsia="zh-CN"/>
                                    </w:rPr>
                                    <w:t>路</w:t>
                                  </w:r>
                                </w:p>
                              </w:txbxContent>
                            </wps:txbx>
                            <wps:bodyPr vert="horz" wrap="square" anchor="t" anchorCtr="0" upright="0"/>
                          </wps:wsp>
                        </a:graphicData>
                      </a:graphic>
                    </wp:anchor>
                  </w:drawing>
                </mc:Choice>
                <mc:Fallback>
                  <w:pict>
                    <v:shape id="文本框 1964" o:spid="_x0000_s1026" o:spt="202" type="#_x0000_t202" style="position:absolute;left:0pt;margin-left:-246.2pt;margin-top:18.85pt;height:0pt;width:0.05pt;rotation:1900544f;z-index:251660288;mso-width-relative:page;mso-height-relative:page;" filled="f" stroked="f" coordsize="21600,21600" o:gfxdata="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DYoKpLaAAAACwEAAA8AAAAAAAAAAQAg&#10;AAAAIgAAAGRycy9kb3ducmV2LnhtbFBLAQIUABQAAAAIAIdO4kDqmw+E0wEAAJgDAAAOAAAAAAAA&#10;AAEAIAAAACkBAABkcnMvZTJvRG9jLnhtbFBLBQYAAAAABgAGAFkBAABuBQAAAAA=&#10;">
                      <v:fill on="f" focussize="0,0"/>
                      <v:stroke on="f"/>
                      <v:imagedata o:title=""/>
                      <o:lock v:ext="edit" aspectratio="f"/>
                      <v:textbox>
                        <w:txbxContent>
                          <w:p w14:paraId="64AD1F2A">
                            <w:pPr>
                              <w:ind w:left="0" w:leftChars="0" w:firstLine="0" w:firstLineChars="0"/>
                              <w:rPr>
                                <w:rFonts w:hint="eastAsia" w:ascii="Times New Roman" w:hAnsi="Times New Roman" w:eastAsia="宋体" w:cs="Times New Roman"/>
                                <w:b/>
                                <w:bCs/>
                                <w:color w:val="FFFFFF"/>
                                <w:highlight w:val="none"/>
                                <w:lang w:eastAsia="zh-CN"/>
                              </w:rPr>
                            </w:pPr>
                            <w:r>
                              <w:rPr>
                                <w:rFonts w:hint="eastAsia" w:ascii="Times New Roman" w:hAnsi="Times New Roman" w:eastAsia="宋体" w:cs="Times New Roman"/>
                                <w:b/>
                                <w:bCs/>
                                <w:color w:val="FFFFFF"/>
                                <w:highlight w:val="none"/>
                                <w:lang w:eastAsia="zh-CN"/>
                              </w:rPr>
                              <w:t>洪</w:t>
                            </w:r>
                            <w:r>
                              <w:rPr>
                                <w:rFonts w:hint="eastAsia" w:ascii="Times New Roman" w:hAnsi="Times New Roman" w:eastAsia="宋体" w:cs="Times New Roman"/>
                                <w:b/>
                                <w:bCs/>
                                <w:color w:val="FFFFFF"/>
                                <w:highlight w:val="none"/>
                                <w:lang w:val="en-US" w:eastAsia="zh-CN"/>
                              </w:rPr>
                              <w:t xml:space="preserve"> </w:t>
                            </w:r>
                            <w:r>
                              <w:rPr>
                                <w:rFonts w:hint="eastAsia" w:ascii="Times New Roman" w:hAnsi="Times New Roman" w:eastAsia="宋体" w:cs="Times New Roman"/>
                                <w:b/>
                                <w:bCs/>
                                <w:color w:val="FFFFFF"/>
                                <w:highlight w:val="none"/>
                                <w:lang w:eastAsia="zh-CN"/>
                              </w:rPr>
                              <w:t>宽</w:t>
                            </w:r>
                            <w:r>
                              <w:rPr>
                                <w:rFonts w:hint="eastAsia" w:ascii="Times New Roman" w:hAnsi="Times New Roman" w:eastAsia="宋体" w:cs="Times New Roman"/>
                                <w:b/>
                                <w:bCs/>
                                <w:color w:val="FFFFFF"/>
                                <w:highlight w:val="none"/>
                                <w:lang w:val="en-US" w:eastAsia="zh-CN"/>
                              </w:rPr>
                              <w:t xml:space="preserve"> </w:t>
                            </w:r>
                            <w:r>
                              <w:rPr>
                                <w:rFonts w:hint="eastAsia" w:ascii="Times New Roman" w:hAnsi="Times New Roman" w:eastAsia="宋体" w:cs="Times New Roman"/>
                                <w:b/>
                                <w:bCs/>
                                <w:color w:val="FFFFFF"/>
                                <w:highlight w:val="none"/>
                                <w:lang w:eastAsia="zh-CN"/>
                              </w:rPr>
                              <w:t>三</w:t>
                            </w:r>
                            <w:r>
                              <w:rPr>
                                <w:rFonts w:hint="eastAsia" w:ascii="Times New Roman" w:hAnsi="Times New Roman" w:eastAsia="宋体" w:cs="Times New Roman"/>
                                <w:b/>
                                <w:bCs/>
                                <w:color w:val="FFFFFF"/>
                                <w:highlight w:val="none"/>
                                <w:lang w:val="en-US" w:eastAsia="zh-CN"/>
                              </w:rPr>
                              <w:t xml:space="preserve"> </w:t>
                            </w:r>
                            <w:r>
                              <w:rPr>
                                <w:rFonts w:hint="eastAsia" w:ascii="Times New Roman" w:hAnsi="Times New Roman" w:eastAsia="宋体" w:cs="Times New Roman"/>
                                <w:b/>
                                <w:bCs/>
                                <w:color w:val="FFFFFF"/>
                                <w:highlight w:val="none"/>
                                <w:lang w:eastAsia="zh-CN"/>
                              </w:rPr>
                              <w:t>路</w:t>
                            </w:r>
                          </w:p>
                        </w:txbxContent>
                      </v:textbox>
                    </v:shape>
                  </w:pict>
                </mc:Fallback>
              </mc:AlternateContent>
            </w:r>
            <w:r>
              <w:rPr>
                <w:rFonts w:hint="default" w:ascii="Times New Roman" w:hAnsi="Times New Roman" w:eastAsia="宋体" w:cs="Times New Roman"/>
                <w:b/>
                <w:color w:val="auto"/>
                <w:kern w:val="0"/>
                <w:sz w:val="24"/>
                <w:szCs w:val="20"/>
                <w:lang w:val="en-US" w:eastAsia="zh-CN" w:bidi="ar-SA"/>
              </w:rPr>
              <w:t>图</w:t>
            </w:r>
            <w:r>
              <w:rPr>
                <w:rFonts w:hint="eastAsia" w:ascii="Times New Roman" w:hAnsi="Times New Roman" w:eastAsia="宋体" w:cs="Times New Roman"/>
                <w:b/>
                <w:color w:val="auto"/>
                <w:kern w:val="0"/>
                <w:sz w:val="24"/>
                <w:szCs w:val="20"/>
                <w:lang w:val="en-US" w:eastAsia="zh-CN" w:bidi="ar-SA"/>
              </w:rPr>
              <w:t>4.3</w:t>
            </w:r>
            <w:r>
              <w:rPr>
                <w:rFonts w:hint="default" w:ascii="Times New Roman" w:hAnsi="Times New Roman" w:eastAsia="宋体" w:cs="Times New Roman"/>
                <w:b/>
                <w:color w:val="auto"/>
                <w:kern w:val="0"/>
                <w:sz w:val="24"/>
                <w:szCs w:val="20"/>
                <w:lang w:val="en-US" w:eastAsia="zh-CN" w:bidi="ar-SA"/>
              </w:rPr>
              <w:t>-3</w:t>
            </w:r>
            <w:r>
              <w:rPr>
                <w:rFonts w:hint="eastAsia" w:ascii="Times New Roman" w:hAnsi="Times New Roman" w:eastAsia="宋体" w:cs="Times New Roman"/>
                <w:b/>
                <w:color w:val="auto"/>
                <w:kern w:val="0"/>
                <w:sz w:val="24"/>
                <w:szCs w:val="20"/>
                <w:lang w:val="en-US" w:eastAsia="zh-CN" w:bidi="ar-SA"/>
              </w:rPr>
              <w:t xml:space="preserve">  </w:t>
            </w:r>
            <w:r>
              <w:rPr>
                <w:rFonts w:hint="default" w:ascii="Times New Roman" w:hAnsi="Times New Roman" w:eastAsia="宋体" w:cs="Times New Roman"/>
                <w:b/>
                <w:color w:val="auto"/>
                <w:kern w:val="0"/>
                <w:sz w:val="24"/>
                <w:szCs w:val="20"/>
                <w:lang w:val="en-US" w:eastAsia="zh-CN" w:bidi="ar-SA"/>
              </w:rPr>
              <w:t>无限长声屏障示意图</w:t>
            </w:r>
          </w:p>
          <w:p w14:paraId="3A27FA3F">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◆参数的选择：参数选取项目所在区域的年平均温度为25℃，湿度为70%。计算过程考虑了建筑物的屏障作用和室内源向室外的传播。</w:t>
            </w:r>
          </w:p>
          <w:p w14:paraId="2AA9E111">
            <w:pPr>
              <w:pStyle w:val="4"/>
              <w:bidi w:val="0"/>
              <w:rPr>
                <w:rFonts w:hint="eastAsia"/>
                <w:color w:val="auto"/>
                <w:lang w:val="en-US" w:eastAsia="zh-CN"/>
              </w:rPr>
            </w:pPr>
            <w:bookmarkStart w:id="70" w:name="_Toc8098"/>
            <w:r>
              <w:rPr>
                <w:rFonts w:hint="eastAsia"/>
                <w:color w:val="auto"/>
                <w:lang w:val="en-US" w:eastAsia="zh-CN"/>
              </w:rPr>
              <w:t>4.3.3声环境预测结果分析</w:t>
            </w:r>
            <w:bookmarkEnd w:id="70"/>
          </w:p>
          <w:p w14:paraId="7E0B3F0A">
            <w:pPr>
              <w:pStyle w:val="24"/>
              <w:bidi w:val="0"/>
              <w:rPr>
                <w:rFonts w:hint="default"/>
                <w:color w:val="auto"/>
                <w:lang w:val="en-US" w:eastAsia="zh-CN"/>
              </w:rPr>
            </w:pPr>
            <w:r>
              <w:rPr>
                <w:rFonts w:hint="eastAsia"/>
                <w:color w:val="auto"/>
                <w:lang w:val="en-US" w:eastAsia="zh-CN"/>
              </w:rPr>
              <w:t>表4.3-4  厂界噪声贡献值预测结果</w:t>
            </w:r>
          </w:p>
          <w:tbl>
            <w:tblPr>
              <w:tblStyle w:val="17"/>
              <w:tblW w:w="7957"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39"/>
              <w:gridCol w:w="1271"/>
              <w:gridCol w:w="796"/>
              <w:gridCol w:w="1524"/>
              <w:gridCol w:w="1589"/>
              <w:gridCol w:w="2238"/>
            </w:tblGrid>
            <w:tr w14:paraId="203E65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99" w:hRule="atLeast"/>
              </w:trPr>
              <w:tc>
                <w:tcPr>
                  <w:tcW w:w="338" w:type="pct"/>
                  <w:vMerge w:val="restart"/>
                  <w:tcBorders>
                    <w:tl2br w:val="nil"/>
                    <w:tr2bl w:val="nil"/>
                  </w:tcBorders>
                  <w:noWrap w:val="0"/>
                  <w:tcMar>
                    <w:left w:w="28" w:type="dxa"/>
                    <w:right w:w="28" w:type="dxa"/>
                  </w:tcMar>
                  <w:vAlign w:val="center"/>
                </w:tcPr>
                <w:p w14:paraId="421DF4C8">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序号</w:t>
                  </w:r>
                </w:p>
              </w:tc>
              <w:tc>
                <w:tcPr>
                  <w:tcW w:w="798" w:type="pct"/>
                  <w:vMerge w:val="restart"/>
                  <w:tcBorders>
                    <w:tl2br w:val="nil"/>
                    <w:tr2bl w:val="nil"/>
                  </w:tcBorders>
                  <w:noWrap w:val="0"/>
                  <w:vAlign w:val="center"/>
                </w:tcPr>
                <w:p w14:paraId="7550211D">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监测点</w:t>
                  </w:r>
                </w:p>
              </w:tc>
              <w:tc>
                <w:tcPr>
                  <w:tcW w:w="500" w:type="pct"/>
                  <w:vMerge w:val="restart"/>
                  <w:tcBorders>
                    <w:tl2br w:val="nil"/>
                    <w:tr2bl w:val="nil"/>
                  </w:tcBorders>
                  <w:noWrap w:val="0"/>
                  <w:vAlign w:val="center"/>
                </w:tcPr>
                <w:p w14:paraId="56291438">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厂界</w:t>
                  </w:r>
                </w:p>
                <w:p w14:paraId="1A499557">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距离</w:t>
                  </w:r>
                </w:p>
              </w:tc>
              <w:tc>
                <w:tcPr>
                  <w:tcW w:w="957" w:type="pct"/>
                  <w:tcBorders>
                    <w:tl2br w:val="nil"/>
                    <w:tr2bl w:val="nil"/>
                  </w:tcBorders>
                  <w:noWrap w:val="0"/>
                  <w:vAlign w:val="center"/>
                </w:tcPr>
                <w:p w14:paraId="4536CF2E">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标准限值</w:t>
                  </w:r>
                </w:p>
                <w:p w14:paraId="3AAA6AE8">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dB(A)</w:t>
                  </w:r>
                </w:p>
              </w:tc>
              <w:tc>
                <w:tcPr>
                  <w:tcW w:w="998" w:type="pct"/>
                  <w:tcBorders>
                    <w:tl2br w:val="nil"/>
                    <w:tr2bl w:val="nil"/>
                  </w:tcBorders>
                  <w:noWrap w:val="0"/>
                  <w:vAlign w:val="center"/>
                </w:tcPr>
                <w:p w14:paraId="1FDE82A3">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贡献值</w:t>
                  </w:r>
                  <w:r>
                    <w:rPr>
                      <w:rFonts w:hint="eastAsia" w:ascii="Times New Roman" w:hAnsi="Times New Roman" w:eastAsia="宋体" w:cs="Times New Roman"/>
                      <w:color w:val="auto"/>
                      <w:kern w:val="0"/>
                      <w:sz w:val="21"/>
                      <w:szCs w:val="20"/>
                      <w:lang w:val="en-US" w:eastAsia="zh-CN" w:bidi="ar-SA"/>
                    </w:rPr>
                    <w:t>dB（A）</w:t>
                  </w:r>
                </w:p>
              </w:tc>
              <w:tc>
                <w:tcPr>
                  <w:tcW w:w="1406" w:type="pct"/>
                  <w:tcBorders>
                    <w:tl2br w:val="nil"/>
                    <w:tr2bl w:val="nil"/>
                  </w:tcBorders>
                  <w:noWrap w:val="0"/>
                  <w:vAlign w:val="center"/>
                </w:tcPr>
                <w:p w14:paraId="0C4D3D9A">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超标</w:t>
                  </w:r>
                  <w:r>
                    <w:rPr>
                      <w:rFonts w:hint="eastAsia" w:ascii="Times New Roman" w:hAnsi="Times New Roman" w:eastAsia="宋体" w:cs="Times New Roman"/>
                      <w:color w:val="auto"/>
                      <w:kern w:val="0"/>
                      <w:sz w:val="21"/>
                      <w:szCs w:val="20"/>
                      <w:lang w:val="en-US" w:eastAsia="zh-CN" w:bidi="ar-SA"/>
                    </w:rPr>
                    <w:t>/</w:t>
                  </w:r>
                  <w:r>
                    <w:rPr>
                      <w:rFonts w:ascii="Times New Roman" w:hAnsi="Times New Roman" w:eastAsia="宋体" w:cs="Times New Roman"/>
                      <w:color w:val="auto"/>
                      <w:kern w:val="0"/>
                      <w:sz w:val="21"/>
                      <w:szCs w:val="20"/>
                      <w:lang w:val="en-US" w:eastAsia="zh-CN" w:bidi="ar-SA"/>
                    </w:rPr>
                    <w:t>达标</w:t>
                  </w:r>
                </w:p>
                <w:p w14:paraId="30616FCE">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情况</w:t>
                  </w:r>
                </w:p>
              </w:tc>
            </w:tr>
            <w:tr w14:paraId="6978A8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338" w:type="pct"/>
                  <w:vMerge w:val="continue"/>
                  <w:tcBorders>
                    <w:tl2br w:val="nil"/>
                    <w:tr2bl w:val="nil"/>
                  </w:tcBorders>
                  <w:noWrap w:val="0"/>
                  <w:tcMar>
                    <w:left w:w="28" w:type="dxa"/>
                    <w:right w:w="28" w:type="dxa"/>
                  </w:tcMar>
                  <w:vAlign w:val="center"/>
                </w:tcPr>
                <w:p w14:paraId="49537D27">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p>
              </w:tc>
              <w:tc>
                <w:tcPr>
                  <w:tcW w:w="798" w:type="pct"/>
                  <w:vMerge w:val="continue"/>
                  <w:tcBorders>
                    <w:tl2br w:val="nil"/>
                    <w:tr2bl w:val="nil"/>
                  </w:tcBorders>
                  <w:noWrap w:val="0"/>
                  <w:vAlign w:val="center"/>
                </w:tcPr>
                <w:p w14:paraId="175A652E">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p>
              </w:tc>
              <w:tc>
                <w:tcPr>
                  <w:tcW w:w="500" w:type="pct"/>
                  <w:vMerge w:val="continue"/>
                  <w:tcBorders>
                    <w:tl2br w:val="nil"/>
                    <w:tr2bl w:val="nil"/>
                  </w:tcBorders>
                  <w:noWrap w:val="0"/>
                  <w:vAlign w:val="center"/>
                </w:tcPr>
                <w:p w14:paraId="65D440B7">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p>
              </w:tc>
              <w:tc>
                <w:tcPr>
                  <w:tcW w:w="957" w:type="pct"/>
                  <w:tcBorders>
                    <w:tl2br w:val="nil"/>
                    <w:tr2bl w:val="nil"/>
                  </w:tcBorders>
                  <w:noWrap w:val="0"/>
                  <w:vAlign w:val="center"/>
                </w:tcPr>
                <w:p w14:paraId="3A750FD5">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昼间</w:t>
                  </w:r>
                </w:p>
              </w:tc>
              <w:tc>
                <w:tcPr>
                  <w:tcW w:w="998" w:type="pct"/>
                  <w:tcBorders>
                    <w:tl2br w:val="nil"/>
                    <w:tr2bl w:val="nil"/>
                  </w:tcBorders>
                  <w:noWrap w:val="0"/>
                  <w:vAlign w:val="center"/>
                </w:tcPr>
                <w:p w14:paraId="2BC9D319">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昼间</w:t>
                  </w:r>
                </w:p>
              </w:tc>
              <w:tc>
                <w:tcPr>
                  <w:tcW w:w="1406" w:type="pct"/>
                  <w:tcBorders>
                    <w:tl2br w:val="nil"/>
                    <w:tr2bl w:val="nil"/>
                  </w:tcBorders>
                  <w:noWrap w:val="0"/>
                  <w:vAlign w:val="center"/>
                </w:tcPr>
                <w:p w14:paraId="0A11E4D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昼间</w:t>
                  </w:r>
                </w:p>
              </w:tc>
            </w:tr>
            <w:tr w14:paraId="0CDCFA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97" w:hRule="atLeast"/>
              </w:trPr>
              <w:tc>
                <w:tcPr>
                  <w:tcW w:w="338" w:type="pct"/>
                  <w:tcBorders>
                    <w:tl2br w:val="nil"/>
                    <w:tr2bl w:val="nil"/>
                  </w:tcBorders>
                  <w:noWrap w:val="0"/>
                  <w:tcMar>
                    <w:left w:w="28" w:type="dxa"/>
                    <w:right w:w="28" w:type="dxa"/>
                  </w:tcMar>
                  <w:vAlign w:val="center"/>
                </w:tcPr>
                <w:p w14:paraId="173ACECF">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1</w:t>
                  </w:r>
                </w:p>
              </w:tc>
              <w:tc>
                <w:tcPr>
                  <w:tcW w:w="798" w:type="pct"/>
                  <w:tcBorders>
                    <w:tl2br w:val="nil"/>
                    <w:tr2bl w:val="nil"/>
                  </w:tcBorders>
                  <w:noWrap w:val="0"/>
                  <w:vAlign w:val="center"/>
                </w:tcPr>
                <w:p w14:paraId="4FBCB7C2">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北侧厂界</w:t>
                  </w:r>
                </w:p>
              </w:tc>
              <w:tc>
                <w:tcPr>
                  <w:tcW w:w="500" w:type="pct"/>
                  <w:tcBorders>
                    <w:tl2br w:val="nil"/>
                    <w:tr2bl w:val="nil"/>
                  </w:tcBorders>
                  <w:noWrap w:val="0"/>
                  <w:vAlign w:val="center"/>
                </w:tcPr>
                <w:p w14:paraId="0F900CC0">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1m</w:t>
                  </w:r>
                </w:p>
              </w:tc>
              <w:tc>
                <w:tcPr>
                  <w:tcW w:w="957" w:type="pct"/>
                  <w:tcBorders>
                    <w:tl2br w:val="nil"/>
                    <w:tr2bl w:val="nil"/>
                  </w:tcBorders>
                  <w:noWrap w:val="0"/>
                  <w:vAlign w:val="center"/>
                </w:tcPr>
                <w:p w14:paraId="19C20F0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65</w:t>
                  </w:r>
                </w:p>
              </w:tc>
              <w:tc>
                <w:tcPr>
                  <w:tcW w:w="998" w:type="pct"/>
                  <w:tcBorders>
                    <w:tl2br w:val="nil"/>
                    <w:tr2bl w:val="nil"/>
                  </w:tcBorders>
                  <w:noWrap w:val="0"/>
                  <w:vAlign w:val="center"/>
                </w:tcPr>
                <w:p w14:paraId="37823EF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54.96</w:t>
                  </w:r>
                </w:p>
              </w:tc>
              <w:tc>
                <w:tcPr>
                  <w:tcW w:w="1406" w:type="pct"/>
                  <w:tcBorders>
                    <w:tl2br w:val="nil"/>
                    <w:tr2bl w:val="nil"/>
                  </w:tcBorders>
                  <w:noWrap w:val="0"/>
                  <w:vAlign w:val="center"/>
                </w:tcPr>
                <w:p w14:paraId="47D0F31F">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达标</w:t>
                  </w:r>
                </w:p>
              </w:tc>
            </w:tr>
            <w:tr w14:paraId="298482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97" w:hRule="atLeast"/>
              </w:trPr>
              <w:tc>
                <w:tcPr>
                  <w:tcW w:w="338" w:type="pct"/>
                  <w:tcBorders>
                    <w:tl2br w:val="nil"/>
                    <w:tr2bl w:val="nil"/>
                  </w:tcBorders>
                  <w:noWrap w:val="0"/>
                  <w:tcMar>
                    <w:left w:w="28" w:type="dxa"/>
                    <w:right w:w="28" w:type="dxa"/>
                  </w:tcMar>
                  <w:vAlign w:val="center"/>
                </w:tcPr>
                <w:p w14:paraId="46416B5A">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2</w:t>
                  </w:r>
                </w:p>
              </w:tc>
              <w:tc>
                <w:tcPr>
                  <w:tcW w:w="798" w:type="pct"/>
                  <w:tcBorders>
                    <w:tl2br w:val="nil"/>
                    <w:tr2bl w:val="nil"/>
                  </w:tcBorders>
                  <w:noWrap w:val="0"/>
                  <w:vAlign w:val="center"/>
                </w:tcPr>
                <w:p w14:paraId="002F0CB2">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东侧厂界</w:t>
                  </w:r>
                </w:p>
              </w:tc>
              <w:tc>
                <w:tcPr>
                  <w:tcW w:w="500" w:type="pct"/>
                  <w:tcBorders>
                    <w:tl2br w:val="nil"/>
                    <w:tr2bl w:val="nil"/>
                  </w:tcBorders>
                  <w:noWrap w:val="0"/>
                  <w:vAlign w:val="center"/>
                </w:tcPr>
                <w:p w14:paraId="1C2019F5">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1m</w:t>
                  </w:r>
                </w:p>
              </w:tc>
              <w:tc>
                <w:tcPr>
                  <w:tcW w:w="957" w:type="pct"/>
                  <w:tcBorders>
                    <w:tl2br w:val="nil"/>
                    <w:tr2bl w:val="nil"/>
                  </w:tcBorders>
                  <w:noWrap w:val="0"/>
                  <w:vAlign w:val="center"/>
                </w:tcPr>
                <w:p w14:paraId="4163793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65</w:t>
                  </w:r>
                </w:p>
              </w:tc>
              <w:tc>
                <w:tcPr>
                  <w:tcW w:w="998" w:type="pct"/>
                  <w:tcBorders>
                    <w:tl2br w:val="nil"/>
                    <w:tr2bl w:val="nil"/>
                  </w:tcBorders>
                  <w:noWrap w:val="0"/>
                  <w:vAlign w:val="center"/>
                </w:tcPr>
                <w:p w14:paraId="4DC838A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53.73</w:t>
                  </w:r>
                </w:p>
              </w:tc>
              <w:tc>
                <w:tcPr>
                  <w:tcW w:w="1406" w:type="pct"/>
                  <w:tcBorders>
                    <w:tl2br w:val="nil"/>
                    <w:tr2bl w:val="nil"/>
                  </w:tcBorders>
                  <w:noWrap w:val="0"/>
                  <w:vAlign w:val="center"/>
                </w:tcPr>
                <w:p w14:paraId="6B5D7565">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达标</w:t>
                  </w:r>
                </w:p>
              </w:tc>
            </w:tr>
            <w:tr w14:paraId="5E56DB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97" w:hRule="atLeast"/>
              </w:trPr>
              <w:tc>
                <w:tcPr>
                  <w:tcW w:w="338" w:type="pct"/>
                  <w:tcBorders>
                    <w:tl2br w:val="nil"/>
                    <w:tr2bl w:val="nil"/>
                  </w:tcBorders>
                  <w:noWrap w:val="0"/>
                  <w:tcMar>
                    <w:left w:w="28" w:type="dxa"/>
                    <w:right w:w="28" w:type="dxa"/>
                  </w:tcMar>
                  <w:vAlign w:val="center"/>
                </w:tcPr>
                <w:p w14:paraId="67A27310">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3</w:t>
                  </w:r>
                </w:p>
              </w:tc>
              <w:tc>
                <w:tcPr>
                  <w:tcW w:w="798" w:type="pct"/>
                  <w:tcBorders>
                    <w:tl2br w:val="nil"/>
                    <w:tr2bl w:val="nil"/>
                  </w:tcBorders>
                  <w:noWrap w:val="0"/>
                  <w:vAlign w:val="center"/>
                </w:tcPr>
                <w:p w14:paraId="2ACD4CDD">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南侧厂界</w:t>
                  </w:r>
                </w:p>
              </w:tc>
              <w:tc>
                <w:tcPr>
                  <w:tcW w:w="500" w:type="pct"/>
                  <w:tcBorders>
                    <w:tl2br w:val="nil"/>
                    <w:tr2bl w:val="nil"/>
                  </w:tcBorders>
                  <w:noWrap w:val="0"/>
                  <w:vAlign w:val="center"/>
                </w:tcPr>
                <w:p w14:paraId="475A1BF1">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1m</w:t>
                  </w:r>
                </w:p>
              </w:tc>
              <w:tc>
                <w:tcPr>
                  <w:tcW w:w="957" w:type="pct"/>
                  <w:tcBorders>
                    <w:tl2br w:val="nil"/>
                    <w:tr2bl w:val="nil"/>
                  </w:tcBorders>
                  <w:noWrap w:val="0"/>
                  <w:vAlign w:val="center"/>
                </w:tcPr>
                <w:p w14:paraId="0AE32EE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65</w:t>
                  </w:r>
                </w:p>
              </w:tc>
              <w:tc>
                <w:tcPr>
                  <w:tcW w:w="998" w:type="pct"/>
                  <w:tcBorders>
                    <w:tl2br w:val="nil"/>
                    <w:tr2bl w:val="nil"/>
                  </w:tcBorders>
                  <w:noWrap w:val="0"/>
                  <w:vAlign w:val="center"/>
                </w:tcPr>
                <w:p w14:paraId="6CC7178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53.75</w:t>
                  </w:r>
                </w:p>
              </w:tc>
              <w:tc>
                <w:tcPr>
                  <w:tcW w:w="1406" w:type="pct"/>
                  <w:tcBorders>
                    <w:tl2br w:val="nil"/>
                    <w:tr2bl w:val="nil"/>
                  </w:tcBorders>
                  <w:noWrap w:val="0"/>
                  <w:vAlign w:val="center"/>
                </w:tcPr>
                <w:p w14:paraId="7049B48A">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达标</w:t>
                  </w:r>
                </w:p>
              </w:tc>
            </w:tr>
            <w:tr w14:paraId="055EA0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64" w:hRule="atLeast"/>
              </w:trPr>
              <w:tc>
                <w:tcPr>
                  <w:tcW w:w="338" w:type="pct"/>
                  <w:tcBorders>
                    <w:tl2br w:val="nil"/>
                    <w:tr2bl w:val="nil"/>
                  </w:tcBorders>
                  <w:noWrap w:val="0"/>
                  <w:tcMar>
                    <w:left w:w="28" w:type="dxa"/>
                    <w:right w:w="28" w:type="dxa"/>
                  </w:tcMar>
                  <w:vAlign w:val="center"/>
                </w:tcPr>
                <w:p w14:paraId="7E66ED61">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4</w:t>
                  </w:r>
                </w:p>
              </w:tc>
              <w:tc>
                <w:tcPr>
                  <w:tcW w:w="798" w:type="pct"/>
                  <w:tcBorders>
                    <w:tl2br w:val="nil"/>
                    <w:tr2bl w:val="nil"/>
                  </w:tcBorders>
                  <w:noWrap w:val="0"/>
                  <w:vAlign w:val="center"/>
                </w:tcPr>
                <w:p w14:paraId="427E1BE3">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西侧厂界</w:t>
                  </w:r>
                </w:p>
              </w:tc>
              <w:tc>
                <w:tcPr>
                  <w:tcW w:w="500" w:type="pct"/>
                  <w:tcBorders>
                    <w:tl2br w:val="nil"/>
                    <w:tr2bl w:val="nil"/>
                  </w:tcBorders>
                  <w:noWrap w:val="0"/>
                  <w:vAlign w:val="center"/>
                </w:tcPr>
                <w:p w14:paraId="4D4ED905">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1m</w:t>
                  </w:r>
                </w:p>
              </w:tc>
              <w:tc>
                <w:tcPr>
                  <w:tcW w:w="957" w:type="pct"/>
                  <w:tcBorders>
                    <w:tl2br w:val="nil"/>
                    <w:tr2bl w:val="nil"/>
                  </w:tcBorders>
                  <w:noWrap w:val="0"/>
                  <w:vAlign w:val="center"/>
                </w:tcPr>
                <w:p w14:paraId="7E16F2E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65</w:t>
                  </w:r>
                </w:p>
              </w:tc>
              <w:tc>
                <w:tcPr>
                  <w:tcW w:w="998" w:type="pct"/>
                  <w:tcBorders>
                    <w:tl2br w:val="nil"/>
                    <w:tr2bl w:val="nil"/>
                  </w:tcBorders>
                  <w:noWrap w:val="0"/>
                  <w:vAlign w:val="center"/>
                </w:tcPr>
                <w:p w14:paraId="064BCF6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52.64</w:t>
                  </w:r>
                </w:p>
              </w:tc>
              <w:tc>
                <w:tcPr>
                  <w:tcW w:w="1406" w:type="pct"/>
                  <w:tcBorders>
                    <w:tl2br w:val="nil"/>
                    <w:tr2bl w:val="nil"/>
                  </w:tcBorders>
                  <w:noWrap w:val="0"/>
                  <w:vAlign w:val="center"/>
                </w:tcPr>
                <w:p w14:paraId="3D604DB0">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达标</w:t>
                  </w:r>
                </w:p>
              </w:tc>
            </w:tr>
          </w:tbl>
          <w:p w14:paraId="674852DE">
            <w:pPr>
              <w:pStyle w:val="25"/>
              <w:bidi w:val="0"/>
              <w:rPr>
                <w:rFonts w:hint="eastAsia"/>
                <w:color w:val="auto"/>
                <w:lang w:val="en-US" w:eastAsia="zh-CN"/>
              </w:rPr>
            </w:pPr>
            <w:r>
              <w:rPr>
                <w:rFonts w:hint="eastAsia"/>
                <w:color w:val="auto"/>
                <w:lang w:val="en-US" w:eastAsia="zh-CN"/>
              </w:rPr>
              <w:t>厂界达标分析：根据表4.3-4预测结果表明，项目主要噪声源在采取有效的降噪措施前提下，厂界四周噪声均满足</w:t>
            </w:r>
            <w:r>
              <w:rPr>
                <w:rFonts w:hint="default"/>
                <w:color w:val="auto"/>
                <w:lang w:val="en-US" w:eastAsia="zh-CN"/>
              </w:rPr>
              <w:t>《工业企业厂界环境噪声排放标准》</w:t>
            </w:r>
            <w:r>
              <w:rPr>
                <w:rFonts w:hint="eastAsia"/>
                <w:color w:val="auto"/>
                <w:lang w:val="en-US" w:eastAsia="zh-CN"/>
              </w:rPr>
              <w:t>（</w:t>
            </w:r>
            <w:r>
              <w:rPr>
                <w:rFonts w:hint="default"/>
                <w:color w:val="auto"/>
                <w:lang w:val="en-US" w:eastAsia="zh-CN"/>
              </w:rPr>
              <w:t>GB 12348-2008</w:t>
            </w:r>
            <w:r>
              <w:rPr>
                <w:rFonts w:hint="eastAsia"/>
                <w:color w:val="auto"/>
                <w:lang w:val="en-US" w:eastAsia="zh-CN"/>
              </w:rPr>
              <w:t>）中3类标准（昼间≤65dB）。</w:t>
            </w:r>
          </w:p>
          <w:p w14:paraId="78624747">
            <w:pPr>
              <w:pStyle w:val="4"/>
              <w:bidi w:val="0"/>
              <w:rPr>
                <w:rFonts w:hint="eastAsia"/>
                <w:color w:val="auto"/>
                <w:lang w:val="en-US" w:eastAsia="zh-CN"/>
              </w:rPr>
            </w:pPr>
            <w:bookmarkStart w:id="71" w:name="_Toc1731"/>
            <w:r>
              <w:rPr>
                <w:rFonts w:hint="eastAsia"/>
                <w:color w:val="auto"/>
                <w:lang w:val="en-US" w:eastAsia="zh-CN"/>
              </w:rPr>
              <w:t>4.3.4声环境防治措施</w:t>
            </w:r>
            <w:bookmarkEnd w:id="71"/>
          </w:p>
          <w:p w14:paraId="31A6A86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为了确保厂界噪声达到《工业企业厂界环境噪声排放标准》</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GB 12348-2008</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中</w:t>
            </w:r>
            <w:r>
              <w:rPr>
                <w:rFonts w:hint="eastAsia" w:ascii="Times New Roman" w:hAnsi="Times New Roman" w:eastAsia="宋体" w:cs="宋体"/>
                <w:color w:val="auto"/>
                <w:kern w:val="2"/>
                <w:sz w:val="24"/>
                <w:szCs w:val="24"/>
                <w:lang w:val="en-US" w:eastAsia="zh-CN" w:bidi="ar-SA"/>
              </w:rPr>
              <w:t>3</w:t>
            </w:r>
            <w:r>
              <w:rPr>
                <w:rFonts w:hint="default" w:ascii="Times New Roman" w:hAnsi="Times New Roman" w:eastAsia="宋体" w:cs="宋体"/>
                <w:color w:val="auto"/>
                <w:kern w:val="2"/>
                <w:sz w:val="24"/>
                <w:szCs w:val="24"/>
                <w:lang w:val="en-US" w:eastAsia="zh-CN" w:bidi="ar-SA"/>
              </w:rPr>
              <w:t>类标准，本报告建议采用以下降噪措施：</w:t>
            </w:r>
          </w:p>
          <w:p w14:paraId="64B525D2">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（1）项目选用低噪声生产设备，从源头上降低噪声源强。</w:t>
            </w:r>
          </w:p>
          <w:p w14:paraId="5C6583E2">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（2）加强车间内的噪声治理，对</w:t>
            </w:r>
            <w:r>
              <w:rPr>
                <w:rFonts w:hint="eastAsia" w:ascii="Times New Roman" w:hAnsi="Times New Roman" w:eastAsia="宋体" w:cs="宋体"/>
                <w:color w:val="auto"/>
                <w:kern w:val="2"/>
                <w:sz w:val="24"/>
                <w:szCs w:val="24"/>
                <w:lang w:val="en-US" w:eastAsia="zh-CN" w:bidi="ar-SA"/>
              </w:rPr>
              <w:t>项目</w:t>
            </w:r>
            <w:r>
              <w:rPr>
                <w:rFonts w:hint="default" w:ascii="Times New Roman" w:hAnsi="Times New Roman" w:eastAsia="宋体" w:cs="宋体"/>
                <w:color w:val="auto"/>
                <w:kern w:val="2"/>
                <w:sz w:val="24"/>
                <w:szCs w:val="24"/>
                <w:lang w:val="en-US" w:eastAsia="zh-CN" w:bidi="ar-SA"/>
              </w:rPr>
              <w:t>建</w:t>
            </w:r>
            <w:r>
              <w:rPr>
                <w:rFonts w:hint="eastAsia" w:ascii="Times New Roman" w:hAnsi="Times New Roman" w:eastAsia="宋体" w:cs="宋体"/>
                <w:color w:val="auto"/>
                <w:kern w:val="2"/>
                <w:sz w:val="24"/>
                <w:szCs w:val="24"/>
                <w:lang w:val="en-US" w:eastAsia="zh-CN" w:bidi="ar-SA"/>
              </w:rPr>
              <w:t>成</w:t>
            </w:r>
            <w:r>
              <w:rPr>
                <w:rFonts w:hint="default" w:ascii="Times New Roman" w:hAnsi="Times New Roman" w:eastAsia="宋体" w:cs="宋体"/>
                <w:color w:val="auto"/>
                <w:kern w:val="2"/>
                <w:sz w:val="24"/>
                <w:szCs w:val="24"/>
                <w:lang w:val="en-US" w:eastAsia="zh-CN" w:bidi="ar-SA"/>
              </w:rPr>
              <w:t>后厂区高噪声设备采用隔声、消声、吸声、减振等有效措施，以有效降低车间噪声。</w:t>
            </w:r>
          </w:p>
          <w:p w14:paraId="2D348FAD">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（3）加强对设备的管理和维护，在有关环保人员的统一管理下，定期检查、监测，发现噪声超标要及时治理并增加相关操作岗位工人的个体防护</w:t>
            </w:r>
            <w:r>
              <w:rPr>
                <w:rFonts w:hint="eastAsia" w:ascii="Times New Roman" w:hAnsi="Times New Roman" w:eastAsia="宋体" w:cs="宋体"/>
                <w:color w:val="auto"/>
                <w:kern w:val="2"/>
                <w:sz w:val="24"/>
                <w:szCs w:val="24"/>
                <w:lang w:val="en-US" w:eastAsia="zh-CN" w:bidi="ar-SA"/>
              </w:rPr>
              <w:t>。</w:t>
            </w:r>
          </w:p>
          <w:p w14:paraId="6A30F9B2">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（4）车辆运输物料时，在靠近居民点等对声环境质量要求较高的地方，应减小车速，禁止或尽量少鸣喇叭。</w:t>
            </w:r>
          </w:p>
          <w:p w14:paraId="69502AFC">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通过以上降噪措施，有效降低设备噪声对厂界的影响程度，确保厂界噪声符合《工业企业厂界环境噪声排放标准》</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GB 12348-2008</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中</w:t>
            </w:r>
            <w:r>
              <w:rPr>
                <w:rFonts w:hint="eastAsia" w:ascii="Times New Roman" w:hAnsi="Times New Roman" w:eastAsia="宋体" w:cs="宋体"/>
                <w:color w:val="auto"/>
                <w:kern w:val="2"/>
                <w:sz w:val="24"/>
                <w:szCs w:val="24"/>
                <w:lang w:val="en-US" w:eastAsia="zh-CN" w:bidi="ar-SA"/>
              </w:rPr>
              <w:t>3</w:t>
            </w:r>
            <w:r>
              <w:rPr>
                <w:rFonts w:hint="default" w:ascii="Times New Roman" w:hAnsi="Times New Roman" w:eastAsia="宋体" w:cs="宋体"/>
                <w:color w:val="auto"/>
                <w:kern w:val="2"/>
                <w:sz w:val="24"/>
                <w:szCs w:val="24"/>
                <w:lang w:val="en-US" w:eastAsia="zh-CN" w:bidi="ar-SA"/>
              </w:rPr>
              <w:t>类标准要求，措施可行。</w:t>
            </w:r>
          </w:p>
          <w:p w14:paraId="333AA562">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72" w:name="_Toc10371"/>
            <w:r>
              <w:rPr>
                <w:rFonts w:hint="eastAsia" w:ascii="Times New Roman" w:hAnsi="Times New Roman" w:eastAsia="宋体" w:cs="Times New Roman"/>
                <w:b/>
                <w:color w:val="auto"/>
                <w:kern w:val="2"/>
                <w:sz w:val="24"/>
                <w:szCs w:val="24"/>
                <w:lang w:val="en-US" w:eastAsia="zh-CN" w:bidi="ar-SA"/>
              </w:rPr>
              <w:t>4.3.5噪声自行监测计划</w:t>
            </w:r>
            <w:bookmarkEnd w:id="72"/>
          </w:p>
          <w:p w14:paraId="4FE3ED6D">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根据《固定污染源排污许可分类管理名录（2019年版）》（生态环境部第11号）可知，</w:t>
            </w:r>
            <w:r>
              <w:rPr>
                <w:rFonts w:hint="eastAsia" w:ascii="Times New Roman" w:hAnsi="Times New Roman" w:eastAsia="宋体" w:cs="宋体"/>
                <w:color w:val="auto"/>
                <w:kern w:val="2"/>
                <w:sz w:val="24"/>
                <w:szCs w:val="24"/>
                <w:lang w:val="en-US" w:eastAsia="zh-CN" w:bidi="ar-SA"/>
              </w:rPr>
              <w:t>本项目属于</w:t>
            </w:r>
            <w:r>
              <w:rPr>
                <w:rFonts w:hint="eastAsia" w:cs="宋体"/>
                <w:color w:val="auto"/>
                <w:kern w:val="2"/>
                <w:sz w:val="24"/>
                <w:szCs w:val="24"/>
                <w:lang w:val="en-US" w:eastAsia="zh-CN" w:bidi="ar-SA"/>
              </w:rPr>
              <w:t>电子元件及电子专用材料制造</w:t>
            </w:r>
            <w:r>
              <w:rPr>
                <w:rFonts w:hint="eastAsia" w:ascii="Times New Roman" w:hAnsi="Times New Roman" w:eastAsia="宋体" w:cs="宋体"/>
                <w:color w:val="auto"/>
                <w:kern w:val="2"/>
                <w:sz w:val="24"/>
                <w:szCs w:val="24"/>
                <w:lang w:val="en-US" w:eastAsia="zh-CN" w:bidi="ar-SA"/>
              </w:rPr>
              <w:t>业，对应《固定污染源排污许可分类管理名录（2019年版）》中</w:t>
            </w:r>
            <w:r>
              <w:rPr>
                <w:rFonts w:hint="default" w:ascii="Times New Roman" w:hAnsi="Times New Roman" w:eastAsia="宋体" w:cs="Times New Roman"/>
                <w:color w:val="auto"/>
                <w:sz w:val="24"/>
                <w:szCs w:val="24"/>
                <w:lang w:val="en-US" w:eastAsia="zh-CN"/>
              </w:rPr>
              <w:t>三十四、计算机、通信和其他电子设备制造业 39</w:t>
            </w:r>
            <w:r>
              <w:rPr>
                <w:rFonts w:hint="eastAsia" w:ascii="Times New Roman" w:hAnsi="Times New Roman" w:eastAsia="宋体" w:cs="宋体"/>
                <w:color w:val="auto"/>
                <w:kern w:val="2"/>
                <w:sz w:val="24"/>
                <w:szCs w:val="24"/>
                <w:lang w:val="en-US" w:eastAsia="zh-CN" w:bidi="ar-SA"/>
              </w:rPr>
              <w:t>，见表4.1-</w:t>
            </w:r>
            <w:r>
              <w:rPr>
                <w:rFonts w:hint="eastAsia" w:cs="宋体"/>
                <w:color w:val="auto"/>
                <w:kern w:val="2"/>
                <w:sz w:val="24"/>
                <w:szCs w:val="24"/>
                <w:lang w:val="en-US" w:eastAsia="zh-CN" w:bidi="ar-SA"/>
              </w:rPr>
              <w:t>6</w:t>
            </w:r>
            <w:r>
              <w:rPr>
                <w:rFonts w:hint="eastAsia" w:ascii="Times New Roman" w:hAnsi="Times New Roman" w:eastAsia="宋体" w:cs="宋体"/>
                <w:color w:val="auto"/>
                <w:kern w:val="2"/>
                <w:sz w:val="24"/>
                <w:szCs w:val="24"/>
                <w:lang w:val="en-US" w:eastAsia="zh-CN" w:bidi="ar-SA"/>
              </w:rPr>
              <w:t>，不涉及通用工序简化管理的。本项目应当进行登记管理，登记管理无自行监测要求。</w:t>
            </w:r>
          </w:p>
          <w:p w14:paraId="4DFD34F8">
            <w:pPr>
              <w:keepNext/>
              <w:keepLines/>
              <w:widowControl w:val="0"/>
              <w:bidi w:val="0"/>
              <w:spacing w:beforeLines="0" w:beforeAutospacing="0" w:afterLines="0" w:afterAutospacing="0" w:line="360" w:lineRule="auto"/>
              <w:jc w:val="left"/>
              <w:outlineLvl w:val="1"/>
              <w:rPr>
                <w:rFonts w:hint="eastAsia" w:ascii="Times New Roman" w:hAnsi="Times New Roman" w:eastAsia="宋体" w:cs="Times New Roman"/>
                <w:b/>
                <w:color w:val="auto"/>
                <w:kern w:val="2"/>
                <w:sz w:val="28"/>
                <w:szCs w:val="24"/>
                <w:lang w:val="en-US" w:eastAsia="zh-CN" w:bidi="ar-SA"/>
              </w:rPr>
            </w:pPr>
            <w:bookmarkStart w:id="73" w:name="_Toc27915"/>
            <w:r>
              <w:rPr>
                <w:rFonts w:hint="eastAsia" w:ascii="Times New Roman" w:hAnsi="Times New Roman" w:eastAsia="宋体" w:cs="Times New Roman"/>
                <w:b/>
                <w:color w:val="auto"/>
                <w:kern w:val="2"/>
                <w:sz w:val="28"/>
                <w:szCs w:val="24"/>
                <w:lang w:val="en-US" w:eastAsia="zh-CN" w:bidi="ar-SA"/>
              </w:rPr>
              <w:t>4.4运营期固体废物影响分析和污染防治措施</w:t>
            </w:r>
            <w:bookmarkEnd w:id="73"/>
          </w:p>
          <w:p w14:paraId="4D93744E">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74" w:name="_Toc21639"/>
            <w:r>
              <w:rPr>
                <w:rFonts w:hint="eastAsia" w:ascii="Times New Roman" w:hAnsi="Times New Roman" w:eastAsia="宋体" w:cs="Times New Roman"/>
                <w:b/>
                <w:color w:val="auto"/>
                <w:kern w:val="2"/>
                <w:sz w:val="24"/>
                <w:szCs w:val="24"/>
                <w:lang w:val="en-US" w:eastAsia="zh-CN" w:bidi="ar-SA"/>
              </w:rPr>
              <w:t>4.4.1固体废物产生情况</w:t>
            </w:r>
            <w:bookmarkEnd w:id="74"/>
          </w:p>
          <w:p w14:paraId="12723F12">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本项目建成之后运营期产生的固体废物包括</w:t>
            </w:r>
            <w:r>
              <w:rPr>
                <w:rFonts w:hint="default" w:ascii="Times New Roman" w:hAnsi="Times New Roman" w:eastAsia="宋体" w:cs="宋体"/>
                <w:color w:val="auto"/>
                <w:kern w:val="2"/>
                <w:sz w:val="24"/>
                <w:szCs w:val="24"/>
                <w:lang w:val="en-US" w:eastAsia="zh-CN" w:bidi="ar-SA"/>
              </w:rPr>
              <w:t>抛光残渣、</w:t>
            </w:r>
            <w:r>
              <w:rPr>
                <w:rFonts w:hint="eastAsia" w:ascii="Times New Roman" w:hAnsi="Times New Roman" w:eastAsia="宋体" w:cs="宋体"/>
                <w:color w:val="auto"/>
                <w:kern w:val="2"/>
                <w:sz w:val="24"/>
                <w:szCs w:val="24"/>
                <w:lang w:val="en-US" w:eastAsia="zh-CN" w:bidi="ar-SA"/>
              </w:rPr>
              <w:t>沉淀池</w:t>
            </w:r>
            <w:r>
              <w:rPr>
                <w:rFonts w:hint="default" w:ascii="Times New Roman" w:hAnsi="Times New Roman" w:eastAsia="宋体" w:cs="宋体"/>
                <w:color w:val="auto"/>
                <w:kern w:val="2"/>
                <w:sz w:val="24"/>
                <w:szCs w:val="24"/>
                <w:lang w:val="en-US" w:eastAsia="zh-CN" w:bidi="ar-SA"/>
              </w:rPr>
              <w:t>污泥、废边角料、不合格产品</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生活垃圾</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废</w:t>
            </w:r>
            <w:r>
              <w:rPr>
                <w:rFonts w:hint="eastAsia" w:ascii="Times New Roman" w:hAnsi="Times New Roman" w:eastAsia="宋体" w:cs="宋体"/>
                <w:color w:val="auto"/>
                <w:kern w:val="2"/>
                <w:sz w:val="24"/>
                <w:szCs w:val="24"/>
                <w:lang w:val="en-US" w:eastAsia="zh-CN" w:bidi="ar-SA"/>
              </w:rPr>
              <w:t>擦拭纸</w:t>
            </w:r>
            <w:r>
              <w:rPr>
                <w:rFonts w:hint="default" w:ascii="Times New Roman" w:hAnsi="Times New Roman" w:eastAsia="宋体" w:cs="宋体"/>
                <w:color w:val="auto"/>
                <w:kern w:val="2"/>
                <w:sz w:val="24"/>
                <w:szCs w:val="24"/>
                <w:lang w:val="en-US" w:eastAsia="zh-CN" w:bidi="ar-SA"/>
              </w:rPr>
              <w:t>和废绸布、</w:t>
            </w:r>
            <w:r>
              <w:rPr>
                <w:rFonts w:hint="eastAsia" w:ascii="Times New Roman" w:hAnsi="Times New Roman" w:eastAsia="宋体" w:cs="宋体"/>
                <w:color w:val="auto"/>
                <w:kern w:val="2"/>
                <w:sz w:val="24"/>
                <w:szCs w:val="24"/>
                <w:lang w:val="en-US" w:eastAsia="zh-CN" w:bidi="ar-SA"/>
              </w:rPr>
              <w:t>废包装容器、废活性炭</w:t>
            </w:r>
            <w:r>
              <w:rPr>
                <w:rFonts w:hint="eastAsia" w:cs="宋体"/>
                <w:color w:val="auto"/>
                <w:kern w:val="2"/>
                <w:sz w:val="24"/>
                <w:szCs w:val="24"/>
                <w:lang w:val="en-US" w:eastAsia="zh-CN" w:bidi="ar-SA"/>
              </w:rPr>
              <w:t>、</w:t>
            </w:r>
            <w:r>
              <w:rPr>
                <w:rFonts w:hint="eastAsia" w:ascii="Times New Roman" w:hAnsi="Times New Roman" w:eastAsia="宋体" w:cs="宋体"/>
                <w:color w:val="auto"/>
                <w:sz w:val="24"/>
                <w:szCs w:val="24"/>
                <w:lang w:val="en-US" w:eastAsia="zh-CN" w:bidi="ar-SA"/>
              </w:rPr>
              <w:t>废切削液及</w:t>
            </w:r>
            <w:r>
              <w:rPr>
                <w:rFonts w:hint="eastAsia" w:cs="宋体"/>
                <w:color w:val="auto"/>
                <w:sz w:val="24"/>
                <w:szCs w:val="24"/>
                <w:lang w:val="en-US" w:eastAsia="zh-CN" w:bidi="ar-SA"/>
              </w:rPr>
              <w:t>污泥、废除油剂、废机油、</w:t>
            </w:r>
            <w:r>
              <w:rPr>
                <w:rFonts w:hint="eastAsia" w:ascii="Times New Roman" w:hAnsi="Times New Roman" w:eastAsia="宋体" w:cs="宋体"/>
                <w:color w:val="auto"/>
                <w:kern w:val="2"/>
                <w:sz w:val="24"/>
                <w:szCs w:val="24"/>
                <w:lang w:val="en-US" w:eastAsia="zh-CN" w:bidi="ar-SA"/>
              </w:rPr>
              <w:t>铣磨、</w:t>
            </w:r>
            <w:r>
              <w:rPr>
                <w:rFonts w:hint="eastAsia" w:cs="宋体"/>
                <w:color w:val="auto"/>
                <w:kern w:val="2"/>
                <w:sz w:val="24"/>
                <w:szCs w:val="24"/>
                <w:lang w:val="en-US" w:eastAsia="zh-CN" w:bidi="ar-SA"/>
              </w:rPr>
              <w:t>倒边、研磨</w:t>
            </w:r>
            <w:r>
              <w:rPr>
                <w:rFonts w:hint="eastAsia" w:ascii="Times New Roman" w:hAnsi="Times New Roman" w:eastAsia="宋体" w:cs="宋体"/>
                <w:color w:val="auto"/>
                <w:kern w:val="2"/>
                <w:sz w:val="24"/>
                <w:szCs w:val="24"/>
                <w:lang w:val="en-US" w:eastAsia="zh-CN" w:bidi="ar-SA"/>
              </w:rPr>
              <w:t>废渣</w:t>
            </w:r>
            <w:r>
              <w:rPr>
                <w:rFonts w:hint="default" w:ascii="Times New Roman" w:hAnsi="Times New Roman" w:eastAsia="宋体" w:cs="宋体"/>
                <w:color w:val="auto"/>
                <w:kern w:val="2"/>
                <w:sz w:val="24"/>
                <w:szCs w:val="24"/>
                <w:lang w:val="en-US" w:eastAsia="zh-CN" w:bidi="ar-SA"/>
              </w:rPr>
              <w:t>。</w:t>
            </w:r>
          </w:p>
          <w:p w14:paraId="7D305B4A">
            <w:pPr>
              <w:keepNext/>
              <w:keepLines/>
              <w:widowControl w:val="0"/>
              <w:bidi w:val="0"/>
              <w:spacing w:beforeLines="0" w:beforeAutospacing="0" w:afterLines="0" w:afterAutospacing="0" w:line="360" w:lineRule="auto"/>
              <w:jc w:val="left"/>
              <w:outlineLvl w:val="2"/>
              <w:rPr>
                <w:rFonts w:hint="default" w:ascii="Times New Roman" w:hAnsi="Times New Roman" w:eastAsia="宋体" w:cs="Times New Roman"/>
                <w:b/>
                <w:color w:val="auto"/>
                <w:kern w:val="2"/>
                <w:sz w:val="24"/>
                <w:szCs w:val="24"/>
                <w:lang w:val="en-US" w:eastAsia="zh-CN" w:bidi="ar-SA"/>
              </w:rPr>
            </w:pPr>
            <w:bookmarkStart w:id="75" w:name="_Toc10123"/>
            <w:r>
              <w:rPr>
                <w:rFonts w:hint="eastAsia" w:ascii="Times New Roman" w:hAnsi="Times New Roman" w:eastAsia="宋体" w:cs="Times New Roman"/>
                <w:b/>
                <w:color w:val="auto"/>
                <w:kern w:val="2"/>
                <w:sz w:val="24"/>
                <w:szCs w:val="24"/>
                <w:lang w:val="en-US" w:eastAsia="zh-CN" w:bidi="ar-SA"/>
              </w:rPr>
              <w:t>4.4.2固体废物源强核算</w:t>
            </w:r>
            <w:bookmarkEnd w:id="75"/>
          </w:p>
          <w:p w14:paraId="17DCAFED">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（1）抛光残渣</w:t>
            </w:r>
          </w:p>
          <w:p w14:paraId="52C7BAAC">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本项目抛光过程中会产生抛光残渣，产生量为</w:t>
            </w:r>
            <w:r>
              <w:rPr>
                <w:rFonts w:hint="eastAsia" w:ascii="Times New Roman" w:hAnsi="Times New Roman" w:eastAsia="宋体" w:cs="宋体"/>
                <w:color w:val="auto"/>
                <w:kern w:val="2"/>
                <w:sz w:val="24"/>
                <w:szCs w:val="24"/>
                <w:lang w:val="en-US" w:eastAsia="zh-CN" w:bidi="ar-SA"/>
              </w:rPr>
              <w:t>0.3</w:t>
            </w:r>
            <w:r>
              <w:rPr>
                <w:rFonts w:hint="default" w:ascii="Times New Roman" w:hAnsi="Times New Roman" w:eastAsia="宋体" w:cs="宋体"/>
                <w:color w:val="auto"/>
                <w:kern w:val="2"/>
                <w:sz w:val="24"/>
                <w:szCs w:val="24"/>
                <w:lang w:val="en-US" w:eastAsia="zh-CN" w:bidi="ar-SA"/>
              </w:rPr>
              <w:t>t/a，属于一般工业固废，</w:t>
            </w:r>
            <w:r>
              <w:rPr>
                <w:rFonts w:hint="eastAsia" w:ascii="Times New Roman" w:hAnsi="Times New Roman" w:eastAsia="宋体" w:cs="宋体"/>
                <w:color w:val="auto"/>
                <w:kern w:val="2"/>
                <w:sz w:val="24"/>
                <w:szCs w:val="24"/>
                <w:lang w:val="en-US" w:eastAsia="zh-CN" w:bidi="ar-SA"/>
              </w:rPr>
              <w:t>固体废物代码为404-001-99，</w:t>
            </w:r>
            <w:r>
              <w:rPr>
                <w:rFonts w:hint="default" w:ascii="Times New Roman" w:hAnsi="Times New Roman" w:eastAsia="宋体" w:cs="宋体"/>
                <w:color w:val="auto"/>
                <w:kern w:val="2"/>
                <w:sz w:val="24"/>
                <w:szCs w:val="24"/>
                <w:lang w:val="en-US" w:eastAsia="zh-CN" w:bidi="ar-SA"/>
              </w:rPr>
              <w:t>且回收可利用价值高，经收集后出售给回收企业综合利用。</w:t>
            </w:r>
          </w:p>
          <w:p w14:paraId="09F479DD">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（2）铣磨、</w:t>
            </w:r>
            <w:r>
              <w:rPr>
                <w:rFonts w:hint="eastAsia" w:cs="宋体"/>
                <w:color w:val="auto"/>
                <w:kern w:val="2"/>
                <w:sz w:val="24"/>
                <w:szCs w:val="24"/>
                <w:lang w:val="en-US" w:eastAsia="zh-CN" w:bidi="ar-SA"/>
              </w:rPr>
              <w:t>倒边、研磨</w:t>
            </w:r>
            <w:r>
              <w:rPr>
                <w:rFonts w:hint="eastAsia" w:ascii="Times New Roman" w:hAnsi="Times New Roman" w:eastAsia="宋体" w:cs="宋体"/>
                <w:color w:val="auto"/>
                <w:kern w:val="2"/>
                <w:sz w:val="24"/>
                <w:szCs w:val="24"/>
                <w:lang w:val="en-US" w:eastAsia="zh-CN" w:bidi="ar-SA"/>
              </w:rPr>
              <w:t>废渣</w:t>
            </w:r>
          </w:p>
          <w:p w14:paraId="0F40DE6E">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项目在</w:t>
            </w:r>
            <w:r>
              <w:rPr>
                <w:rFonts w:hint="eastAsia" w:ascii="Times New Roman" w:hAnsi="Times New Roman" w:eastAsia="宋体" w:cs="宋体"/>
                <w:color w:val="auto"/>
                <w:kern w:val="2"/>
                <w:sz w:val="24"/>
                <w:szCs w:val="24"/>
                <w:lang w:val="en-US" w:eastAsia="zh-CN" w:bidi="ar-SA"/>
              </w:rPr>
              <w:t>铣磨、</w:t>
            </w:r>
            <w:r>
              <w:rPr>
                <w:rFonts w:hint="eastAsia" w:cs="宋体"/>
                <w:color w:val="auto"/>
                <w:kern w:val="2"/>
                <w:sz w:val="24"/>
                <w:szCs w:val="24"/>
                <w:lang w:val="en-US" w:eastAsia="zh-CN" w:bidi="ar-SA"/>
              </w:rPr>
              <w:t>倒边、研磨</w:t>
            </w:r>
            <w:r>
              <w:rPr>
                <w:rFonts w:hint="default" w:ascii="Times New Roman" w:hAnsi="Times New Roman" w:eastAsia="宋体" w:cs="宋体"/>
                <w:color w:val="auto"/>
                <w:kern w:val="2"/>
                <w:sz w:val="24"/>
                <w:szCs w:val="24"/>
                <w:lang w:val="en-US" w:eastAsia="zh-CN" w:bidi="ar-SA"/>
              </w:rPr>
              <w:t>过程中会产生废</w:t>
            </w:r>
            <w:r>
              <w:rPr>
                <w:rFonts w:hint="eastAsia" w:ascii="Times New Roman" w:hAnsi="Times New Roman" w:eastAsia="宋体" w:cs="宋体"/>
                <w:color w:val="auto"/>
                <w:kern w:val="2"/>
                <w:sz w:val="24"/>
                <w:szCs w:val="24"/>
                <w:lang w:val="en-US" w:eastAsia="zh-CN" w:bidi="ar-SA"/>
              </w:rPr>
              <w:t>渣</w:t>
            </w:r>
            <w:r>
              <w:rPr>
                <w:rFonts w:hint="default" w:ascii="Times New Roman" w:hAnsi="Times New Roman" w:eastAsia="宋体" w:cs="宋体"/>
                <w:color w:val="auto"/>
                <w:kern w:val="2"/>
                <w:sz w:val="24"/>
                <w:szCs w:val="24"/>
                <w:lang w:val="en-US" w:eastAsia="zh-CN" w:bidi="ar-SA"/>
              </w:rPr>
              <w:t>，产生量为</w:t>
            </w:r>
            <w:r>
              <w:rPr>
                <w:rFonts w:hint="eastAsia" w:ascii="Times New Roman" w:hAnsi="Times New Roman" w:eastAsia="宋体" w:cs="宋体"/>
                <w:color w:val="auto"/>
                <w:kern w:val="2"/>
                <w:sz w:val="24"/>
                <w:szCs w:val="24"/>
                <w:lang w:val="en-US" w:eastAsia="zh-CN" w:bidi="ar-SA"/>
              </w:rPr>
              <w:t>0.04</w:t>
            </w:r>
            <w:r>
              <w:rPr>
                <w:rFonts w:hint="default" w:ascii="Times New Roman" w:hAnsi="Times New Roman" w:eastAsia="宋体" w:cs="宋体"/>
                <w:color w:val="auto"/>
                <w:kern w:val="2"/>
                <w:sz w:val="24"/>
                <w:szCs w:val="24"/>
                <w:lang w:val="en-US" w:eastAsia="zh-CN" w:bidi="ar-SA"/>
              </w:rPr>
              <w:t>t/a，属于一般工业固废，固体废物代码为404-00</w:t>
            </w:r>
            <w:r>
              <w:rPr>
                <w:rFonts w:hint="eastAsia" w:ascii="Times New Roman" w:hAnsi="Times New Roman" w:eastAsia="宋体" w:cs="宋体"/>
                <w:color w:val="auto"/>
                <w:kern w:val="2"/>
                <w:sz w:val="24"/>
                <w:szCs w:val="24"/>
                <w:lang w:val="en-US" w:eastAsia="zh-CN" w:bidi="ar-SA"/>
              </w:rPr>
              <w:t>2</w:t>
            </w:r>
            <w:r>
              <w:rPr>
                <w:rFonts w:hint="default" w:ascii="Times New Roman" w:hAnsi="Times New Roman" w:eastAsia="宋体" w:cs="宋体"/>
                <w:color w:val="auto"/>
                <w:kern w:val="2"/>
                <w:sz w:val="24"/>
                <w:szCs w:val="24"/>
                <w:lang w:val="en-US" w:eastAsia="zh-CN" w:bidi="ar-SA"/>
              </w:rPr>
              <w:t>-99回收可利用价值高，经收集后出售给回收企业综合利用。</w:t>
            </w:r>
          </w:p>
          <w:p w14:paraId="54B5B305">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（3）沉淀池污泥</w:t>
            </w:r>
          </w:p>
          <w:p w14:paraId="6719362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根据《排放源统计调查产排污核算方法和系数手册》中《固体废物系数表》4040行业生产全过程产生的污泥产污系数为5.8×10</w:t>
            </w:r>
            <w:r>
              <w:rPr>
                <w:rFonts w:hint="eastAsia" w:ascii="Times New Roman" w:hAnsi="Times New Roman" w:eastAsia="宋体" w:cs="宋体"/>
                <w:color w:val="auto"/>
                <w:kern w:val="2"/>
                <w:sz w:val="24"/>
                <w:szCs w:val="24"/>
                <w:vertAlign w:val="superscript"/>
                <w:lang w:val="en-US" w:eastAsia="zh-CN" w:bidi="ar-SA"/>
              </w:rPr>
              <w:t>4</w:t>
            </w:r>
            <w:r>
              <w:rPr>
                <w:rFonts w:hint="eastAsia" w:ascii="Times New Roman" w:hAnsi="Times New Roman" w:eastAsia="宋体" w:cs="宋体"/>
                <w:color w:val="auto"/>
                <w:kern w:val="2"/>
                <w:sz w:val="24"/>
                <w:szCs w:val="24"/>
                <w:lang w:val="en-US" w:eastAsia="zh-CN" w:bidi="ar-SA"/>
              </w:rPr>
              <w:t>克/千件－产品，产品产能为51万片光学元器件，则污泥产生量为29.58t/a，固体废物代码为404-001-62，沉淀池污泥定期进行清掏，并由当地环卫部门统一清运处理</w:t>
            </w:r>
            <w:r>
              <w:rPr>
                <w:rFonts w:hint="default" w:ascii="Times New Roman" w:hAnsi="Times New Roman" w:eastAsia="宋体" w:cs="宋体"/>
                <w:color w:val="auto"/>
                <w:kern w:val="2"/>
                <w:sz w:val="24"/>
                <w:szCs w:val="24"/>
                <w:lang w:val="en-US" w:eastAsia="zh-CN" w:bidi="ar-SA"/>
              </w:rPr>
              <w:t>。</w:t>
            </w:r>
          </w:p>
          <w:p w14:paraId="63700F91">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（4）不合格产品</w:t>
            </w:r>
          </w:p>
          <w:p w14:paraId="7F8E2B3A">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本项目在经过人工观察检测</w:t>
            </w:r>
            <w:r>
              <w:rPr>
                <w:rFonts w:hint="eastAsia" w:ascii="Times New Roman" w:hAnsi="Times New Roman" w:eastAsia="宋体" w:cs="宋体"/>
                <w:color w:val="auto"/>
                <w:kern w:val="2"/>
                <w:sz w:val="24"/>
                <w:szCs w:val="24"/>
                <w:lang w:val="en-US" w:eastAsia="zh-CN" w:bidi="ar-SA"/>
              </w:rPr>
              <w:t>后会</w:t>
            </w:r>
            <w:r>
              <w:rPr>
                <w:rFonts w:hint="default" w:ascii="Times New Roman" w:hAnsi="Times New Roman" w:eastAsia="宋体" w:cs="宋体"/>
                <w:color w:val="auto"/>
                <w:kern w:val="2"/>
                <w:sz w:val="24"/>
                <w:szCs w:val="24"/>
                <w:lang w:val="en-US" w:eastAsia="zh-CN" w:bidi="ar-SA"/>
              </w:rPr>
              <w:t>淘汰掉不符合预期的</w:t>
            </w:r>
            <w:r>
              <w:rPr>
                <w:rFonts w:hint="eastAsia" w:ascii="Times New Roman" w:hAnsi="Times New Roman" w:eastAsia="宋体" w:cs="宋体"/>
                <w:color w:val="auto"/>
                <w:kern w:val="2"/>
                <w:sz w:val="24"/>
                <w:szCs w:val="24"/>
                <w:lang w:val="en-US" w:eastAsia="zh-CN" w:bidi="ar-SA"/>
              </w:rPr>
              <w:t>晶体</w:t>
            </w:r>
            <w:r>
              <w:rPr>
                <w:rFonts w:hint="default" w:ascii="Times New Roman" w:hAnsi="Times New Roman" w:eastAsia="宋体" w:cs="宋体"/>
                <w:color w:val="auto"/>
                <w:kern w:val="2"/>
                <w:sz w:val="24"/>
                <w:szCs w:val="24"/>
                <w:lang w:val="en-US" w:eastAsia="zh-CN" w:bidi="ar-SA"/>
              </w:rPr>
              <w:t>，不合格产品产生量为</w:t>
            </w:r>
            <w:r>
              <w:rPr>
                <w:rFonts w:hint="eastAsia" w:ascii="Times New Roman" w:hAnsi="Times New Roman" w:eastAsia="宋体" w:cs="宋体"/>
                <w:color w:val="auto"/>
                <w:kern w:val="2"/>
                <w:sz w:val="24"/>
                <w:szCs w:val="24"/>
                <w:lang w:val="en-US" w:eastAsia="zh-CN" w:bidi="ar-SA"/>
              </w:rPr>
              <w:t>0.08</w:t>
            </w:r>
            <w:r>
              <w:rPr>
                <w:rFonts w:hint="default" w:ascii="Times New Roman" w:hAnsi="Times New Roman" w:eastAsia="宋体" w:cs="宋体"/>
                <w:color w:val="auto"/>
                <w:kern w:val="2"/>
                <w:sz w:val="24"/>
                <w:szCs w:val="24"/>
                <w:lang w:val="en-US" w:eastAsia="zh-CN" w:bidi="ar-SA"/>
              </w:rPr>
              <w:t>t/a，属于一般工业固废，固体废物代码为404-00</w:t>
            </w:r>
            <w:r>
              <w:rPr>
                <w:rFonts w:hint="eastAsia" w:ascii="Times New Roman" w:hAnsi="Times New Roman" w:eastAsia="宋体" w:cs="宋体"/>
                <w:color w:val="auto"/>
                <w:kern w:val="2"/>
                <w:sz w:val="24"/>
                <w:szCs w:val="24"/>
                <w:lang w:val="en-US" w:eastAsia="zh-CN" w:bidi="ar-SA"/>
              </w:rPr>
              <w:t>3</w:t>
            </w:r>
            <w:r>
              <w:rPr>
                <w:rFonts w:hint="default" w:ascii="Times New Roman" w:hAnsi="Times New Roman" w:eastAsia="宋体" w:cs="宋体"/>
                <w:color w:val="auto"/>
                <w:kern w:val="2"/>
                <w:sz w:val="24"/>
                <w:szCs w:val="24"/>
                <w:lang w:val="en-US" w:eastAsia="zh-CN" w:bidi="ar-SA"/>
              </w:rPr>
              <w:t>-99且回收可利用价值高，经收集后出售给回收企业综合利用。</w:t>
            </w:r>
          </w:p>
          <w:p w14:paraId="7DFC2000">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（5）废活性炭</w:t>
            </w:r>
          </w:p>
          <w:p w14:paraId="445833F2">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废活性炭：项目废气处理设施采用</w:t>
            </w:r>
            <w:r>
              <w:rPr>
                <w:rFonts w:hint="eastAsia" w:ascii="Times New Roman" w:hAnsi="Times New Roman" w:eastAsia="宋体" w:cs="宋体"/>
                <w:color w:val="auto"/>
                <w:kern w:val="2"/>
                <w:sz w:val="24"/>
                <w:szCs w:val="24"/>
                <w:lang w:val="en-US" w:eastAsia="zh-CN" w:bidi="ar-SA"/>
              </w:rPr>
              <w:t>二级</w:t>
            </w:r>
            <w:r>
              <w:rPr>
                <w:rFonts w:hint="default" w:ascii="Times New Roman" w:hAnsi="Times New Roman" w:eastAsia="宋体" w:cs="宋体"/>
                <w:color w:val="auto"/>
                <w:kern w:val="2"/>
                <w:sz w:val="24"/>
                <w:szCs w:val="24"/>
                <w:lang w:val="en-US" w:eastAsia="zh-CN" w:bidi="ar-SA"/>
              </w:rPr>
              <w:t>活性炭吸附装置，根据前文计算可知，吸收有机废气量约为</w:t>
            </w:r>
            <w:r>
              <w:rPr>
                <w:rFonts w:hint="eastAsia" w:ascii="Times New Roman" w:hAnsi="Times New Roman" w:eastAsia="宋体" w:cs="宋体"/>
                <w:color w:val="auto"/>
                <w:kern w:val="2"/>
                <w:sz w:val="24"/>
                <w:szCs w:val="24"/>
                <w:lang w:val="en-US" w:eastAsia="zh-CN" w:bidi="ar-SA"/>
              </w:rPr>
              <w:t>0.2832</w:t>
            </w:r>
            <w:r>
              <w:rPr>
                <w:rFonts w:hint="default" w:ascii="Times New Roman" w:hAnsi="Times New Roman" w:eastAsia="宋体" w:cs="宋体"/>
                <w:color w:val="auto"/>
                <w:kern w:val="2"/>
                <w:sz w:val="24"/>
                <w:szCs w:val="24"/>
                <w:lang w:val="en-US" w:eastAsia="zh-CN" w:bidi="ar-SA"/>
              </w:rPr>
              <w:t>t/a，根据中国建筑出版社（1997）出版的《简明通风设计手册》第十章中关于活性吸附处理治理废气的方法中提供的数据：每1.0kg活性炭吸附有机废气的平衡量为0.43～0.61kg，本项目按1t活性炭吸附0.5t有机废气计算，根据前文产排污分析可知，项目有组织有机废气</w:t>
            </w:r>
            <w:r>
              <w:rPr>
                <w:rFonts w:hint="eastAsia" w:ascii="Times New Roman" w:hAnsi="Times New Roman" w:eastAsia="宋体" w:cs="宋体"/>
                <w:color w:val="auto"/>
                <w:kern w:val="2"/>
                <w:sz w:val="24"/>
                <w:szCs w:val="24"/>
                <w:lang w:val="en-US" w:eastAsia="zh-CN" w:bidi="ar-SA"/>
              </w:rPr>
              <w:t>排放</w:t>
            </w:r>
            <w:r>
              <w:rPr>
                <w:rFonts w:hint="default" w:ascii="Times New Roman" w:hAnsi="Times New Roman" w:eastAsia="宋体" w:cs="宋体"/>
                <w:color w:val="auto"/>
                <w:kern w:val="2"/>
                <w:sz w:val="24"/>
                <w:szCs w:val="24"/>
                <w:lang w:val="en-US" w:eastAsia="zh-CN" w:bidi="ar-SA"/>
              </w:rPr>
              <w:t>净化量</w:t>
            </w:r>
            <w:r>
              <w:rPr>
                <w:rFonts w:hint="eastAsia" w:ascii="Times New Roman" w:hAnsi="Times New Roman" w:eastAsia="宋体" w:cs="宋体"/>
                <w:color w:val="auto"/>
                <w:kern w:val="2"/>
                <w:sz w:val="24"/>
                <w:szCs w:val="24"/>
                <w:lang w:val="en-US" w:eastAsia="zh-CN" w:bidi="ar-SA"/>
              </w:rPr>
              <w:t>0.2832</w:t>
            </w:r>
            <w:r>
              <w:rPr>
                <w:rFonts w:hint="default" w:ascii="Times New Roman" w:hAnsi="Times New Roman" w:eastAsia="宋体" w:cs="宋体"/>
                <w:color w:val="auto"/>
                <w:kern w:val="2"/>
                <w:sz w:val="24"/>
                <w:szCs w:val="24"/>
                <w:lang w:val="en-US" w:eastAsia="zh-CN" w:bidi="ar-SA"/>
              </w:rPr>
              <w:t>t/a，则预计项目年消耗活性炭量为</w:t>
            </w:r>
            <w:r>
              <w:rPr>
                <w:rFonts w:hint="eastAsia" w:ascii="Times New Roman" w:hAnsi="Times New Roman" w:eastAsia="宋体" w:cs="宋体"/>
                <w:color w:val="auto"/>
                <w:kern w:val="2"/>
                <w:sz w:val="24"/>
                <w:szCs w:val="24"/>
                <w:lang w:val="en-US" w:eastAsia="zh-CN" w:bidi="ar-SA"/>
              </w:rPr>
              <w:t>0.5664</w:t>
            </w:r>
            <w:r>
              <w:rPr>
                <w:rFonts w:hint="default" w:ascii="Times New Roman" w:hAnsi="Times New Roman" w:eastAsia="宋体" w:cs="宋体"/>
                <w:color w:val="auto"/>
                <w:kern w:val="2"/>
                <w:sz w:val="24"/>
                <w:szCs w:val="24"/>
                <w:lang w:val="en-US" w:eastAsia="zh-CN" w:bidi="ar-SA"/>
              </w:rPr>
              <w:t>t，则项目每年产生的废活性炭吸附饱和物量约为</w:t>
            </w:r>
            <w:r>
              <w:rPr>
                <w:rFonts w:hint="eastAsia" w:ascii="Times New Roman" w:hAnsi="Times New Roman" w:eastAsia="宋体" w:cs="宋体"/>
                <w:color w:val="auto"/>
                <w:kern w:val="2"/>
                <w:sz w:val="24"/>
                <w:szCs w:val="24"/>
                <w:lang w:val="en-US" w:eastAsia="zh-CN" w:bidi="ar-SA"/>
              </w:rPr>
              <w:t>0.8496</w:t>
            </w:r>
            <w:r>
              <w:rPr>
                <w:rFonts w:hint="default" w:ascii="Times New Roman" w:hAnsi="Times New Roman" w:eastAsia="宋体" w:cs="宋体"/>
                <w:color w:val="auto"/>
                <w:kern w:val="2"/>
                <w:sz w:val="24"/>
                <w:szCs w:val="24"/>
                <w:lang w:val="en-US" w:eastAsia="zh-CN" w:bidi="ar-SA"/>
              </w:rPr>
              <w:t>t/a，项目计划每两个月更换一次活性炭吸附填料，确保项目有机废气达标排放，则废弃活性炭吸附饱和物年生产量约为</w:t>
            </w:r>
            <w:r>
              <w:rPr>
                <w:rFonts w:hint="eastAsia" w:ascii="Times New Roman" w:hAnsi="Times New Roman" w:eastAsia="宋体" w:cs="宋体"/>
                <w:color w:val="auto"/>
                <w:kern w:val="2"/>
                <w:sz w:val="24"/>
                <w:szCs w:val="24"/>
                <w:lang w:val="en-US" w:eastAsia="zh-CN" w:bidi="ar-SA"/>
              </w:rPr>
              <w:t>0.8496</w:t>
            </w:r>
            <w:r>
              <w:rPr>
                <w:rFonts w:hint="default" w:ascii="Times New Roman" w:hAnsi="Times New Roman" w:eastAsia="宋体" w:cs="宋体"/>
                <w:color w:val="auto"/>
                <w:kern w:val="2"/>
                <w:sz w:val="24"/>
                <w:szCs w:val="24"/>
                <w:lang w:val="en-US" w:eastAsia="zh-CN" w:bidi="ar-SA"/>
              </w:rPr>
              <w:t>t/a。根据《国家危险废物名录》（202</w:t>
            </w:r>
            <w:r>
              <w:rPr>
                <w:rFonts w:hint="eastAsia" w:ascii="Times New Roman" w:hAnsi="Times New Roman" w:eastAsia="宋体" w:cs="宋体"/>
                <w:color w:val="auto"/>
                <w:kern w:val="2"/>
                <w:sz w:val="24"/>
                <w:szCs w:val="24"/>
                <w:lang w:val="en-US" w:eastAsia="zh-CN" w:bidi="ar-SA"/>
              </w:rPr>
              <w:t>5</w:t>
            </w:r>
            <w:r>
              <w:rPr>
                <w:rFonts w:hint="default" w:ascii="Times New Roman" w:hAnsi="Times New Roman" w:eastAsia="宋体" w:cs="宋体"/>
                <w:color w:val="auto"/>
                <w:kern w:val="2"/>
                <w:sz w:val="24"/>
                <w:szCs w:val="24"/>
                <w:lang w:val="en-US" w:eastAsia="zh-CN" w:bidi="ar-SA"/>
              </w:rPr>
              <w:t>年版），废弃活性炭吸附饱和物属于危险废物，废物类别为HW49其他废物，废物代码900-039-49。妥善收集后暂存至</w:t>
            </w:r>
            <w:r>
              <w:rPr>
                <w:rFonts w:hint="eastAsia" w:ascii="Times New Roman" w:hAnsi="Times New Roman" w:eastAsia="宋体" w:cs="宋体"/>
                <w:color w:val="auto"/>
                <w:kern w:val="2"/>
                <w:sz w:val="24"/>
                <w:szCs w:val="24"/>
                <w:lang w:val="en-US" w:eastAsia="zh-CN" w:bidi="ar-SA"/>
              </w:rPr>
              <w:t>危废贮存间</w:t>
            </w:r>
            <w:r>
              <w:rPr>
                <w:rFonts w:hint="default" w:ascii="Times New Roman" w:hAnsi="Times New Roman" w:eastAsia="宋体" w:cs="宋体"/>
                <w:color w:val="auto"/>
                <w:kern w:val="2"/>
                <w:sz w:val="24"/>
                <w:szCs w:val="24"/>
                <w:lang w:val="en-US" w:eastAsia="zh-CN" w:bidi="ar-SA"/>
              </w:rPr>
              <w:t>中，定期委托有危废处置资质单位进行处理。</w:t>
            </w:r>
          </w:p>
          <w:p w14:paraId="232C4B34">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（6）废布和废擦拭纸</w:t>
            </w:r>
          </w:p>
          <w:p w14:paraId="404D267E">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检测擦拭过程中检测人员将布和</w:t>
            </w:r>
            <w:r>
              <w:rPr>
                <w:rFonts w:hint="eastAsia" w:ascii="Times New Roman" w:hAnsi="Times New Roman" w:eastAsia="宋体" w:cs="宋体"/>
                <w:color w:val="auto"/>
                <w:kern w:val="2"/>
                <w:sz w:val="24"/>
                <w:szCs w:val="24"/>
                <w:lang w:val="en-US" w:eastAsia="zh-CN" w:bidi="ar-SA"/>
              </w:rPr>
              <w:t>擦拭纸</w:t>
            </w:r>
            <w:r>
              <w:rPr>
                <w:rFonts w:hint="default" w:ascii="Times New Roman" w:hAnsi="Times New Roman" w:eastAsia="宋体" w:cs="宋体"/>
                <w:color w:val="auto"/>
                <w:kern w:val="2"/>
                <w:sz w:val="24"/>
                <w:szCs w:val="24"/>
                <w:lang w:val="en-US" w:eastAsia="zh-CN" w:bidi="ar-SA"/>
              </w:rPr>
              <w:t>沾有机助剂在</w:t>
            </w:r>
            <w:r>
              <w:rPr>
                <w:rFonts w:hint="eastAsia" w:ascii="Times New Roman" w:hAnsi="Times New Roman" w:eastAsia="宋体" w:cs="宋体"/>
                <w:color w:val="auto"/>
                <w:kern w:val="2"/>
                <w:sz w:val="24"/>
                <w:szCs w:val="24"/>
                <w:lang w:val="en-US" w:eastAsia="zh-CN" w:bidi="ar-SA"/>
              </w:rPr>
              <w:t>晶体</w:t>
            </w:r>
            <w:r>
              <w:rPr>
                <w:rFonts w:hint="default" w:ascii="Times New Roman" w:hAnsi="Times New Roman" w:eastAsia="宋体" w:cs="宋体"/>
                <w:color w:val="auto"/>
                <w:kern w:val="2"/>
                <w:sz w:val="24"/>
                <w:szCs w:val="24"/>
                <w:lang w:val="en-US" w:eastAsia="zh-CN" w:bidi="ar-SA"/>
              </w:rPr>
              <w:t>上擦拭，对照《国家危险废物名录》</w:t>
            </w:r>
            <w:r>
              <w:rPr>
                <w:rFonts w:hint="eastAsia" w:ascii="Times New Roman" w:hAnsi="Times New Roman" w:eastAsia="宋体" w:cs="宋体"/>
                <w:color w:val="auto"/>
                <w:kern w:val="2"/>
                <w:sz w:val="24"/>
                <w:szCs w:val="24"/>
                <w:lang w:val="en-US" w:eastAsia="zh-CN" w:bidi="ar-SA"/>
              </w:rPr>
              <w:t>（2025年版）</w:t>
            </w:r>
            <w:r>
              <w:rPr>
                <w:rFonts w:hint="default" w:ascii="Times New Roman" w:hAnsi="Times New Roman" w:eastAsia="宋体" w:cs="宋体"/>
                <w:color w:val="auto"/>
                <w:kern w:val="2"/>
                <w:sz w:val="24"/>
                <w:szCs w:val="24"/>
                <w:lang w:val="en-US" w:eastAsia="zh-CN" w:bidi="ar-SA"/>
              </w:rPr>
              <w:t>中所列的危险</w:t>
            </w:r>
            <w:r>
              <w:rPr>
                <w:rFonts w:hint="eastAsia" w:ascii="Times New Roman" w:hAnsi="Times New Roman" w:eastAsia="宋体" w:cs="宋体"/>
                <w:color w:val="auto"/>
                <w:kern w:val="2"/>
                <w:sz w:val="24"/>
                <w:szCs w:val="24"/>
                <w:lang w:val="en-US" w:eastAsia="zh-CN" w:bidi="ar-SA"/>
              </w:rPr>
              <w:t>废物</w:t>
            </w:r>
            <w:r>
              <w:rPr>
                <w:rFonts w:hint="default" w:ascii="Times New Roman" w:hAnsi="Times New Roman" w:eastAsia="宋体" w:cs="宋体"/>
                <w:color w:val="auto"/>
                <w:kern w:val="2"/>
                <w:sz w:val="24"/>
                <w:szCs w:val="24"/>
                <w:lang w:val="en-US" w:eastAsia="zh-CN" w:bidi="ar-SA"/>
              </w:rPr>
              <w:t>，擦拭废布和废</w:t>
            </w:r>
            <w:r>
              <w:rPr>
                <w:rFonts w:hint="eastAsia" w:ascii="Times New Roman" w:hAnsi="Times New Roman" w:eastAsia="宋体" w:cs="宋体"/>
                <w:color w:val="auto"/>
                <w:kern w:val="2"/>
                <w:sz w:val="24"/>
                <w:szCs w:val="24"/>
                <w:lang w:val="en-US" w:eastAsia="zh-CN" w:bidi="ar-SA"/>
              </w:rPr>
              <w:t>擦拭纸废物类别为</w:t>
            </w:r>
            <w:r>
              <w:rPr>
                <w:rFonts w:hint="default" w:ascii="Times New Roman" w:hAnsi="Times New Roman" w:eastAsia="宋体" w:cs="宋体"/>
                <w:color w:val="auto"/>
                <w:kern w:val="2"/>
                <w:sz w:val="24"/>
                <w:szCs w:val="24"/>
                <w:lang w:val="en-US" w:eastAsia="zh-CN" w:bidi="ar-SA"/>
              </w:rPr>
              <w:t>HW49其他废物</w:t>
            </w:r>
            <w:r>
              <w:rPr>
                <w:rFonts w:hint="eastAsia" w:ascii="Times New Roman" w:hAnsi="Times New Roman" w:eastAsia="宋体" w:cs="宋体"/>
                <w:color w:val="auto"/>
                <w:kern w:val="2"/>
                <w:sz w:val="24"/>
                <w:szCs w:val="24"/>
                <w:lang w:val="en-US" w:eastAsia="zh-CN" w:bidi="ar-SA"/>
              </w:rPr>
              <w:t>，废物代码</w:t>
            </w:r>
            <w:r>
              <w:rPr>
                <w:rFonts w:hint="default" w:ascii="Times New Roman" w:hAnsi="Times New Roman" w:eastAsia="宋体" w:cs="宋体"/>
                <w:color w:val="auto"/>
                <w:kern w:val="2"/>
                <w:sz w:val="24"/>
                <w:szCs w:val="24"/>
                <w:lang w:val="en-US" w:eastAsia="zh-CN" w:bidi="ar-SA"/>
              </w:rPr>
              <w:t>900-041-49，</w:t>
            </w:r>
            <w:r>
              <w:rPr>
                <w:rFonts w:hint="eastAsia" w:ascii="Times New Roman" w:hAnsi="Times New Roman" w:eastAsia="宋体" w:cs="宋体"/>
                <w:color w:val="auto"/>
                <w:kern w:val="2"/>
                <w:sz w:val="24"/>
                <w:szCs w:val="24"/>
                <w:lang w:val="en-US" w:eastAsia="zh-CN" w:bidi="ar-SA"/>
              </w:rPr>
              <w:t>妥善</w:t>
            </w:r>
            <w:r>
              <w:rPr>
                <w:rFonts w:hint="default" w:ascii="Times New Roman" w:hAnsi="Times New Roman" w:eastAsia="宋体" w:cs="宋体"/>
                <w:color w:val="auto"/>
                <w:kern w:val="2"/>
                <w:sz w:val="24"/>
                <w:szCs w:val="24"/>
                <w:lang w:val="en-US" w:eastAsia="zh-CN" w:bidi="ar-SA"/>
              </w:rPr>
              <w:t>收集后临时储存于危险废物暂存间，</w:t>
            </w:r>
            <w:r>
              <w:rPr>
                <w:rFonts w:hint="eastAsia" w:ascii="Times New Roman" w:hAnsi="Times New Roman" w:eastAsia="宋体" w:cs="宋体"/>
                <w:color w:val="auto"/>
                <w:kern w:val="2"/>
                <w:sz w:val="24"/>
                <w:szCs w:val="24"/>
                <w:lang w:val="en-US" w:eastAsia="zh-CN" w:bidi="ar-SA"/>
              </w:rPr>
              <w:t>定期</w:t>
            </w:r>
            <w:r>
              <w:rPr>
                <w:rFonts w:hint="default" w:ascii="Times New Roman" w:hAnsi="Times New Roman" w:eastAsia="宋体" w:cs="宋体"/>
                <w:color w:val="auto"/>
                <w:kern w:val="2"/>
                <w:sz w:val="24"/>
                <w:szCs w:val="24"/>
                <w:lang w:val="en-US" w:eastAsia="zh-CN" w:bidi="ar-SA"/>
              </w:rPr>
              <w:t>委托有资质的</w:t>
            </w:r>
            <w:r>
              <w:rPr>
                <w:rFonts w:hint="eastAsia" w:ascii="Times New Roman" w:hAnsi="Times New Roman" w:eastAsia="宋体" w:cs="宋体"/>
                <w:color w:val="auto"/>
                <w:kern w:val="2"/>
                <w:sz w:val="24"/>
                <w:szCs w:val="24"/>
                <w:lang w:val="en-US" w:eastAsia="zh-CN" w:bidi="ar-SA"/>
              </w:rPr>
              <w:t>单位</w:t>
            </w:r>
            <w:r>
              <w:rPr>
                <w:rFonts w:hint="default" w:ascii="Times New Roman" w:hAnsi="Times New Roman" w:eastAsia="宋体" w:cs="宋体"/>
                <w:color w:val="auto"/>
                <w:kern w:val="2"/>
                <w:sz w:val="24"/>
                <w:szCs w:val="24"/>
                <w:lang w:val="en-US" w:eastAsia="zh-CN" w:bidi="ar-SA"/>
              </w:rPr>
              <w:t>处理处置。废布和废</w:t>
            </w:r>
            <w:r>
              <w:rPr>
                <w:rFonts w:hint="eastAsia" w:ascii="Times New Roman" w:hAnsi="Times New Roman" w:eastAsia="宋体" w:cs="宋体"/>
                <w:color w:val="auto"/>
                <w:kern w:val="2"/>
                <w:sz w:val="24"/>
                <w:szCs w:val="24"/>
                <w:lang w:val="en-US" w:eastAsia="zh-CN" w:bidi="ar-SA"/>
              </w:rPr>
              <w:t>擦拭纸</w:t>
            </w:r>
            <w:r>
              <w:rPr>
                <w:rFonts w:hint="default" w:ascii="Times New Roman" w:hAnsi="Times New Roman" w:eastAsia="宋体" w:cs="宋体"/>
                <w:color w:val="auto"/>
                <w:kern w:val="2"/>
                <w:sz w:val="24"/>
                <w:szCs w:val="24"/>
                <w:lang w:val="en-US" w:eastAsia="zh-CN" w:bidi="ar-SA"/>
              </w:rPr>
              <w:t>产生量为0.00</w:t>
            </w:r>
            <w:r>
              <w:rPr>
                <w:rFonts w:hint="eastAsia" w:ascii="Times New Roman" w:hAnsi="Times New Roman" w:eastAsia="宋体" w:cs="宋体"/>
                <w:color w:val="auto"/>
                <w:kern w:val="2"/>
                <w:sz w:val="24"/>
                <w:szCs w:val="24"/>
                <w:lang w:val="en-US" w:eastAsia="zh-CN" w:bidi="ar-SA"/>
              </w:rPr>
              <w:t>4</w:t>
            </w:r>
            <w:r>
              <w:rPr>
                <w:rFonts w:hint="default" w:ascii="Times New Roman" w:hAnsi="Times New Roman" w:eastAsia="宋体" w:cs="宋体"/>
                <w:color w:val="auto"/>
                <w:kern w:val="2"/>
                <w:sz w:val="24"/>
                <w:szCs w:val="24"/>
                <w:lang w:val="en-US" w:eastAsia="zh-CN" w:bidi="ar-SA"/>
              </w:rPr>
              <w:t>t/a。</w:t>
            </w:r>
          </w:p>
          <w:p w14:paraId="51C9BA93">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（7）废包装容器</w:t>
            </w:r>
          </w:p>
          <w:p w14:paraId="18E9E5EF">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废空瓶</w:t>
            </w:r>
            <w:r>
              <w:rPr>
                <w:rFonts w:hint="default" w:ascii="Times New Roman" w:hAnsi="Times New Roman" w:eastAsia="宋体" w:cs="宋体"/>
                <w:color w:val="auto"/>
                <w:kern w:val="2"/>
                <w:sz w:val="24"/>
                <w:szCs w:val="24"/>
                <w:lang w:val="en-US" w:eastAsia="zh-CN" w:bidi="ar-SA"/>
              </w:rPr>
              <w:t>主要是使用完乙醇、乙醚、丙酮等有机溶剂的空玻璃瓶，</w:t>
            </w:r>
            <w:r>
              <w:rPr>
                <w:rFonts w:hint="eastAsia" w:ascii="Times New Roman" w:hAnsi="Times New Roman" w:eastAsia="宋体" w:cs="宋体"/>
                <w:color w:val="auto"/>
                <w:kern w:val="2"/>
                <w:sz w:val="24"/>
                <w:szCs w:val="24"/>
                <w:lang w:val="en-US" w:eastAsia="zh-CN" w:bidi="ar-SA"/>
              </w:rPr>
              <w:t>超洗药水的塑料桶、IPA（异丙醇）的铁桶、胶水的空瓶，</w:t>
            </w:r>
            <w:r>
              <w:rPr>
                <w:rFonts w:hint="default" w:ascii="Times New Roman" w:hAnsi="Times New Roman" w:eastAsia="宋体" w:cs="宋体"/>
                <w:color w:val="auto"/>
                <w:kern w:val="2"/>
                <w:sz w:val="24"/>
                <w:szCs w:val="24"/>
                <w:lang w:val="en-US" w:eastAsia="zh-CN" w:bidi="ar-SA"/>
              </w:rPr>
              <w:t>本项目</w:t>
            </w:r>
            <w:r>
              <w:rPr>
                <w:rFonts w:hint="eastAsia" w:ascii="Times New Roman" w:hAnsi="Times New Roman" w:eastAsia="宋体" w:cs="宋体"/>
                <w:color w:val="auto"/>
                <w:kern w:val="2"/>
                <w:sz w:val="24"/>
                <w:szCs w:val="24"/>
                <w:lang w:val="en-US" w:eastAsia="zh-CN" w:bidi="ar-SA"/>
              </w:rPr>
              <w:t>废包装容器</w:t>
            </w:r>
            <w:r>
              <w:rPr>
                <w:rFonts w:hint="default" w:ascii="Times New Roman" w:hAnsi="Times New Roman" w:eastAsia="宋体" w:cs="宋体"/>
                <w:color w:val="auto"/>
                <w:kern w:val="2"/>
                <w:sz w:val="24"/>
                <w:szCs w:val="24"/>
                <w:lang w:val="en-US" w:eastAsia="zh-CN" w:bidi="ar-SA"/>
              </w:rPr>
              <w:t>产生量为0.</w:t>
            </w:r>
            <w:r>
              <w:rPr>
                <w:rFonts w:hint="eastAsia" w:ascii="Times New Roman" w:hAnsi="Times New Roman" w:eastAsia="宋体" w:cs="宋体"/>
                <w:color w:val="auto"/>
                <w:kern w:val="2"/>
                <w:sz w:val="24"/>
                <w:szCs w:val="24"/>
                <w:lang w:val="en-US" w:eastAsia="zh-CN" w:bidi="ar-SA"/>
              </w:rPr>
              <w:t>4</w:t>
            </w:r>
            <w:r>
              <w:rPr>
                <w:rFonts w:hint="default" w:ascii="Times New Roman" w:hAnsi="Times New Roman" w:eastAsia="宋体" w:cs="宋体"/>
                <w:color w:val="auto"/>
                <w:kern w:val="2"/>
                <w:sz w:val="24"/>
                <w:szCs w:val="24"/>
                <w:lang w:val="en-US" w:eastAsia="zh-CN" w:bidi="ar-SA"/>
              </w:rPr>
              <w:t>t/a，属于危险废物，对照《国家危险废物名录》（202</w:t>
            </w:r>
            <w:r>
              <w:rPr>
                <w:rFonts w:hint="eastAsia" w:ascii="Times New Roman" w:hAnsi="Times New Roman" w:eastAsia="宋体" w:cs="宋体"/>
                <w:color w:val="auto"/>
                <w:kern w:val="2"/>
                <w:sz w:val="24"/>
                <w:szCs w:val="24"/>
                <w:lang w:val="en-US" w:eastAsia="zh-CN" w:bidi="ar-SA"/>
              </w:rPr>
              <w:t>5</w:t>
            </w:r>
            <w:r>
              <w:rPr>
                <w:rFonts w:hint="default" w:ascii="Times New Roman" w:hAnsi="Times New Roman" w:eastAsia="宋体" w:cs="宋体"/>
                <w:color w:val="auto"/>
                <w:kern w:val="2"/>
                <w:sz w:val="24"/>
                <w:szCs w:val="24"/>
                <w:lang w:val="en-US" w:eastAsia="zh-CN" w:bidi="ar-SA"/>
              </w:rPr>
              <w:t>年版）中所列的危险</w:t>
            </w:r>
            <w:r>
              <w:rPr>
                <w:rFonts w:hint="eastAsia" w:ascii="Times New Roman" w:hAnsi="Times New Roman" w:eastAsia="宋体" w:cs="宋体"/>
                <w:color w:val="auto"/>
                <w:kern w:val="2"/>
                <w:sz w:val="24"/>
                <w:szCs w:val="24"/>
                <w:lang w:val="en-US" w:eastAsia="zh-CN" w:bidi="ar-SA"/>
              </w:rPr>
              <w:t>废物</w:t>
            </w:r>
            <w:r>
              <w:rPr>
                <w:rFonts w:hint="default" w:ascii="Times New Roman" w:hAnsi="Times New Roman" w:eastAsia="宋体" w:cs="宋体"/>
                <w:color w:val="auto"/>
                <w:kern w:val="2"/>
                <w:sz w:val="24"/>
                <w:szCs w:val="24"/>
                <w:lang w:val="en-US" w:eastAsia="zh-CN" w:bidi="ar-SA"/>
              </w:rPr>
              <w:t>，有机溶剂废玻璃瓶废物类别为HW49其他废物，废物代码900-041-49，妥善收集后临时储存于危险废物暂存间，定期委托有资质的单位处理处置</w:t>
            </w:r>
            <w:r>
              <w:rPr>
                <w:rFonts w:hint="eastAsia" w:ascii="Times New Roman" w:hAnsi="Times New Roman" w:eastAsia="宋体" w:cs="宋体"/>
                <w:color w:val="auto"/>
                <w:kern w:val="2"/>
                <w:sz w:val="24"/>
                <w:szCs w:val="24"/>
                <w:lang w:val="en-US" w:eastAsia="zh-CN" w:bidi="ar-SA"/>
              </w:rPr>
              <w:t>。</w:t>
            </w:r>
          </w:p>
          <w:p w14:paraId="5ECA7513">
            <w:pPr>
              <w:pStyle w:val="25"/>
              <w:bidi w:val="0"/>
              <w:rPr>
                <w:rFonts w:hint="default"/>
                <w:color w:val="auto"/>
                <w:lang w:val="en-US" w:eastAsia="zh-CN"/>
              </w:rPr>
            </w:pPr>
            <w:r>
              <w:rPr>
                <w:rFonts w:hint="eastAsia"/>
                <w:color w:val="auto"/>
                <w:lang w:val="en-US" w:eastAsia="zh-CN"/>
              </w:rPr>
              <w:t>（8）废除油剂</w:t>
            </w:r>
          </w:p>
          <w:p w14:paraId="1E0D8D50">
            <w:pPr>
              <w:pStyle w:val="25"/>
              <w:bidi w:val="0"/>
              <w:rPr>
                <w:rFonts w:hint="eastAsia"/>
                <w:color w:val="auto"/>
                <w:lang w:val="en-US" w:eastAsia="zh-CN"/>
              </w:rPr>
            </w:pPr>
            <w:r>
              <w:rPr>
                <w:rFonts w:hint="eastAsia"/>
                <w:color w:val="auto"/>
                <w:lang w:val="en-US" w:eastAsia="zh-CN"/>
              </w:rPr>
              <w:t>根据前文分析，项目产品经除油后产生的废除油剂产生量为0.05t/a，产生量较小，采用定期将废除油剂进行委外处理。对照《国家危险废物名录》（2025年版）中所列的危险废物，废除油剂废物类别为HW35废碱，废物代码900-035-35，妥善收集后临时储存于危险废物暂存间，定期委托有资质的单位处理处置。</w:t>
            </w:r>
          </w:p>
          <w:p w14:paraId="4482E9D6">
            <w:pPr>
              <w:widowControl w:val="0"/>
              <w:numPr>
                <w:ilvl w:val="0"/>
                <w:numId w:val="0"/>
              </w:numPr>
              <w:bidi w:val="0"/>
              <w:spacing w:line="360" w:lineRule="auto"/>
              <w:ind w:firstLine="480" w:firstLineChars="200"/>
              <w:jc w:val="both"/>
              <w:rPr>
                <w:rFonts w:hint="default"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w:t>
            </w:r>
            <w:r>
              <w:rPr>
                <w:rFonts w:hint="eastAsia" w:ascii="Times New Roman" w:hAnsi="Times New Roman" w:cs="宋体"/>
                <w:color w:val="auto"/>
                <w:kern w:val="2"/>
                <w:sz w:val="24"/>
                <w:szCs w:val="24"/>
                <w:highlight w:val="none"/>
                <w:lang w:val="en-US" w:eastAsia="zh-CN" w:bidi="ar-SA"/>
              </w:rPr>
              <w:t>9</w:t>
            </w:r>
            <w:r>
              <w:rPr>
                <w:rFonts w:hint="eastAsia" w:ascii="Times New Roman" w:hAnsi="Times New Roman" w:eastAsia="宋体" w:cs="宋体"/>
                <w:color w:val="auto"/>
                <w:kern w:val="2"/>
                <w:sz w:val="24"/>
                <w:szCs w:val="24"/>
                <w:highlight w:val="none"/>
                <w:lang w:val="en-US" w:eastAsia="zh-CN" w:bidi="ar-SA"/>
              </w:rPr>
              <w:t>）</w:t>
            </w:r>
            <w:r>
              <w:rPr>
                <w:rFonts w:hint="eastAsia" w:cs="宋体"/>
                <w:color w:val="auto"/>
                <w:kern w:val="2"/>
                <w:sz w:val="24"/>
                <w:szCs w:val="24"/>
                <w:highlight w:val="none"/>
                <w:lang w:val="en-US" w:eastAsia="zh-CN" w:bidi="ar-SA"/>
              </w:rPr>
              <w:t>废切削液及污泥</w:t>
            </w:r>
          </w:p>
          <w:p w14:paraId="58AB6135">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废切削液</w:t>
            </w:r>
            <w:r>
              <w:rPr>
                <w:rFonts w:hint="eastAsia" w:cs="宋体"/>
                <w:color w:val="auto"/>
                <w:kern w:val="2"/>
                <w:sz w:val="24"/>
                <w:szCs w:val="24"/>
                <w:lang w:val="en-US" w:eastAsia="zh-CN" w:bidi="ar-SA"/>
              </w:rPr>
              <w:t>及污泥</w:t>
            </w:r>
            <w:r>
              <w:rPr>
                <w:rFonts w:hint="eastAsia" w:ascii="Times New Roman" w:hAnsi="Times New Roman" w:eastAsia="宋体" w:cs="宋体"/>
                <w:color w:val="auto"/>
                <w:kern w:val="2"/>
                <w:sz w:val="24"/>
                <w:szCs w:val="24"/>
                <w:lang w:val="en-US" w:eastAsia="zh-CN" w:bidi="ar-SA"/>
              </w:rPr>
              <w:t>产生量为0.</w:t>
            </w:r>
            <w:r>
              <w:rPr>
                <w:rFonts w:hint="eastAsia" w:cs="宋体"/>
                <w:color w:val="auto"/>
                <w:kern w:val="2"/>
                <w:sz w:val="24"/>
                <w:szCs w:val="24"/>
                <w:lang w:val="en-US" w:eastAsia="zh-CN" w:bidi="ar-SA"/>
              </w:rPr>
              <w:t>1</w:t>
            </w:r>
            <w:r>
              <w:rPr>
                <w:rFonts w:hint="eastAsia" w:ascii="Times New Roman" w:hAnsi="Times New Roman" w:eastAsia="宋体" w:cs="宋体"/>
                <w:color w:val="auto"/>
                <w:kern w:val="2"/>
                <w:sz w:val="24"/>
                <w:szCs w:val="24"/>
                <w:lang w:val="en-US" w:eastAsia="zh-CN" w:bidi="ar-SA"/>
              </w:rPr>
              <w:t>t/a。检索《国家危险废物名录》（2025年版），废切削液</w:t>
            </w:r>
            <w:r>
              <w:rPr>
                <w:rFonts w:hint="eastAsia" w:cs="宋体"/>
                <w:color w:val="auto"/>
                <w:kern w:val="2"/>
                <w:sz w:val="24"/>
                <w:szCs w:val="24"/>
                <w:lang w:val="en-US" w:eastAsia="zh-CN" w:bidi="ar-SA"/>
              </w:rPr>
              <w:t>及污泥</w:t>
            </w:r>
            <w:r>
              <w:rPr>
                <w:rFonts w:hint="eastAsia" w:ascii="Times New Roman" w:hAnsi="Times New Roman" w:eastAsia="宋体" w:cs="宋体"/>
                <w:color w:val="auto"/>
                <w:kern w:val="2"/>
                <w:sz w:val="24"/>
                <w:szCs w:val="24"/>
                <w:lang w:val="en-US" w:eastAsia="zh-CN" w:bidi="ar-SA"/>
              </w:rPr>
              <w:t>属危险废物，废物类别HW09油/水、烃/水混合物或者乳化液，危废代码900-006-09，应用专门容器收集后临时储存于危险废物贮存间，委托有资质的单位处理处置。</w:t>
            </w:r>
          </w:p>
          <w:p w14:paraId="22A8EE25">
            <w:pPr>
              <w:pStyle w:val="25"/>
              <w:bidi w:val="0"/>
              <w:rPr>
                <w:rFonts w:hint="eastAsia"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（10）废机油</w:t>
            </w:r>
          </w:p>
          <w:p w14:paraId="173AD99A">
            <w:pPr>
              <w:pStyle w:val="25"/>
              <w:bidi w:val="0"/>
              <w:rPr>
                <w:rFonts w:hint="eastAsia"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废机油产生量为0.05t/a</w:t>
            </w:r>
            <w:r>
              <w:rPr>
                <w:rFonts w:hint="eastAsia" w:ascii="Times New Roman" w:hAnsi="Times New Roman" w:eastAsia="宋体" w:cs="宋体"/>
                <w:color w:val="auto"/>
                <w:kern w:val="2"/>
                <w:sz w:val="24"/>
                <w:szCs w:val="24"/>
                <w:highlight w:val="none"/>
                <w:lang w:val="en-US" w:eastAsia="zh-CN" w:bidi="ar-SA"/>
              </w:rPr>
              <w:t>。检索《国家危险废物名录》（2025年版），废除油剂属危险废物，废物类别HW08废矿物油与含矿物油废物，危废代码900-214-08，生产设备</w:t>
            </w:r>
            <w:r>
              <w:rPr>
                <w:rFonts w:hint="eastAsia" w:cs="宋体"/>
                <w:color w:val="auto"/>
                <w:kern w:val="2"/>
                <w:sz w:val="24"/>
                <w:szCs w:val="24"/>
                <w:highlight w:val="none"/>
                <w:lang w:val="en-US" w:eastAsia="zh-CN" w:bidi="ar-SA"/>
              </w:rPr>
              <w:t>检修时会产生废机油，生产设备由设备厂商进行维修，由设备厂商进行更换并转运，由设备厂商进行委托有危废处置资质的单位进行处置。</w:t>
            </w:r>
          </w:p>
          <w:p w14:paraId="28FD0EB6">
            <w:pPr>
              <w:pStyle w:val="25"/>
              <w:bidi w:val="0"/>
              <w:rPr>
                <w:rFonts w:hint="eastAsia"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（11）炉渣</w:t>
            </w:r>
          </w:p>
          <w:p w14:paraId="12398F58">
            <w:pPr>
              <w:widowControl w:val="0"/>
              <w:bidi w:val="0"/>
              <w:spacing w:line="360" w:lineRule="auto"/>
              <w:ind w:firstLine="480" w:firstLineChars="200"/>
              <w:jc w:val="both"/>
              <w:rPr>
                <w:rFonts w:hint="default" w:cs="宋体"/>
                <w:color w:val="auto"/>
                <w:kern w:val="2"/>
                <w:sz w:val="24"/>
                <w:szCs w:val="24"/>
                <w:highlight w:val="none"/>
                <w:lang w:val="en-US" w:eastAsia="zh-CN" w:bidi="ar-SA"/>
              </w:rPr>
            </w:pPr>
            <w:r>
              <w:rPr>
                <w:rFonts w:hint="default" w:cs="宋体"/>
                <w:color w:val="auto"/>
                <w:kern w:val="2"/>
                <w:sz w:val="24"/>
                <w:szCs w:val="24"/>
                <w:lang w:val="en-US" w:eastAsia="zh-CN" w:bidi="ar-SA"/>
              </w:rPr>
              <w:t>生产过程烧结中产生的熔固态炉渣及未结晶的渣中成分比较复杂，含有碳酸钡等危险废物</w:t>
            </w:r>
            <w:r>
              <w:rPr>
                <w:rFonts w:hint="eastAsia" w:cs="宋体"/>
                <w:color w:val="auto"/>
                <w:kern w:val="2"/>
                <w:sz w:val="24"/>
                <w:szCs w:val="24"/>
                <w:lang w:val="en-US" w:eastAsia="zh-CN" w:bidi="ar-SA"/>
              </w:rPr>
              <w:t>，根据同行业类别分析，炉渣产生量为0.35t/a。根据《国家危险废物名录》（2025年版），炉渣废物类别为HW47含钡废物，废物代码261-088-47。妥善收集后贮存至危废间中，定期委托有危废处置资质单位进行处理。</w:t>
            </w:r>
          </w:p>
          <w:p w14:paraId="208C5A99">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w:t>
            </w:r>
            <w:r>
              <w:rPr>
                <w:rFonts w:hint="eastAsia" w:cs="宋体"/>
                <w:color w:val="auto"/>
                <w:kern w:val="2"/>
                <w:sz w:val="24"/>
                <w:szCs w:val="24"/>
                <w:lang w:val="en-US" w:eastAsia="zh-CN" w:bidi="ar-SA"/>
              </w:rPr>
              <w:t>12</w:t>
            </w:r>
            <w:r>
              <w:rPr>
                <w:rFonts w:hint="eastAsia" w:ascii="Times New Roman" w:hAnsi="Times New Roman" w:eastAsia="宋体" w:cs="宋体"/>
                <w:color w:val="auto"/>
                <w:kern w:val="2"/>
                <w:sz w:val="24"/>
                <w:szCs w:val="24"/>
                <w:lang w:val="en-US" w:eastAsia="zh-CN" w:bidi="ar-SA"/>
              </w:rPr>
              <w:t>）生活垃圾</w:t>
            </w:r>
          </w:p>
          <w:p w14:paraId="02C38958">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职工生活垃圾</w:t>
            </w:r>
          </w:p>
          <w:p w14:paraId="5565C0EF">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本项目员工共</w:t>
            </w:r>
            <w:r>
              <w:rPr>
                <w:rFonts w:hint="eastAsia" w:ascii="Times New Roman" w:hAnsi="Times New Roman" w:eastAsia="宋体" w:cs="宋体"/>
                <w:color w:val="auto"/>
                <w:kern w:val="2"/>
                <w:sz w:val="24"/>
                <w:szCs w:val="24"/>
                <w:lang w:val="en-US" w:eastAsia="zh-CN" w:bidi="ar-SA"/>
              </w:rPr>
              <w:t>60</w:t>
            </w:r>
            <w:r>
              <w:rPr>
                <w:rFonts w:hint="default" w:ascii="Times New Roman" w:hAnsi="Times New Roman" w:eastAsia="宋体" w:cs="宋体"/>
                <w:color w:val="auto"/>
                <w:kern w:val="2"/>
                <w:sz w:val="24"/>
                <w:szCs w:val="24"/>
                <w:lang w:val="en-US" w:eastAsia="zh-CN" w:bidi="ar-SA"/>
              </w:rPr>
              <w:t>人，均不住厂，不住厂员工生活垃圾产生系数按0.5kg/人·天计，年工作天数为</w:t>
            </w:r>
            <w:r>
              <w:rPr>
                <w:rFonts w:hint="eastAsia" w:ascii="Times New Roman" w:hAnsi="Times New Roman" w:eastAsia="宋体" w:cs="宋体"/>
                <w:color w:val="auto"/>
                <w:kern w:val="2"/>
                <w:sz w:val="24"/>
                <w:szCs w:val="24"/>
                <w:lang w:val="en-US" w:eastAsia="zh-CN" w:bidi="ar-SA"/>
              </w:rPr>
              <w:t>300</w:t>
            </w:r>
            <w:r>
              <w:rPr>
                <w:rFonts w:hint="default" w:ascii="Times New Roman" w:hAnsi="Times New Roman" w:eastAsia="宋体" w:cs="宋体"/>
                <w:color w:val="auto"/>
                <w:kern w:val="2"/>
                <w:sz w:val="24"/>
                <w:szCs w:val="24"/>
                <w:lang w:val="en-US" w:eastAsia="zh-CN" w:bidi="ar-SA"/>
              </w:rPr>
              <w:t>天，则员工生活垃圾产生量为</w:t>
            </w:r>
            <w:r>
              <w:rPr>
                <w:rFonts w:hint="eastAsia" w:ascii="Times New Roman" w:hAnsi="Times New Roman" w:eastAsia="宋体" w:cs="宋体"/>
                <w:color w:val="auto"/>
                <w:kern w:val="2"/>
                <w:sz w:val="24"/>
                <w:szCs w:val="24"/>
                <w:lang w:val="en-US" w:eastAsia="zh-CN" w:bidi="ar-SA"/>
              </w:rPr>
              <w:t>9.0</w:t>
            </w:r>
            <w:r>
              <w:rPr>
                <w:rFonts w:hint="default" w:ascii="Times New Roman" w:hAnsi="Times New Roman" w:eastAsia="宋体" w:cs="宋体"/>
                <w:color w:val="auto"/>
                <w:kern w:val="2"/>
                <w:sz w:val="24"/>
                <w:szCs w:val="24"/>
                <w:lang w:val="en-US" w:eastAsia="zh-CN" w:bidi="ar-SA"/>
              </w:rPr>
              <w:t>t/a。生活垃圾统一收集后委托当地环卫部门处置。</w:t>
            </w:r>
          </w:p>
          <w:p w14:paraId="11B5A294">
            <w:pPr>
              <w:widowControl w:val="0"/>
              <w:bidi w:val="0"/>
              <w:adjustRightInd w:val="0"/>
              <w:snapToGrid w:val="0"/>
              <w:spacing w:before="10" w:beforeLines="10" w:after="10" w:afterLines="10"/>
              <w:jc w:val="center"/>
              <w:rPr>
                <w:rFonts w:hint="eastAsia"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表4.4-1  本项目一般工业固体废物和生活垃圾产生处置一览表</w:t>
            </w:r>
          </w:p>
          <w:tbl>
            <w:tblPr>
              <w:tblStyle w:val="18"/>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75"/>
              <w:gridCol w:w="1130"/>
              <w:gridCol w:w="1119"/>
              <w:gridCol w:w="1376"/>
              <w:gridCol w:w="917"/>
              <w:gridCol w:w="2225"/>
            </w:tblGrid>
            <w:tr w14:paraId="67EE68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9" w:type="pct"/>
                  <w:tcBorders>
                    <w:tl2br w:val="nil"/>
                    <w:tr2bl w:val="nil"/>
                  </w:tcBorders>
                  <w:noWrap w:val="0"/>
                  <w:vAlign w:val="center"/>
                </w:tcPr>
                <w:p w14:paraId="116536C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产生环节</w:t>
                  </w:r>
                </w:p>
              </w:tc>
              <w:tc>
                <w:tcPr>
                  <w:tcW w:w="711" w:type="pct"/>
                  <w:tcBorders>
                    <w:tl2br w:val="nil"/>
                    <w:tr2bl w:val="nil"/>
                  </w:tcBorders>
                  <w:noWrap w:val="0"/>
                  <w:vAlign w:val="center"/>
                </w:tcPr>
                <w:p w14:paraId="77E5284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固废名称</w:t>
                  </w:r>
                </w:p>
              </w:tc>
              <w:tc>
                <w:tcPr>
                  <w:tcW w:w="704" w:type="pct"/>
                  <w:tcBorders>
                    <w:tl2br w:val="nil"/>
                    <w:tr2bl w:val="nil"/>
                  </w:tcBorders>
                  <w:noWrap w:val="0"/>
                  <w:vAlign w:val="center"/>
                </w:tcPr>
                <w:p w14:paraId="1779A7E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物理性状</w:t>
                  </w:r>
                </w:p>
              </w:tc>
              <w:tc>
                <w:tcPr>
                  <w:tcW w:w="866" w:type="pct"/>
                  <w:tcBorders>
                    <w:tl2br w:val="nil"/>
                    <w:tr2bl w:val="nil"/>
                  </w:tcBorders>
                  <w:noWrap w:val="0"/>
                  <w:vAlign w:val="center"/>
                </w:tcPr>
                <w:p w14:paraId="2C2CE37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固废属性</w:t>
                  </w:r>
                </w:p>
              </w:tc>
              <w:tc>
                <w:tcPr>
                  <w:tcW w:w="577" w:type="pct"/>
                  <w:tcBorders>
                    <w:tl2br w:val="nil"/>
                    <w:tr2bl w:val="nil"/>
                  </w:tcBorders>
                  <w:noWrap w:val="0"/>
                  <w:vAlign w:val="center"/>
                </w:tcPr>
                <w:p w14:paraId="1F85429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产生量（t/a）</w:t>
                  </w:r>
                </w:p>
              </w:tc>
              <w:tc>
                <w:tcPr>
                  <w:tcW w:w="1400" w:type="pct"/>
                  <w:tcBorders>
                    <w:tl2br w:val="nil"/>
                    <w:tr2bl w:val="nil"/>
                  </w:tcBorders>
                  <w:noWrap w:val="0"/>
                  <w:vAlign w:val="center"/>
                </w:tcPr>
                <w:p w14:paraId="2370563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处置方式</w:t>
                  </w:r>
                </w:p>
              </w:tc>
            </w:tr>
            <w:tr w14:paraId="35CB87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9" w:type="pct"/>
                  <w:tcBorders>
                    <w:tl2br w:val="nil"/>
                    <w:tr2bl w:val="nil"/>
                  </w:tcBorders>
                  <w:noWrap w:val="0"/>
                  <w:vAlign w:val="center"/>
                </w:tcPr>
                <w:p w14:paraId="46813B2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抛光</w:t>
                  </w:r>
                </w:p>
              </w:tc>
              <w:tc>
                <w:tcPr>
                  <w:tcW w:w="711" w:type="pct"/>
                  <w:tcBorders>
                    <w:tl2br w:val="nil"/>
                    <w:tr2bl w:val="nil"/>
                  </w:tcBorders>
                  <w:noWrap w:val="0"/>
                  <w:vAlign w:val="center"/>
                </w:tcPr>
                <w:p w14:paraId="52DFE03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抛光残渣</w:t>
                  </w:r>
                </w:p>
              </w:tc>
              <w:tc>
                <w:tcPr>
                  <w:tcW w:w="704" w:type="pct"/>
                  <w:tcBorders>
                    <w:tl2br w:val="nil"/>
                    <w:tr2bl w:val="nil"/>
                  </w:tcBorders>
                  <w:noWrap w:val="0"/>
                  <w:vAlign w:val="center"/>
                </w:tcPr>
                <w:p w14:paraId="5B176A8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固态</w:t>
                  </w:r>
                </w:p>
              </w:tc>
              <w:tc>
                <w:tcPr>
                  <w:tcW w:w="866" w:type="pct"/>
                  <w:tcBorders>
                    <w:tl2br w:val="nil"/>
                    <w:tr2bl w:val="nil"/>
                  </w:tcBorders>
                  <w:noWrap w:val="0"/>
                  <w:vAlign w:val="center"/>
                </w:tcPr>
                <w:p w14:paraId="0F9BA54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一般工业固体废物</w:t>
                  </w:r>
                </w:p>
              </w:tc>
              <w:tc>
                <w:tcPr>
                  <w:tcW w:w="577" w:type="pct"/>
                  <w:tcBorders>
                    <w:tl2br w:val="nil"/>
                    <w:tr2bl w:val="nil"/>
                  </w:tcBorders>
                  <w:noWrap w:val="0"/>
                  <w:vAlign w:val="center"/>
                </w:tcPr>
                <w:p w14:paraId="5AF82CD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0.3</w:t>
                  </w:r>
                </w:p>
              </w:tc>
              <w:tc>
                <w:tcPr>
                  <w:tcW w:w="1400" w:type="pct"/>
                  <w:tcBorders>
                    <w:tl2br w:val="nil"/>
                    <w:tr2bl w:val="nil"/>
                  </w:tcBorders>
                  <w:noWrap w:val="0"/>
                  <w:vAlign w:val="center"/>
                </w:tcPr>
                <w:p w14:paraId="728C3E0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妥善收集后外售给其他企业回收综合利用</w:t>
                  </w:r>
                </w:p>
              </w:tc>
            </w:tr>
            <w:tr w14:paraId="71712D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9" w:type="pct"/>
                  <w:tcBorders>
                    <w:tl2br w:val="nil"/>
                    <w:tr2bl w:val="nil"/>
                  </w:tcBorders>
                  <w:noWrap w:val="0"/>
                  <w:vAlign w:val="center"/>
                </w:tcPr>
                <w:p w14:paraId="67B8099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铣磨、倒边、研磨</w:t>
                  </w:r>
                </w:p>
              </w:tc>
              <w:tc>
                <w:tcPr>
                  <w:tcW w:w="711" w:type="pct"/>
                  <w:tcBorders>
                    <w:tl2br w:val="nil"/>
                    <w:tr2bl w:val="nil"/>
                  </w:tcBorders>
                  <w:noWrap w:val="0"/>
                  <w:vAlign w:val="center"/>
                </w:tcPr>
                <w:p w14:paraId="7534411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铣磨、倒边、研磨废渣</w:t>
                  </w:r>
                </w:p>
              </w:tc>
              <w:tc>
                <w:tcPr>
                  <w:tcW w:w="704" w:type="pct"/>
                  <w:tcBorders>
                    <w:tl2br w:val="nil"/>
                    <w:tr2bl w:val="nil"/>
                  </w:tcBorders>
                  <w:noWrap w:val="0"/>
                  <w:vAlign w:val="center"/>
                </w:tcPr>
                <w:p w14:paraId="4D1BBB0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固态</w:t>
                  </w:r>
                </w:p>
              </w:tc>
              <w:tc>
                <w:tcPr>
                  <w:tcW w:w="866" w:type="pct"/>
                  <w:tcBorders>
                    <w:tl2br w:val="nil"/>
                    <w:tr2bl w:val="nil"/>
                  </w:tcBorders>
                  <w:noWrap w:val="0"/>
                  <w:vAlign w:val="center"/>
                </w:tcPr>
                <w:p w14:paraId="0182E31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一般工业固体废物</w:t>
                  </w:r>
                </w:p>
              </w:tc>
              <w:tc>
                <w:tcPr>
                  <w:tcW w:w="577" w:type="pct"/>
                  <w:tcBorders>
                    <w:tl2br w:val="nil"/>
                    <w:tr2bl w:val="nil"/>
                  </w:tcBorders>
                  <w:noWrap w:val="0"/>
                  <w:vAlign w:val="center"/>
                </w:tcPr>
                <w:p w14:paraId="5E09EC8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0.04</w:t>
                  </w:r>
                </w:p>
              </w:tc>
              <w:tc>
                <w:tcPr>
                  <w:tcW w:w="1400" w:type="pct"/>
                  <w:tcBorders>
                    <w:tl2br w:val="nil"/>
                    <w:tr2bl w:val="nil"/>
                  </w:tcBorders>
                  <w:noWrap w:val="0"/>
                  <w:vAlign w:val="center"/>
                </w:tcPr>
                <w:p w14:paraId="42C6C70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妥善收集后外售给其他企业回收综合利用</w:t>
                  </w:r>
                </w:p>
              </w:tc>
            </w:tr>
            <w:tr w14:paraId="42CF92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9" w:type="pct"/>
                  <w:tcBorders>
                    <w:tl2br w:val="nil"/>
                    <w:tr2bl w:val="nil"/>
                  </w:tcBorders>
                  <w:noWrap w:val="0"/>
                  <w:vAlign w:val="center"/>
                </w:tcPr>
                <w:p w14:paraId="489C13F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沉淀</w:t>
                  </w:r>
                </w:p>
              </w:tc>
              <w:tc>
                <w:tcPr>
                  <w:tcW w:w="711" w:type="pct"/>
                  <w:tcBorders>
                    <w:tl2br w:val="nil"/>
                    <w:tr2bl w:val="nil"/>
                  </w:tcBorders>
                  <w:noWrap w:val="0"/>
                  <w:vAlign w:val="center"/>
                </w:tcPr>
                <w:p w14:paraId="3D80484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沉淀池污泥</w:t>
                  </w:r>
                </w:p>
              </w:tc>
              <w:tc>
                <w:tcPr>
                  <w:tcW w:w="704" w:type="pct"/>
                  <w:tcBorders>
                    <w:tl2br w:val="nil"/>
                    <w:tr2bl w:val="nil"/>
                  </w:tcBorders>
                  <w:noWrap w:val="0"/>
                  <w:vAlign w:val="center"/>
                </w:tcPr>
                <w:p w14:paraId="7C3BB3A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固态</w:t>
                  </w:r>
                </w:p>
              </w:tc>
              <w:tc>
                <w:tcPr>
                  <w:tcW w:w="866" w:type="pct"/>
                  <w:tcBorders>
                    <w:tl2br w:val="nil"/>
                    <w:tr2bl w:val="nil"/>
                  </w:tcBorders>
                  <w:noWrap w:val="0"/>
                  <w:vAlign w:val="center"/>
                </w:tcPr>
                <w:p w14:paraId="4DB28EA6">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一般工业固体废物</w:t>
                  </w:r>
                </w:p>
              </w:tc>
              <w:tc>
                <w:tcPr>
                  <w:tcW w:w="577" w:type="pct"/>
                  <w:tcBorders>
                    <w:tl2br w:val="nil"/>
                    <w:tr2bl w:val="nil"/>
                  </w:tcBorders>
                  <w:noWrap w:val="0"/>
                  <w:vAlign w:val="center"/>
                </w:tcPr>
                <w:p w14:paraId="2986FDB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29.58</w:t>
                  </w:r>
                </w:p>
              </w:tc>
              <w:tc>
                <w:tcPr>
                  <w:tcW w:w="1400" w:type="pct"/>
                  <w:tcBorders>
                    <w:tl2br w:val="nil"/>
                    <w:tr2bl w:val="nil"/>
                  </w:tcBorders>
                  <w:noWrap w:val="0"/>
                  <w:vAlign w:val="center"/>
                </w:tcPr>
                <w:p w14:paraId="135E23A2">
                  <w:pPr>
                    <w:pStyle w:val="28"/>
                    <w:bidi w:val="0"/>
                    <w:rPr>
                      <w:rFonts w:hint="default"/>
                      <w:color w:val="auto"/>
                      <w:lang w:val="en-US" w:eastAsia="zh-CN"/>
                    </w:rPr>
                  </w:pPr>
                  <w:r>
                    <w:rPr>
                      <w:rFonts w:hint="eastAsia"/>
                      <w:color w:val="auto"/>
                      <w:lang w:val="en-US" w:eastAsia="zh-CN"/>
                    </w:rPr>
                    <w:t>定期进行清掏，并由当地环卫部门统一清运处理</w:t>
                  </w:r>
                </w:p>
              </w:tc>
            </w:tr>
            <w:tr w14:paraId="145C3E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9" w:type="pct"/>
                  <w:tcBorders>
                    <w:tl2br w:val="nil"/>
                    <w:tr2bl w:val="nil"/>
                  </w:tcBorders>
                  <w:noWrap w:val="0"/>
                  <w:vAlign w:val="center"/>
                </w:tcPr>
                <w:p w14:paraId="084E2A2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检测</w:t>
                  </w:r>
                </w:p>
              </w:tc>
              <w:tc>
                <w:tcPr>
                  <w:tcW w:w="711" w:type="pct"/>
                  <w:tcBorders>
                    <w:tl2br w:val="nil"/>
                    <w:tr2bl w:val="nil"/>
                  </w:tcBorders>
                  <w:noWrap w:val="0"/>
                  <w:vAlign w:val="center"/>
                </w:tcPr>
                <w:p w14:paraId="10DD808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不合格产品</w:t>
                  </w:r>
                </w:p>
              </w:tc>
              <w:tc>
                <w:tcPr>
                  <w:tcW w:w="704" w:type="pct"/>
                  <w:tcBorders>
                    <w:tl2br w:val="nil"/>
                    <w:tr2bl w:val="nil"/>
                  </w:tcBorders>
                  <w:noWrap w:val="0"/>
                  <w:vAlign w:val="center"/>
                </w:tcPr>
                <w:p w14:paraId="3721DD5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固态</w:t>
                  </w:r>
                </w:p>
              </w:tc>
              <w:tc>
                <w:tcPr>
                  <w:tcW w:w="866" w:type="pct"/>
                  <w:tcBorders>
                    <w:tl2br w:val="nil"/>
                    <w:tr2bl w:val="nil"/>
                  </w:tcBorders>
                  <w:noWrap w:val="0"/>
                  <w:vAlign w:val="center"/>
                </w:tcPr>
                <w:p w14:paraId="4FBAB32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一般工业固体废物</w:t>
                  </w:r>
                </w:p>
              </w:tc>
              <w:tc>
                <w:tcPr>
                  <w:tcW w:w="577" w:type="pct"/>
                  <w:tcBorders>
                    <w:tl2br w:val="nil"/>
                    <w:tr2bl w:val="nil"/>
                  </w:tcBorders>
                  <w:noWrap w:val="0"/>
                  <w:vAlign w:val="center"/>
                </w:tcPr>
                <w:p w14:paraId="579E42F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0.8</w:t>
                  </w:r>
                </w:p>
              </w:tc>
              <w:tc>
                <w:tcPr>
                  <w:tcW w:w="1400" w:type="pct"/>
                  <w:tcBorders>
                    <w:tl2br w:val="nil"/>
                    <w:tr2bl w:val="nil"/>
                  </w:tcBorders>
                  <w:noWrap w:val="0"/>
                  <w:vAlign w:val="center"/>
                </w:tcPr>
                <w:p w14:paraId="5AF5A491">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妥善收集后外售给其他企业回收综合利用</w:t>
                  </w:r>
                </w:p>
              </w:tc>
            </w:tr>
            <w:tr w14:paraId="3B21E5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9" w:type="pct"/>
                  <w:tcBorders>
                    <w:tl2br w:val="nil"/>
                    <w:tr2bl w:val="nil"/>
                  </w:tcBorders>
                  <w:noWrap w:val="0"/>
                  <w:vAlign w:val="center"/>
                </w:tcPr>
                <w:p w14:paraId="646847A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职工生活</w:t>
                  </w:r>
                </w:p>
              </w:tc>
              <w:tc>
                <w:tcPr>
                  <w:tcW w:w="711" w:type="pct"/>
                  <w:tcBorders>
                    <w:tl2br w:val="nil"/>
                    <w:tr2bl w:val="nil"/>
                  </w:tcBorders>
                  <w:noWrap w:val="0"/>
                  <w:vAlign w:val="center"/>
                </w:tcPr>
                <w:p w14:paraId="7ECF871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生活垃圾</w:t>
                  </w:r>
                </w:p>
              </w:tc>
              <w:tc>
                <w:tcPr>
                  <w:tcW w:w="704" w:type="pct"/>
                  <w:tcBorders>
                    <w:tl2br w:val="nil"/>
                    <w:tr2bl w:val="nil"/>
                  </w:tcBorders>
                  <w:noWrap w:val="0"/>
                  <w:vAlign w:val="center"/>
                </w:tcPr>
                <w:p w14:paraId="185A38D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固态</w:t>
                  </w:r>
                </w:p>
              </w:tc>
              <w:tc>
                <w:tcPr>
                  <w:tcW w:w="866" w:type="pct"/>
                  <w:tcBorders>
                    <w:tl2br w:val="nil"/>
                    <w:tr2bl w:val="nil"/>
                  </w:tcBorders>
                  <w:noWrap w:val="0"/>
                  <w:vAlign w:val="center"/>
                </w:tcPr>
                <w:p w14:paraId="6EB62AA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生活垃圾</w:t>
                  </w:r>
                </w:p>
              </w:tc>
              <w:tc>
                <w:tcPr>
                  <w:tcW w:w="577" w:type="pct"/>
                  <w:tcBorders>
                    <w:tl2br w:val="nil"/>
                    <w:tr2bl w:val="nil"/>
                  </w:tcBorders>
                  <w:noWrap w:val="0"/>
                  <w:vAlign w:val="center"/>
                </w:tcPr>
                <w:p w14:paraId="1E54FF8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9.0</w:t>
                  </w:r>
                </w:p>
              </w:tc>
              <w:tc>
                <w:tcPr>
                  <w:tcW w:w="1400" w:type="pct"/>
                  <w:tcBorders>
                    <w:tl2br w:val="nil"/>
                    <w:tr2bl w:val="nil"/>
                  </w:tcBorders>
                  <w:noWrap w:val="0"/>
                  <w:vAlign w:val="center"/>
                </w:tcPr>
                <w:p w14:paraId="6C08F9A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委托环卫部门统一清运</w:t>
                  </w:r>
                </w:p>
              </w:tc>
            </w:tr>
          </w:tbl>
          <w:p w14:paraId="7DEE22C9">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表4.4-2  本项目危险废物产生处置一览表</w:t>
            </w:r>
          </w:p>
          <w:tbl>
            <w:tblPr>
              <w:tblStyle w:val="18"/>
              <w:tblW w:w="807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88"/>
              <w:gridCol w:w="1149"/>
              <w:gridCol w:w="733"/>
              <w:gridCol w:w="1129"/>
              <w:gridCol w:w="758"/>
              <w:gridCol w:w="607"/>
              <w:gridCol w:w="636"/>
              <w:gridCol w:w="623"/>
              <w:gridCol w:w="975"/>
              <w:gridCol w:w="979"/>
            </w:tblGrid>
            <w:tr w14:paraId="64EF9D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277" w:hRule="atLeast"/>
                <w:jc w:val="center"/>
              </w:trPr>
              <w:tc>
                <w:tcPr>
                  <w:tcW w:w="488" w:type="dxa"/>
                  <w:tcBorders>
                    <w:tl2br w:val="nil"/>
                    <w:tr2bl w:val="nil"/>
                  </w:tcBorders>
                  <w:noWrap w:val="0"/>
                  <w:vAlign w:val="center"/>
                </w:tcPr>
                <w:p w14:paraId="6F53AB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序号</w:t>
                  </w:r>
                </w:p>
              </w:tc>
              <w:tc>
                <w:tcPr>
                  <w:tcW w:w="1149" w:type="dxa"/>
                  <w:tcBorders>
                    <w:tl2br w:val="nil"/>
                    <w:tr2bl w:val="nil"/>
                  </w:tcBorders>
                  <w:noWrap w:val="0"/>
                  <w:vAlign w:val="center"/>
                </w:tcPr>
                <w:p w14:paraId="318D38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危废名称</w:t>
                  </w:r>
                </w:p>
              </w:tc>
              <w:tc>
                <w:tcPr>
                  <w:tcW w:w="733" w:type="dxa"/>
                  <w:tcBorders>
                    <w:tl2br w:val="nil"/>
                    <w:tr2bl w:val="nil"/>
                  </w:tcBorders>
                  <w:noWrap w:val="0"/>
                  <w:vAlign w:val="center"/>
                </w:tcPr>
                <w:p w14:paraId="23E081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危废类别</w:t>
                  </w:r>
                </w:p>
              </w:tc>
              <w:tc>
                <w:tcPr>
                  <w:tcW w:w="1129" w:type="dxa"/>
                  <w:tcBorders>
                    <w:tl2br w:val="nil"/>
                    <w:tr2bl w:val="nil"/>
                  </w:tcBorders>
                  <w:noWrap w:val="0"/>
                  <w:vAlign w:val="center"/>
                </w:tcPr>
                <w:p w14:paraId="7F6DC2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危废代码</w:t>
                  </w:r>
                </w:p>
              </w:tc>
              <w:tc>
                <w:tcPr>
                  <w:tcW w:w="758" w:type="dxa"/>
                  <w:tcBorders>
                    <w:tl2br w:val="nil"/>
                    <w:tr2bl w:val="nil"/>
                  </w:tcBorders>
                  <w:noWrap w:val="0"/>
                  <w:vAlign w:val="center"/>
                </w:tcPr>
                <w:p w14:paraId="6E0AEF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产生环节</w:t>
                  </w:r>
                </w:p>
              </w:tc>
              <w:tc>
                <w:tcPr>
                  <w:tcW w:w="607" w:type="dxa"/>
                  <w:tcBorders>
                    <w:tl2br w:val="nil"/>
                    <w:tr2bl w:val="nil"/>
                  </w:tcBorders>
                  <w:noWrap w:val="0"/>
                  <w:vAlign w:val="center"/>
                </w:tcPr>
                <w:p w14:paraId="76B499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状态</w:t>
                  </w:r>
                </w:p>
              </w:tc>
              <w:tc>
                <w:tcPr>
                  <w:tcW w:w="636" w:type="dxa"/>
                  <w:tcBorders>
                    <w:tl2br w:val="nil"/>
                    <w:tr2bl w:val="nil"/>
                  </w:tcBorders>
                  <w:noWrap w:val="0"/>
                  <w:vAlign w:val="center"/>
                </w:tcPr>
                <w:p w14:paraId="2DA76D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主要成分</w:t>
                  </w:r>
                </w:p>
              </w:tc>
              <w:tc>
                <w:tcPr>
                  <w:tcW w:w="623" w:type="dxa"/>
                  <w:tcBorders>
                    <w:tl2br w:val="nil"/>
                    <w:tr2bl w:val="nil"/>
                  </w:tcBorders>
                  <w:noWrap w:val="0"/>
                  <w:vAlign w:val="center"/>
                </w:tcPr>
                <w:p w14:paraId="7B7F29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危险特性</w:t>
                  </w:r>
                </w:p>
              </w:tc>
              <w:tc>
                <w:tcPr>
                  <w:tcW w:w="975" w:type="dxa"/>
                  <w:tcBorders>
                    <w:tl2br w:val="nil"/>
                    <w:tr2bl w:val="nil"/>
                  </w:tcBorders>
                  <w:noWrap w:val="0"/>
                  <w:vAlign w:val="center"/>
                </w:tcPr>
                <w:p w14:paraId="59A534F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产生量</w:t>
                  </w:r>
                </w:p>
              </w:tc>
              <w:tc>
                <w:tcPr>
                  <w:tcW w:w="979" w:type="dxa"/>
                  <w:tcBorders>
                    <w:tl2br w:val="nil"/>
                    <w:tr2bl w:val="nil"/>
                  </w:tcBorders>
                  <w:noWrap w:val="0"/>
                  <w:vAlign w:val="center"/>
                </w:tcPr>
                <w:p w14:paraId="68C9AB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处置措施</w:t>
                  </w:r>
                </w:p>
              </w:tc>
            </w:tr>
            <w:tr w14:paraId="507D34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278" w:hRule="atLeast"/>
                <w:jc w:val="center"/>
              </w:trPr>
              <w:tc>
                <w:tcPr>
                  <w:tcW w:w="488" w:type="dxa"/>
                  <w:tcBorders>
                    <w:tl2br w:val="nil"/>
                    <w:tr2bl w:val="nil"/>
                  </w:tcBorders>
                  <w:noWrap w:val="0"/>
                  <w:vAlign w:val="center"/>
                </w:tcPr>
                <w:p w14:paraId="4E8A5A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w:t>
                  </w:r>
                </w:p>
              </w:tc>
              <w:tc>
                <w:tcPr>
                  <w:tcW w:w="1149" w:type="dxa"/>
                  <w:tcBorders>
                    <w:tl2br w:val="nil"/>
                    <w:tr2bl w:val="nil"/>
                  </w:tcBorders>
                  <w:noWrap w:val="0"/>
                  <w:vAlign w:val="center"/>
                </w:tcPr>
                <w:p w14:paraId="5B025B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废活性炭</w:t>
                  </w:r>
                </w:p>
              </w:tc>
              <w:tc>
                <w:tcPr>
                  <w:tcW w:w="733" w:type="dxa"/>
                  <w:tcBorders>
                    <w:tl2br w:val="nil"/>
                    <w:tr2bl w:val="nil"/>
                  </w:tcBorders>
                  <w:noWrap w:val="0"/>
                  <w:vAlign w:val="center"/>
                </w:tcPr>
                <w:p w14:paraId="22B525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HW49</w:t>
                  </w:r>
                </w:p>
              </w:tc>
              <w:tc>
                <w:tcPr>
                  <w:tcW w:w="1129" w:type="dxa"/>
                  <w:tcBorders>
                    <w:tl2br w:val="nil"/>
                    <w:tr2bl w:val="nil"/>
                  </w:tcBorders>
                  <w:noWrap w:val="0"/>
                  <w:vAlign w:val="center"/>
                </w:tcPr>
                <w:p w14:paraId="4558C2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900-039-49</w:t>
                  </w:r>
                </w:p>
              </w:tc>
              <w:tc>
                <w:tcPr>
                  <w:tcW w:w="758" w:type="dxa"/>
                  <w:tcBorders>
                    <w:tl2br w:val="nil"/>
                    <w:tr2bl w:val="nil"/>
                  </w:tcBorders>
                  <w:noWrap w:val="0"/>
                  <w:vAlign w:val="center"/>
                </w:tcPr>
                <w:p w14:paraId="0BC8C0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废气治理</w:t>
                  </w:r>
                </w:p>
              </w:tc>
              <w:tc>
                <w:tcPr>
                  <w:tcW w:w="607" w:type="dxa"/>
                  <w:tcBorders>
                    <w:tl2br w:val="nil"/>
                    <w:tr2bl w:val="nil"/>
                  </w:tcBorders>
                  <w:noWrap w:val="0"/>
                  <w:vAlign w:val="center"/>
                </w:tcPr>
                <w:p w14:paraId="3A2CDF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固态</w:t>
                  </w:r>
                </w:p>
              </w:tc>
              <w:tc>
                <w:tcPr>
                  <w:tcW w:w="636" w:type="dxa"/>
                  <w:tcBorders>
                    <w:tl2br w:val="nil"/>
                    <w:tr2bl w:val="nil"/>
                  </w:tcBorders>
                  <w:noWrap w:val="0"/>
                  <w:vAlign w:val="center"/>
                </w:tcPr>
                <w:p w14:paraId="43037F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饱和活性炭、非甲烷总烃</w:t>
                  </w:r>
                </w:p>
              </w:tc>
              <w:tc>
                <w:tcPr>
                  <w:tcW w:w="623" w:type="dxa"/>
                  <w:tcBorders>
                    <w:tl2br w:val="nil"/>
                    <w:tr2bl w:val="nil"/>
                  </w:tcBorders>
                  <w:noWrap w:val="0"/>
                  <w:vAlign w:val="center"/>
                </w:tcPr>
                <w:p w14:paraId="73DC25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T/In</w:t>
                  </w:r>
                </w:p>
              </w:tc>
              <w:tc>
                <w:tcPr>
                  <w:tcW w:w="975" w:type="dxa"/>
                  <w:tcBorders>
                    <w:tl2br w:val="nil"/>
                    <w:tr2bl w:val="nil"/>
                  </w:tcBorders>
                  <w:noWrap w:val="0"/>
                  <w:vAlign w:val="center"/>
                </w:tcPr>
                <w:p w14:paraId="73B6E6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0.8496t/a</w:t>
                  </w:r>
                </w:p>
              </w:tc>
              <w:tc>
                <w:tcPr>
                  <w:tcW w:w="979" w:type="dxa"/>
                  <w:vMerge w:val="restart"/>
                  <w:tcBorders>
                    <w:tl2br w:val="nil"/>
                    <w:tr2bl w:val="nil"/>
                  </w:tcBorders>
                  <w:noWrap w:val="0"/>
                  <w:vAlign w:val="center"/>
                </w:tcPr>
                <w:p w14:paraId="0CECB7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收集后暂存至厂区的危废贮存间中，定期委托有危废处置资质单位进行处理</w:t>
                  </w:r>
                </w:p>
              </w:tc>
            </w:tr>
            <w:tr w14:paraId="26B27B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277" w:hRule="atLeast"/>
                <w:jc w:val="center"/>
              </w:trPr>
              <w:tc>
                <w:tcPr>
                  <w:tcW w:w="488" w:type="dxa"/>
                  <w:tcBorders>
                    <w:tl2br w:val="nil"/>
                    <w:tr2bl w:val="nil"/>
                  </w:tcBorders>
                  <w:noWrap w:val="0"/>
                  <w:vAlign w:val="center"/>
                </w:tcPr>
                <w:p w14:paraId="18304B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2</w:t>
                  </w:r>
                </w:p>
              </w:tc>
              <w:tc>
                <w:tcPr>
                  <w:tcW w:w="1149" w:type="dxa"/>
                  <w:tcBorders>
                    <w:tl2br w:val="nil"/>
                    <w:tr2bl w:val="nil"/>
                  </w:tcBorders>
                  <w:noWrap w:val="0"/>
                  <w:vAlign w:val="center"/>
                </w:tcPr>
                <w:p w14:paraId="2AA493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废布和废擦拭纸</w:t>
                  </w:r>
                </w:p>
              </w:tc>
              <w:tc>
                <w:tcPr>
                  <w:tcW w:w="733" w:type="dxa"/>
                  <w:tcBorders>
                    <w:tl2br w:val="nil"/>
                    <w:tr2bl w:val="nil"/>
                  </w:tcBorders>
                  <w:noWrap w:val="0"/>
                  <w:vAlign w:val="center"/>
                </w:tcPr>
                <w:p w14:paraId="1F0AA7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HW49</w:t>
                  </w:r>
                </w:p>
              </w:tc>
              <w:tc>
                <w:tcPr>
                  <w:tcW w:w="1129" w:type="dxa"/>
                  <w:tcBorders>
                    <w:tl2br w:val="nil"/>
                    <w:tr2bl w:val="nil"/>
                  </w:tcBorders>
                  <w:noWrap w:val="0"/>
                  <w:vAlign w:val="center"/>
                </w:tcPr>
                <w:p w14:paraId="52125A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900-041-49</w:t>
                  </w:r>
                </w:p>
              </w:tc>
              <w:tc>
                <w:tcPr>
                  <w:tcW w:w="758" w:type="dxa"/>
                  <w:tcBorders>
                    <w:tl2br w:val="nil"/>
                    <w:tr2bl w:val="nil"/>
                  </w:tcBorders>
                  <w:noWrap w:val="0"/>
                  <w:vAlign w:val="center"/>
                </w:tcPr>
                <w:p w14:paraId="4C726A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擦拭检测</w:t>
                  </w:r>
                </w:p>
              </w:tc>
              <w:tc>
                <w:tcPr>
                  <w:tcW w:w="607" w:type="dxa"/>
                  <w:tcBorders>
                    <w:tl2br w:val="nil"/>
                    <w:tr2bl w:val="nil"/>
                  </w:tcBorders>
                  <w:noWrap w:val="0"/>
                  <w:vAlign w:val="center"/>
                </w:tcPr>
                <w:p w14:paraId="0734BA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固态</w:t>
                  </w:r>
                </w:p>
              </w:tc>
              <w:tc>
                <w:tcPr>
                  <w:tcW w:w="636" w:type="dxa"/>
                  <w:tcBorders>
                    <w:tl2br w:val="nil"/>
                    <w:tr2bl w:val="nil"/>
                  </w:tcBorders>
                  <w:noWrap w:val="0"/>
                  <w:vAlign w:val="center"/>
                </w:tcPr>
                <w:p w14:paraId="33F9B7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有机溶剂</w:t>
                  </w:r>
                </w:p>
              </w:tc>
              <w:tc>
                <w:tcPr>
                  <w:tcW w:w="623" w:type="dxa"/>
                  <w:tcBorders>
                    <w:tl2br w:val="nil"/>
                    <w:tr2bl w:val="nil"/>
                  </w:tcBorders>
                  <w:noWrap w:val="0"/>
                  <w:vAlign w:val="center"/>
                </w:tcPr>
                <w:p w14:paraId="4E6A22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T/In</w:t>
                  </w:r>
                </w:p>
              </w:tc>
              <w:tc>
                <w:tcPr>
                  <w:tcW w:w="975" w:type="dxa"/>
                  <w:tcBorders>
                    <w:tl2br w:val="nil"/>
                    <w:tr2bl w:val="nil"/>
                  </w:tcBorders>
                  <w:noWrap w:val="0"/>
                  <w:vAlign w:val="center"/>
                </w:tcPr>
                <w:p w14:paraId="089223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0.004t/a</w:t>
                  </w:r>
                </w:p>
              </w:tc>
              <w:tc>
                <w:tcPr>
                  <w:tcW w:w="979" w:type="dxa"/>
                  <w:vMerge w:val="continue"/>
                  <w:tcBorders>
                    <w:tl2br w:val="nil"/>
                    <w:tr2bl w:val="nil"/>
                  </w:tcBorders>
                  <w:noWrap w:val="0"/>
                  <w:vAlign w:val="center"/>
                </w:tcPr>
                <w:p w14:paraId="00AAD2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p>
              </w:tc>
            </w:tr>
            <w:tr w14:paraId="2B1163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277" w:hRule="atLeast"/>
                <w:jc w:val="center"/>
              </w:trPr>
              <w:tc>
                <w:tcPr>
                  <w:tcW w:w="488" w:type="dxa"/>
                  <w:tcBorders>
                    <w:tl2br w:val="nil"/>
                    <w:tr2bl w:val="nil"/>
                  </w:tcBorders>
                  <w:noWrap w:val="0"/>
                  <w:vAlign w:val="center"/>
                </w:tcPr>
                <w:p w14:paraId="10895A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3</w:t>
                  </w:r>
                </w:p>
              </w:tc>
              <w:tc>
                <w:tcPr>
                  <w:tcW w:w="1149" w:type="dxa"/>
                  <w:tcBorders>
                    <w:tl2br w:val="nil"/>
                    <w:tr2bl w:val="nil"/>
                  </w:tcBorders>
                  <w:noWrap w:val="0"/>
                  <w:vAlign w:val="center"/>
                </w:tcPr>
                <w:p w14:paraId="626427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废包装容器</w:t>
                  </w:r>
                </w:p>
              </w:tc>
              <w:tc>
                <w:tcPr>
                  <w:tcW w:w="733" w:type="dxa"/>
                  <w:tcBorders>
                    <w:tl2br w:val="nil"/>
                    <w:tr2bl w:val="nil"/>
                  </w:tcBorders>
                  <w:noWrap w:val="0"/>
                  <w:vAlign w:val="center"/>
                </w:tcPr>
                <w:p w14:paraId="1E03E2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HW49</w:t>
                  </w:r>
                </w:p>
              </w:tc>
              <w:tc>
                <w:tcPr>
                  <w:tcW w:w="1129" w:type="dxa"/>
                  <w:tcBorders>
                    <w:tl2br w:val="nil"/>
                    <w:tr2bl w:val="nil"/>
                  </w:tcBorders>
                  <w:noWrap w:val="0"/>
                  <w:vAlign w:val="center"/>
                </w:tcPr>
                <w:p w14:paraId="685348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900-041-49</w:t>
                  </w:r>
                </w:p>
              </w:tc>
              <w:tc>
                <w:tcPr>
                  <w:tcW w:w="758" w:type="dxa"/>
                  <w:tcBorders>
                    <w:tl2br w:val="nil"/>
                    <w:tr2bl w:val="nil"/>
                  </w:tcBorders>
                  <w:noWrap w:val="0"/>
                  <w:vAlign w:val="center"/>
                </w:tcPr>
                <w:p w14:paraId="27DBBE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w:t>
                  </w:r>
                </w:p>
              </w:tc>
              <w:tc>
                <w:tcPr>
                  <w:tcW w:w="607" w:type="dxa"/>
                  <w:tcBorders>
                    <w:tl2br w:val="nil"/>
                    <w:tr2bl w:val="nil"/>
                  </w:tcBorders>
                  <w:noWrap w:val="0"/>
                  <w:vAlign w:val="center"/>
                </w:tcPr>
                <w:p w14:paraId="62D3F9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固态</w:t>
                  </w:r>
                </w:p>
              </w:tc>
              <w:tc>
                <w:tcPr>
                  <w:tcW w:w="636" w:type="dxa"/>
                  <w:tcBorders>
                    <w:tl2br w:val="nil"/>
                    <w:tr2bl w:val="nil"/>
                  </w:tcBorders>
                  <w:noWrap w:val="0"/>
                  <w:vAlign w:val="center"/>
                </w:tcPr>
                <w:p w14:paraId="1C4FDF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有机溶剂</w:t>
                  </w:r>
                </w:p>
              </w:tc>
              <w:tc>
                <w:tcPr>
                  <w:tcW w:w="623" w:type="dxa"/>
                  <w:tcBorders>
                    <w:tl2br w:val="nil"/>
                    <w:tr2bl w:val="nil"/>
                  </w:tcBorders>
                  <w:noWrap w:val="0"/>
                  <w:vAlign w:val="center"/>
                </w:tcPr>
                <w:p w14:paraId="3CF402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T/In</w:t>
                  </w:r>
                </w:p>
              </w:tc>
              <w:tc>
                <w:tcPr>
                  <w:tcW w:w="975" w:type="dxa"/>
                  <w:tcBorders>
                    <w:tl2br w:val="nil"/>
                    <w:tr2bl w:val="nil"/>
                  </w:tcBorders>
                  <w:noWrap w:val="0"/>
                  <w:vAlign w:val="center"/>
                </w:tcPr>
                <w:p w14:paraId="1C4F12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0.4t/a</w:t>
                  </w:r>
                </w:p>
              </w:tc>
              <w:tc>
                <w:tcPr>
                  <w:tcW w:w="979" w:type="dxa"/>
                  <w:vMerge w:val="continue"/>
                  <w:tcBorders>
                    <w:tl2br w:val="nil"/>
                    <w:tr2bl w:val="nil"/>
                  </w:tcBorders>
                  <w:noWrap w:val="0"/>
                  <w:vAlign w:val="center"/>
                </w:tcPr>
                <w:p w14:paraId="25009B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p>
              </w:tc>
            </w:tr>
            <w:tr w14:paraId="5D72EA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277" w:hRule="atLeast"/>
                <w:jc w:val="center"/>
              </w:trPr>
              <w:tc>
                <w:tcPr>
                  <w:tcW w:w="488" w:type="dxa"/>
                  <w:tcBorders>
                    <w:tl2br w:val="nil"/>
                    <w:tr2bl w:val="nil"/>
                  </w:tcBorders>
                  <w:noWrap w:val="0"/>
                  <w:vAlign w:val="center"/>
                </w:tcPr>
                <w:p w14:paraId="75D615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4</w:t>
                  </w:r>
                </w:p>
              </w:tc>
              <w:tc>
                <w:tcPr>
                  <w:tcW w:w="1149" w:type="dxa"/>
                  <w:tcBorders>
                    <w:tl2br w:val="nil"/>
                    <w:tr2bl w:val="nil"/>
                  </w:tcBorders>
                  <w:noWrap w:val="0"/>
                  <w:vAlign w:val="center"/>
                </w:tcPr>
                <w:p w14:paraId="4E3D96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废除油剂</w:t>
                  </w:r>
                </w:p>
              </w:tc>
              <w:tc>
                <w:tcPr>
                  <w:tcW w:w="733" w:type="dxa"/>
                  <w:tcBorders>
                    <w:tl2br w:val="nil"/>
                    <w:tr2bl w:val="nil"/>
                  </w:tcBorders>
                  <w:noWrap w:val="0"/>
                  <w:vAlign w:val="center"/>
                </w:tcPr>
                <w:p w14:paraId="74EF44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HW35</w:t>
                  </w:r>
                </w:p>
              </w:tc>
              <w:tc>
                <w:tcPr>
                  <w:tcW w:w="1129" w:type="dxa"/>
                  <w:tcBorders>
                    <w:tl2br w:val="nil"/>
                    <w:tr2bl w:val="nil"/>
                  </w:tcBorders>
                  <w:noWrap w:val="0"/>
                  <w:vAlign w:val="center"/>
                </w:tcPr>
                <w:p w14:paraId="22D7FD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900-035-35</w:t>
                  </w:r>
                </w:p>
              </w:tc>
              <w:tc>
                <w:tcPr>
                  <w:tcW w:w="758" w:type="dxa"/>
                  <w:tcBorders>
                    <w:tl2br w:val="nil"/>
                    <w:tr2bl w:val="nil"/>
                  </w:tcBorders>
                  <w:noWrap w:val="0"/>
                  <w:vAlign w:val="center"/>
                </w:tcPr>
                <w:p w14:paraId="47BD3E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超声波清洗</w:t>
                  </w:r>
                </w:p>
              </w:tc>
              <w:tc>
                <w:tcPr>
                  <w:tcW w:w="607" w:type="dxa"/>
                  <w:tcBorders>
                    <w:tl2br w:val="nil"/>
                    <w:tr2bl w:val="nil"/>
                  </w:tcBorders>
                  <w:noWrap w:val="0"/>
                  <w:vAlign w:val="center"/>
                </w:tcPr>
                <w:p w14:paraId="14EC93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液态</w:t>
                  </w:r>
                </w:p>
              </w:tc>
              <w:tc>
                <w:tcPr>
                  <w:tcW w:w="636" w:type="dxa"/>
                  <w:tcBorders>
                    <w:tl2br w:val="nil"/>
                    <w:tr2bl w:val="nil"/>
                  </w:tcBorders>
                  <w:noWrap w:val="0"/>
                  <w:vAlign w:val="center"/>
                </w:tcPr>
                <w:p w14:paraId="04895E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石油类、除油剂</w:t>
                  </w:r>
                </w:p>
                <w:p w14:paraId="4DF98E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623" w:type="dxa"/>
                  <w:tcBorders>
                    <w:tl2br w:val="nil"/>
                    <w:tr2bl w:val="nil"/>
                  </w:tcBorders>
                  <w:noWrap w:val="0"/>
                  <w:vAlign w:val="center"/>
                </w:tcPr>
                <w:p w14:paraId="578F01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C, T</w:t>
                  </w:r>
                </w:p>
              </w:tc>
              <w:tc>
                <w:tcPr>
                  <w:tcW w:w="975" w:type="dxa"/>
                  <w:tcBorders>
                    <w:tl2br w:val="nil"/>
                    <w:tr2bl w:val="nil"/>
                  </w:tcBorders>
                  <w:noWrap w:val="0"/>
                  <w:vAlign w:val="center"/>
                </w:tcPr>
                <w:p w14:paraId="5CC81A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0.05t/a</w:t>
                  </w:r>
                </w:p>
              </w:tc>
              <w:tc>
                <w:tcPr>
                  <w:tcW w:w="979" w:type="dxa"/>
                  <w:vMerge w:val="continue"/>
                  <w:tcBorders>
                    <w:tl2br w:val="nil"/>
                    <w:tr2bl w:val="nil"/>
                  </w:tcBorders>
                  <w:noWrap w:val="0"/>
                  <w:vAlign w:val="center"/>
                </w:tcPr>
                <w:p w14:paraId="7BE72E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p>
              </w:tc>
            </w:tr>
            <w:tr w14:paraId="789892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277" w:hRule="atLeast"/>
                <w:jc w:val="center"/>
              </w:trPr>
              <w:tc>
                <w:tcPr>
                  <w:tcW w:w="488" w:type="dxa"/>
                  <w:tcBorders>
                    <w:tl2br w:val="nil"/>
                    <w:tr2bl w:val="nil"/>
                  </w:tcBorders>
                  <w:noWrap w:val="0"/>
                  <w:vAlign w:val="center"/>
                </w:tcPr>
                <w:p w14:paraId="442FAEC3">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5</w:t>
                  </w:r>
                </w:p>
              </w:tc>
              <w:tc>
                <w:tcPr>
                  <w:tcW w:w="1149" w:type="dxa"/>
                  <w:tcBorders>
                    <w:tl2br w:val="nil"/>
                    <w:tr2bl w:val="nil"/>
                  </w:tcBorders>
                  <w:noWrap w:val="0"/>
                  <w:vAlign w:val="center"/>
                </w:tcPr>
                <w:p w14:paraId="52B62B59">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废切削液</w:t>
                  </w:r>
                  <w:r>
                    <w:rPr>
                      <w:rFonts w:hint="eastAsia" w:cs="Times New Roman"/>
                      <w:color w:val="auto"/>
                      <w:kern w:val="0"/>
                      <w:sz w:val="21"/>
                      <w:szCs w:val="20"/>
                      <w:lang w:val="en-US" w:eastAsia="zh-CN" w:bidi="ar-SA"/>
                    </w:rPr>
                    <w:t>及污泥</w:t>
                  </w:r>
                </w:p>
              </w:tc>
              <w:tc>
                <w:tcPr>
                  <w:tcW w:w="733" w:type="dxa"/>
                  <w:tcBorders>
                    <w:tl2br w:val="nil"/>
                    <w:tr2bl w:val="nil"/>
                  </w:tcBorders>
                  <w:noWrap w:val="0"/>
                  <w:vAlign w:val="center"/>
                </w:tcPr>
                <w:p w14:paraId="491F3370">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highlight w:val="none"/>
                      <w:lang w:val="en-US" w:eastAsia="zh-CN" w:bidi="ar-SA"/>
                    </w:rPr>
                    <w:t>HW09</w:t>
                  </w:r>
                </w:p>
              </w:tc>
              <w:tc>
                <w:tcPr>
                  <w:tcW w:w="1129" w:type="dxa"/>
                  <w:tcBorders>
                    <w:tl2br w:val="nil"/>
                    <w:tr2bl w:val="nil"/>
                  </w:tcBorders>
                  <w:noWrap w:val="0"/>
                  <w:vAlign w:val="center"/>
                </w:tcPr>
                <w:p w14:paraId="2C384B6E">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highlight w:val="none"/>
                      <w:lang w:val="en-US" w:eastAsia="zh-CN" w:bidi="ar-SA"/>
                    </w:rPr>
                    <w:t>900-006-09</w:t>
                  </w:r>
                </w:p>
              </w:tc>
              <w:tc>
                <w:tcPr>
                  <w:tcW w:w="758" w:type="dxa"/>
                  <w:tcBorders>
                    <w:tl2br w:val="nil"/>
                    <w:tr2bl w:val="nil"/>
                  </w:tcBorders>
                  <w:noWrap w:val="0"/>
                  <w:vAlign w:val="center"/>
                </w:tcPr>
                <w:p w14:paraId="06679EA1">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highlight w:val="none"/>
                      <w:lang w:val="en-US" w:eastAsia="zh-CN" w:bidi="ar-SA"/>
                    </w:rPr>
                    <w:t>铣磨、铣磨</w:t>
                  </w:r>
                </w:p>
              </w:tc>
              <w:tc>
                <w:tcPr>
                  <w:tcW w:w="607" w:type="dxa"/>
                  <w:tcBorders>
                    <w:tl2br w:val="nil"/>
                    <w:tr2bl w:val="nil"/>
                  </w:tcBorders>
                  <w:noWrap w:val="0"/>
                  <w:vAlign w:val="center"/>
                </w:tcPr>
                <w:p w14:paraId="437EFB62">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highlight w:val="none"/>
                      <w:lang w:val="en-US" w:eastAsia="zh-CN" w:bidi="ar-SA"/>
                    </w:rPr>
                    <w:t>液态</w:t>
                  </w:r>
                </w:p>
              </w:tc>
              <w:tc>
                <w:tcPr>
                  <w:tcW w:w="636" w:type="dxa"/>
                  <w:tcBorders>
                    <w:tl2br w:val="nil"/>
                    <w:tr2bl w:val="nil"/>
                  </w:tcBorders>
                  <w:noWrap w:val="0"/>
                  <w:vAlign w:val="center"/>
                </w:tcPr>
                <w:p w14:paraId="4F777AEB">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废切削液</w:t>
                  </w:r>
                </w:p>
              </w:tc>
              <w:tc>
                <w:tcPr>
                  <w:tcW w:w="623" w:type="dxa"/>
                  <w:tcBorders>
                    <w:tl2br w:val="nil"/>
                    <w:tr2bl w:val="nil"/>
                  </w:tcBorders>
                  <w:noWrap w:val="0"/>
                  <w:vAlign w:val="center"/>
                </w:tcPr>
                <w:p w14:paraId="27A353C6">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highlight w:val="none"/>
                      <w:lang w:val="en-US" w:eastAsia="zh-CN" w:bidi="ar-SA"/>
                    </w:rPr>
                    <w:t>T/C</w:t>
                  </w:r>
                </w:p>
              </w:tc>
              <w:tc>
                <w:tcPr>
                  <w:tcW w:w="975" w:type="dxa"/>
                  <w:tcBorders>
                    <w:tl2br w:val="nil"/>
                    <w:tr2bl w:val="nil"/>
                  </w:tcBorders>
                  <w:noWrap w:val="0"/>
                  <w:vAlign w:val="center"/>
                </w:tcPr>
                <w:p w14:paraId="58240B51">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highlight w:val="none"/>
                      <w:lang w:val="en-US" w:eastAsia="zh-CN" w:bidi="ar-SA"/>
                    </w:rPr>
                    <w:t>0.1t/a</w:t>
                  </w:r>
                </w:p>
              </w:tc>
              <w:tc>
                <w:tcPr>
                  <w:tcW w:w="979" w:type="dxa"/>
                  <w:vMerge w:val="continue"/>
                  <w:tcBorders>
                    <w:tl2br w:val="nil"/>
                    <w:tr2bl w:val="nil"/>
                  </w:tcBorders>
                  <w:noWrap w:val="0"/>
                  <w:vAlign w:val="center"/>
                </w:tcPr>
                <w:p w14:paraId="39EDE3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p>
              </w:tc>
            </w:tr>
            <w:tr w14:paraId="2D19C4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277" w:hRule="atLeast"/>
                <w:jc w:val="center"/>
              </w:trPr>
              <w:tc>
                <w:tcPr>
                  <w:tcW w:w="488" w:type="dxa"/>
                  <w:tcBorders>
                    <w:tl2br w:val="nil"/>
                    <w:tr2bl w:val="nil"/>
                  </w:tcBorders>
                  <w:noWrap w:val="0"/>
                  <w:vAlign w:val="center"/>
                </w:tcPr>
                <w:p w14:paraId="3EAD605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6</w:t>
                  </w:r>
                </w:p>
              </w:tc>
              <w:tc>
                <w:tcPr>
                  <w:tcW w:w="1149" w:type="dxa"/>
                  <w:tcBorders>
                    <w:tl2br w:val="nil"/>
                    <w:tr2bl w:val="nil"/>
                  </w:tcBorders>
                  <w:noWrap w:val="0"/>
                  <w:vAlign w:val="center"/>
                </w:tcPr>
                <w:p w14:paraId="3C44371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炉渣</w:t>
                  </w:r>
                </w:p>
              </w:tc>
              <w:tc>
                <w:tcPr>
                  <w:tcW w:w="733" w:type="dxa"/>
                  <w:tcBorders>
                    <w:tl2br w:val="nil"/>
                    <w:tr2bl w:val="nil"/>
                  </w:tcBorders>
                  <w:noWrap w:val="0"/>
                  <w:vAlign w:val="center"/>
                </w:tcPr>
                <w:p w14:paraId="1EB78E4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highlight w:val="none"/>
                      <w:lang w:val="en-US" w:eastAsia="zh-CN" w:bidi="ar-SA"/>
                    </w:rPr>
                  </w:pPr>
                  <w:r>
                    <w:rPr>
                      <w:rFonts w:hint="eastAsia" w:cs="Times New Roman"/>
                      <w:color w:val="auto"/>
                      <w:kern w:val="0"/>
                      <w:sz w:val="21"/>
                      <w:szCs w:val="20"/>
                      <w:lang w:val="en-US" w:eastAsia="zh-CN" w:bidi="ar-SA"/>
                    </w:rPr>
                    <w:t>HW47</w:t>
                  </w:r>
                </w:p>
              </w:tc>
              <w:tc>
                <w:tcPr>
                  <w:tcW w:w="1129" w:type="dxa"/>
                  <w:tcBorders>
                    <w:tl2br w:val="nil"/>
                    <w:tr2bl w:val="nil"/>
                  </w:tcBorders>
                  <w:noWrap w:val="0"/>
                  <w:vAlign w:val="center"/>
                </w:tcPr>
                <w:p w14:paraId="2915A91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highlight w:val="none"/>
                      <w:lang w:val="en-US" w:eastAsia="zh-CN" w:bidi="ar-SA"/>
                    </w:rPr>
                  </w:pPr>
                  <w:r>
                    <w:rPr>
                      <w:rFonts w:hint="eastAsia" w:cs="Times New Roman"/>
                      <w:color w:val="auto"/>
                      <w:kern w:val="0"/>
                      <w:sz w:val="21"/>
                      <w:szCs w:val="20"/>
                      <w:lang w:val="en-US" w:eastAsia="zh-CN" w:bidi="ar-SA"/>
                    </w:rPr>
                    <w:t>261-088-47</w:t>
                  </w:r>
                </w:p>
              </w:tc>
              <w:tc>
                <w:tcPr>
                  <w:tcW w:w="758" w:type="dxa"/>
                  <w:tcBorders>
                    <w:tl2br w:val="nil"/>
                    <w:tr2bl w:val="nil"/>
                  </w:tcBorders>
                  <w:noWrap w:val="0"/>
                  <w:vAlign w:val="center"/>
                </w:tcPr>
                <w:p w14:paraId="5F8A17CC">
                  <w:pPr>
                    <w:widowControl w:val="0"/>
                    <w:bidi w:val="0"/>
                    <w:adjustRightInd w:val="0"/>
                    <w:snapToGrid w:val="0"/>
                    <w:spacing w:before="10" w:beforeLines="10" w:after="10" w:afterLines="10" w:line="240" w:lineRule="auto"/>
                    <w:jc w:val="center"/>
                    <w:rPr>
                      <w:rFonts w:hint="eastAsia" w:cs="Times New Roman"/>
                      <w:color w:val="auto"/>
                      <w:kern w:val="0"/>
                      <w:sz w:val="21"/>
                      <w:szCs w:val="20"/>
                      <w:highlight w:val="none"/>
                      <w:lang w:val="en-US" w:eastAsia="zh-CN" w:bidi="ar-SA"/>
                    </w:rPr>
                  </w:pPr>
                  <w:r>
                    <w:rPr>
                      <w:rFonts w:hint="eastAsia" w:cs="Times New Roman"/>
                      <w:color w:val="auto"/>
                      <w:kern w:val="0"/>
                      <w:sz w:val="21"/>
                      <w:szCs w:val="20"/>
                      <w:lang w:val="en-US" w:eastAsia="zh-CN" w:bidi="ar-SA"/>
                    </w:rPr>
                    <w:t>晶体生长</w:t>
                  </w:r>
                </w:p>
              </w:tc>
              <w:tc>
                <w:tcPr>
                  <w:tcW w:w="607" w:type="dxa"/>
                  <w:tcBorders>
                    <w:tl2br w:val="nil"/>
                    <w:tr2bl w:val="nil"/>
                  </w:tcBorders>
                  <w:noWrap w:val="0"/>
                  <w:vAlign w:val="center"/>
                </w:tcPr>
                <w:p w14:paraId="37E38D8C">
                  <w:pPr>
                    <w:widowControl w:val="0"/>
                    <w:bidi w:val="0"/>
                    <w:adjustRightInd w:val="0"/>
                    <w:snapToGrid w:val="0"/>
                    <w:spacing w:before="10" w:beforeLines="10" w:after="10" w:afterLines="10" w:line="240" w:lineRule="auto"/>
                    <w:jc w:val="center"/>
                    <w:rPr>
                      <w:rFonts w:hint="eastAsia" w:cs="Times New Roman"/>
                      <w:color w:val="auto"/>
                      <w:kern w:val="0"/>
                      <w:sz w:val="21"/>
                      <w:szCs w:val="20"/>
                      <w:highlight w:val="none"/>
                      <w:lang w:val="en-US" w:eastAsia="zh-CN" w:bidi="ar-SA"/>
                    </w:rPr>
                  </w:pPr>
                  <w:r>
                    <w:rPr>
                      <w:rFonts w:hint="eastAsia" w:cs="Times New Roman"/>
                      <w:color w:val="auto"/>
                      <w:kern w:val="0"/>
                      <w:sz w:val="21"/>
                      <w:szCs w:val="20"/>
                      <w:lang w:val="en-US" w:eastAsia="zh-CN" w:bidi="ar-SA"/>
                    </w:rPr>
                    <w:t>固态</w:t>
                  </w:r>
                </w:p>
              </w:tc>
              <w:tc>
                <w:tcPr>
                  <w:tcW w:w="636" w:type="dxa"/>
                  <w:tcBorders>
                    <w:tl2br w:val="nil"/>
                    <w:tr2bl w:val="nil"/>
                  </w:tcBorders>
                  <w:noWrap w:val="0"/>
                  <w:vAlign w:val="center"/>
                </w:tcPr>
                <w:p w14:paraId="5319DE67">
                  <w:pPr>
                    <w:widowControl w:val="0"/>
                    <w:bidi w:val="0"/>
                    <w:adjustRightInd w:val="0"/>
                    <w:snapToGrid w:val="0"/>
                    <w:spacing w:before="10" w:beforeLines="10" w:after="10" w:afterLines="10" w:line="240" w:lineRule="auto"/>
                    <w:jc w:val="center"/>
                    <w:rPr>
                      <w:rFonts w:hint="eastAsia" w:cs="Times New Roman"/>
                      <w:color w:val="auto"/>
                      <w:kern w:val="0"/>
                      <w:sz w:val="21"/>
                      <w:szCs w:val="20"/>
                      <w:lang w:val="en-US" w:eastAsia="zh-CN" w:bidi="ar-SA"/>
                    </w:rPr>
                  </w:pPr>
                  <w:r>
                    <w:rPr>
                      <w:rFonts w:hint="eastAsia" w:cs="Times New Roman"/>
                      <w:color w:val="auto"/>
                      <w:kern w:val="0"/>
                      <w:sz w:val="21"/>
                      <w:szCs w:val="20"/>
                      <w:lang w:val="en-US" w:eastAsia="zh-CN" w:bidi="ar-SA"/>
                    </w:rPr>
                    <w:t>碳酸钡等</w:t>
                  </w:r>
                </w:p>
              </w:tc>
              <w:tc>
                <w:tcPr>
                  <w:tcW w:w="623" w:type="dxa"/>
                  <w:tcBorders>
                    <w:tl2br w:val="nil"/>
                    <w:tr2bl w:val="nil"/>
                  </w:tcBorders>
                  <w:noWrap w:val="0"/>
                  <w:vAlign w:val="center"/>
                </w:tcPr>
                <w:p w14:paraId="45F9241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highlight w:val="none"/>
                      <w:lang w:val="en-US" w:eastAsia="zh-CN" w:bidi="ar-SA"/>
                    </w:rPr>
                  </w:pPr>
                  <w:r>
                    <w:rPr>
                      <w:rFonts w:hint="eastAsia" w:cs="Times New Roman"/>
                      <w:color w:val="auto"/>
                      <w:kern w:val="0"/>
                      <w:sz w:val="21"/>
                      <w:szCs w:val="20"/>
                      <w:lang w:val="en-US" w:eastAsia="zh-CN" w:bidi="ar-SA"/>
                    </w:rPr>
                    <w:t>T</w:t>
                  </w:r>
                </w:p>
              </w:tc>
              <w:tc>
                <w:tcPr>
                  <w:tcW w:w="975" w:type="dxa"/>
                  <w:tcBorders>
                    <w:tl2br w:val="nil"/>
                    <w:tr2bl w:val="nil"/>
                  </w:tcBorders>
                  <w:noWrap w:val="0"/>
                  <w:vAlign w:val="center"/>
                </w:tcPr>
                <w:p w14:paraId="0C6E541D">
                  <w:pPr>
                    <w:widowControl w:val="0"/>
                    <w:bidi w:val="0"/>
                    <w:adjustRightInd w:val="0"/>
                    <w:snapToGrid w:val="0"/>
                    <w:spacing w:before="10" w:beforeLines="10" w:after="10" w:afterLines="10" w:line="240" w:lineRule="auto"/>
                    <w:jc w:val="center"/>
                    <w:rPr>
                      <w:rFonts w:hint="eastAsia" w:cs="Times New Roman"/>
                      <w:color w:val="auto"/>
                      <w:kern w:val="0"/>
                      <w:sz w:val="21"/>
                      <w:szCs w:val="20"/>
                      <w:highlight w:val="none"/>
                      <w:lang w:val="en-US" w:eastAsia="zh-CN" w:bidi="ar-SA"/>
                    </w:rPr>
                  </w:pPr>
                  <w:r>
                    <w:rPr>
                      <w:rFonts w:hint="eastAsia" w:cs="Times New Roman"/>
                      <w:color w:val="auto"/>
                      <w:kern w:val="0"/>
                      <w:sz w:val="21"/>
                      <w:szCs w:val="20"/>
                      <w:lang w:val="en-US" w:eastAsia="zh-CN" w:bidi="ar-SA"/>
                    </w:rPr>
                    <w:t>0.35t/a</w:t>
                  </w:r>
                </w:p>
              </w:tc>
              <w:tc>
                <w:tcPr>
                  <w:tcW w:w="979" w:type="dxa"/>
                  <w:vMerge w:val="continue"/>
                  <w:tcBorders>
                    <w:tl2br w:val="nil"/>
                    <w:tr2bl w:val="nil"/>
                  </w:tcBorders>
                  <w:noWrap w:val="0"/>
                  <w:vAlign w:val="center"/>
                </w:tcPr>
                <w:p w14:paraId="5C03C7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p>
              </w:tc>
            </w:tr>
            <w:tr w14:paraId="57AAEE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277" w:hRule="atLeast"/>
                <w:jc w:val="center"/>
              </w:trPr>
              <w:tc>
                <w:tcPr>
                  <w:tcW w:w="488" w:type="dxa"/>
                  <w:tcBorders>
                    <w:tl2br w:val="nil"/>
                    <w:tr2bl w:val="nil"/>
                  </w:tcBorders>
                  <w:noWrap w:val="0"/>
                  <w:vAlign w:val="center"/>
                </w:tcPr>
                <w:p w14:paraId="5546D4BC">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7</w:t>
                  </w:r>
                </w:p>
              </w:tc>
              <w:tc>
                <w:tcPr>
                  <w:tcW w:w="1149" w:type="dxa"/>
                  <w:tcBorders>
                    <w:tl2br w:val="nil"/>
                    <w:tr2bl w:val="nil"/>
                  </w:tcBorders>
                  <w:noWrap w:val="0"/>
                  <w:vAlign w:val="center"/>
                </w:tcPr>
                <w:p w14:paraId="5273C028">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highlight w:val="none"/>
                      <w:lang w:val="en-US" w:eastAsia="zh-CN" w:bidi="ar-SA"/>
                    </w:rPr>
                    <w:t>废机油</w:t>
                  </w:r>
                </w:p>
              </w:tc>
              <w:tc>
                <w:tcPr>
                  <w:tcW w:w="733" w:type="dxa"/>
                  <w:tcBorders>
                    <w:tl2br w:val="nil"/>
                    <w:tr2bl w:val="nil"/>
                  </w:tcBorders>
                  <w:noWrap w:val="0"/>
                  <w:vAlign w:val="center"/>
                </w:tcPr>
                <w:p w14:paraId="0462C062">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HW08</w:t>
                  </w:r>
                </w:p>
              </w:tc>
              <w:tc>
                <w:tcPr>
                  <w:tcW w:w="1129" w:type="dxa"/>
                  <w:tcBorders>
                    <w:tl2br w:val="nil"/>
                    <w:tr2bl w:val="nil"/>
                  </w:tcBorders>
                  <w:noWrap w:val="0"/>
                  <w:vAlign w:val="center"/>
                </w:tcPr>
                <w:p w14:paraId="3844884A">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900-214-08</w:t>
                  </w:r>
                </w:p>
              </w:tc>
              <w:tc>
                <w:tcPr>
                  <w:tcW w:w="758" w:type="dxa"/>
                  <w:tcBorders>
                    <w:tl2br w:val="nil"/>
                    <w:tr2bl w:val="nil"/>
                  </w:tcBorders>
                  <w:noWrap w:val="0"/>
                  <w:vAlign w:val="center"/>
                </w:tcPr>
                <w:p w14:paraId="5352DFD0">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highlight w:val="none"/>
                      <w:lang w:val="en-US" w:eastAsia="zh-CN" w:bidi="ar-SA"/>
                    </w:rPr>
                    <w:t>设备检修</w:t>
                  </w:r>
                </w:p>
              </w:tc>
              <w:tc>
                <w:tcPr>
                  <w:tcW w:w="607" w:type="dxa"/>
                  <w:tcBorders>
                    <w:tl2br w:val="nil"/>
                    <w:tr2bl w:val="nil"/>
                  </w:tcBorders>
                  <w:noWrap w:val="0"/>
                  <w:vAlign w:val="center"/>
                </w:tcPr>
                <w:p w14:paraId="3D173838">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液态</w:t>
                  </w:r>
                </w:p>
              </w:tc>
              <w:tc>
                <w:tcPr>
                  <w:tcW w:w="636" w:type="dxa"/>
                  <w:tcBorders>
                    <w:tl2br w:val="nil"/>
                    <w:tr2bl w:val="nil"/>
                  </w:tcBorders>
                  <w:noWrap w:val="0"/>
                  <w:vAlign w:val="center"/>
                </w:tcPr>
                <w:p w14:paraId="2665C01F">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机油</w:t>
                  </w:r>
                </w:p>
              </w:tc>
              <w:tc>
                <w:tcPr>
                  <w:tcW w:w="623" w:type="dxa"/>
                  <w:tcBorders>
                    <w:tl2br w:val="nil"/>
                    <w:tr2bl w:val="nil"/>
                  </w:tcBorders>
                  <w:noWrap w:val="0"/>
                  <w:vAlign w:val="center"/>
                </w:tcPr>
                <w:p w14:paraId="555A7C80">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T</w:t>
                  </w:r>
                  <w:r>
                    <w:rPr>
                      <w:rFonts w:hint="eastAsia" w:cs="Times New Roman"/>
                      <w:color w:val="auto"/>
                      <w:kern w:val="0"/>
                      <w:sz w:val="21"/>
                      <w:szCs w:val="20"/>
                      <w:lang w:val="en-US" w:eastAsia="zh-CN" w:bidi="ar-SA"/>
                    </w:rPr>
                    <w:t xml:space="preserve">, </w:t>
                  </w:r>
                  <w:r>
                    <w:rPr>
                      <w:rFonts w:hint="eastAsia" w:ascii="Times New Roman" w:hAnsi="Times New Roman" w:eastAsia="宋体" w:cs="Times New Roman"/>
                      <w:color w:val="auto"/>
                      <w:kern w:val="0"/>
                      <w:sz w:val="21"/>
                      <w:szCs w:val="20"/>
                      <w:lang w:val="en-US" w:eastAsia="zh-CN" w:bidi="ar-SA"/>
                    </w:rPr>
                    <w:t>I</w:t>
                  </w:r>
                </w:p>
              </w:tc>
              <w:tc>
                <w:tcPr>
                  <w:tcW w:w="975" w:type="dxa"/>
                  <w:tcBorders>
                    <w:tl2br w:val="nil"/>
                    <w:tr2bl w:val="nil"/>
                  </w:tcBorders>
                  <w:noWrap w:val="0"/>
                  <w:vAlign w:val="center"/>
                </w:tcPr>
                <w:p w14:paraId="2EC87541">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highlight w:val="none"/>
                      <w:lang w:val="en-US" w:eastAsia="zh-CN" w:bidi="ar-SA"/>
                    </w:rPr>
                    <w:t>0.05t/a</w:t>
                  </w:r>
                </w:p>
              </w:tc>
              <w:tc>
                <w:tcPr>
                  <w:tcW w:w="979" w:type="dxa"/>
                  <w:tcBorders>
                    <w:tl2br w:val="nil"/>
                    <w:tr2bl w:val="nil"/>
                  </w:tcBorders>
                  <w:noWrap w:val="0"/>
                  <w:vAlign w:val="center"/>
                </w:tcPr>
                <w:p w14:paraId="6BB4D8A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由设备厂商进行委托有危废处置资质的单位进行处置</w:t>
                  </w:r>
                </w:p>
              </w:tc>
            </w:tr>
          </w:tbl>
          <w:p w14:paraId="17FA1713">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76" w:name="_Toc22532"/>
            <w:r>
              <w:rPr>
                <w:rFonts w:hint="eastAsia" w:ascii="Times New Roman" w:hAnsi="Times New Roman" w:eastAsia="宋体" w:cs="Times New Roman"/>
                <w:b/>
                <w:color w:val="auto"/>
                <w:kern w:val="2"/>
                <w:sz w:val="24"/>
                <w:szCs w:val="24"/>
                <w:lang w:val="en-US" w:eastAsia="zh-CN" w:bidi="ar-SA"/>
              </w:rPr>
              <w:t>4.4.3固体废物管理措施及环境影响分析</w:t>
            </w:r>
            <w:bookmarkEnd w:id="76"/>
          </w:p>
          <w:p w14:paraId="39188E2D">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（1）一般工业固体废物贮存要求</w:t>
            </w:r>
          </w:p>
          <w:p w14:paraId="65B0201F">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根据国家《一般工业固体废物贮存和填埋污染控制标准》（GB18599-2020），一般工业固体废物的贮存和管理应做到：在生产过程中应加强一般工业固体废物贮存规范化管理，固体废物分类定点堆放。确保固体废物贮存过程满足防渗漏、防雨淋和防扬尘等环境保护要求。</w:t>
            </w:r>
          </w:p>
          <w:p w14:paraId="0DA03415">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（2）一般工业固体废物转移和管理要求</w:t>
            </w:r>
          </w:p>
          <w:p w14:paraId="1ED0FFD1">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①采取防扬散、防流失、防渗漏或者其他防止固体废物污染环境的措施，不得擅自倾倒、堆放、丢弃、遗撒固体废物。</w:t>
            </w:r>
          </w:p>
          <w:p w14:paraId="658FD29D">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②禁止向江河、湖泊、运河、渠道、水库及其最高水位线以下的滩地和岸坡以及法律法规规定的其他地点倾倒、堆放、贮存固体废物。</w:t>
            </w:r>
          </w:p>
          <w:p w14:paraId="60D56D45">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③转移固体废物出省、自治区、直辖市行政区域利用的，应当报固体废物移出地的省、自治区、直辖市人民政府生态环境主管部门备案。移出地的省、自治区、直辖市人民政府生态环境主管部门应当将备案信息通报</w:t>
            </w:r>
            <w:r>
              <w:rPr>
                <w:rFonts w:hint="eastAsia" w:cs="宋体"/>
                <w:color w:val="auto"/>
                <w:kern w:val="2"/>
                <w:sz w:val="24"/>
                <w:szCs w:val="24"/>
                <w:lang w:val="en-US" w:eastAsia="zh-CN" w:bidi="ar-SA"/>
              </w:rPr>
              <w:t>接收</w:t>
            </w:r>
            <w:r>
              <w:rPr>
                <w:rFonts w:hint="eastAsia" w:ascii="Times New Roman" w:hAnsi="Times New Roman" w:eastAsia="宋体" w:cs="宋体"/>
                <w:color w:val="auto"/>
                <w:kern w:val="2"/>
                <w:sz w:val="24"/>
                <w:szCs w:val="24"/>
                <w:lang w:val="en-US" w:eastAsia="zh-CN" w:bidi="ar-SA"/>
              </w:rPr>
              <w:t>地的省、自治区、直辖市人民政府生态环境主管部门。</w:t>
            </w:r>
          </w:p>
          <w:p w14:paraId="0FAF8F46">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④建立健全工业固体废物产生、收集、贮存、运输、利用、处置全过程的污染环境防治责任制度，建立工业固体废物管理台账，如实记录产生工业固体废物的种类、数量、流向、贮存、利用、处置等信息，实现工业固体废物可追溯、可查询，并采取防治工业固体废物污染环境的措施。</w:t>
            </w:r>
          </w:p>
          <w:p w14:paraId="37205158">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⑤禁止向生活垃圾收集设施中投放工业固体废物。</w:t>
            </w:r>
          </w:p>
          <w:p w14:paraId="357B79C0">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（3）生活垃圾</w:t>
            </w:r>
          </w:p>
          <w:p w14:paraId="567FAC1A">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生活垃圾极易腐败发臭，必须按照垃圾分类要求对生活垃圾进行分类，定点收集，及时清运或处理，做到日产日清。项目在厂区生产区和办公生活区分别设置一些垃圾收集桶。项目配备专职的清洁人员和必要的工具，负责清扫厂区，维持清洁卫生，生活垃圾收集后委托当地环卫部门统一清运。</w:t>
            </w:r>
          </w:p>
          <w:p w14:paraId="25299AE6">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4</w:t>
            </w:r>
            <w:r>
              <w:rPr>
                <w:rFonts w:hint="default" w:ascii="Times New Roman" w:hAnsi="Times New Roman" w:eastAsia="宋体" w:cs="宋体"/>
                <w:color w:val="auto"/>
                <w:kern w:val="2"/>
                <w:sz w:val="24"/>
                <w:szCs w:val="24"/>
                <w:lang w:val="en-US" w:eastAsia="zh-CN" w:bidi="ar-SA"/>
              </w:rPr>
              <w:t>）危险废物暂存</w:t>
            </w:r>
            <w:r>
              <w:rPr>
                <w:rFonts w:hint="eastAsia" w:ascii="Times New Roman" w:hAnsi="Times New Roman" w:eastAsia="宋体" w:cs="宋体"/>
                <w:color w:val="auto"/>
                <w:kern w:val="2"/>
                <w:sz w:val="24"/>
                <w:szCs w:val="24"/>
                <w:lang w:val="en-US" w:eastAsia="zh-CN" w:bidi="ar-SA"/>
              </w:rPr>
              <w:t>贮存管理要求</w:t>
            </w:r>
          </w:p>
          <w:p w14:paraId="4253B3E8">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厂区内</w:t>
            </w:r>
            <w:r>
              <w:rPr>
                <w:rFonts w:hint="eastAsia" w:ascii="Times New Roman" w:hAnsi="Times New Roman" w:eastAsia="宋体" w:cs="宋体"/>
                <w:color w:val="auto"/>
                <w:kern w:val="2"/>
                <w:sz w:val="24"/>
                <w:szCs w:val="24"/>
                <w:lang w:val="en-US" w:eastAsia="zh-CN" w:bidi="ar-SA"/>
              </w:rPr>
              <w:t>拟</w:t>
            </w:r>
            <w:r>
              <w:rPr>
                <w:rFonts w:hint="default" w:ascii="Times New Roman" w:hAnsi="Times New Roman" w:eastAsia="宋体" w:cs="宋体"/>
                <w:color w:val="auto"/>
                <w:kern w:val="2"/>
                <w:sz w:val="24"/>
                <w:szCs w:val="24"/>
                <w:lang w:val="en-US" w:eastAsia="zh-CN" w:bidi="ar-SA"/>
              </w:rPr>
              <w:t>建1个危险废物暂存间，对厂区内产生的危险废物进行暂存；危废均交由有资质单位处置。厂区内设置的危废暂存间应按照《危险废物贮存污染控制标准》（GB18597-20</w:t>
            </w:r>
            <w:r>
              <w:rPr>
                <w:rFonts w:hint="eastAsia" w:ascii="Times New Roman" w:hAnsi="Times New Roman" w:eastAsia="宋体" w:cs="宋体"/>
                <w:color w:val="auto"/>
                <w:kern w:val="2"/>
                <w:sz w:val="24"/>
                <w:szCs w:val="24"/>
                <w:lang w:val="en-US" w:eastAsia="zh-CN" w:bidi="ar-SA"/>
              </w:rPr>
              <w:t>23</w:t>
            </w:r>
            <w:r>
              <w:rPr>
                <w:rFonts w:hint="default" w:ascii="Times New Roman" w:hAnsi="Times New Roman" w:eastAsia="宋体" w:cs="宋体"/>
                <w:color w:val="auto"/>
                <w:kern w:val="2"/>
                <w:sz w:val="24"/>
                <w:szCs w:val="24"/>
                <w:lang w:val="en-US" w:eastAsia="zh-CN" w:bidi="ar-SA"/>
              </w:rPr>
              <w:t>）。</w:t>
            </w:r>
          </w:p>
          <w:p w14:paraId="222103D3">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A.</w:t>
            </w:r>
            <w:r>
              <w:rPr>
                <w:rFonts w:hint="default" w:ascii="Times New Roman" w:hAnsi="Times New Roman" w:eastAsia="宋体" w:cs="宋体"/>
                <w:color w:val="auto"/>
                <w:kern w:val="2"/>
                <w:sz w:val="24"/>
                <w:szCs w:val="24"/>
                <w:lang w:val="en-US" w:eastAsia="zh-CN" w:bidi="ar-SA"/>
              </w:rPr>
              <w:t>危险废物贮存</w:t>
            </w:r>
            <w:r>
              <w:rPr>
                <w:rFonts w:hint="eastAsia" w:ascii="Times New Roman" w:hAnsi="Times New Roman" w:eastAsia="宋体" w:cs="宋体"/>
                <w:color w:val="auto"/>
                <w:kern w:val="2"/>
                <w:sz w:val="24"/>
                <w:szCs w:val="24"/>
                <w:lang w:val="en-US" w:eastAsia="zh-CN" w:bidi="ar-SA"/>
              </w:rPr>
              <w:t>设施污染控制要求一般规定</w:t>
            </w:r>
          </w:p>
          <w:p w14:paraId="224970A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①贮存设施应根据危险废物的形态、物理化学性质、包装形式和污染物迁移途径，采取必要的防风、防晒、防雨、防漏、防渗、防腐以及其他环境污染防治措施，不应露天堆放危险废物</w:t>
            </w:r>
            <w:r>
              <w:rPr>
                <w:rFonts w:hint="eastAsia" w:ascii="Times New Roman" w:hAnsi="Times New Roman" w:eastAsia="宋体" w:cs="宋体"/>
                <w:color w:val="auto"/>
                <w:kern w:val="2"/>
                <w:sz w:val="24"/>
                <w:szCs w:val="24"/>
                <w:lang w:val="en-US" w:eastAsia="zh-CN" w:bidi="ar-SA"/>
              </w:rPr>
              <w:t>；</w:t>
            </w:r>
          </w:p>
          <w:p w14:paraId="70F32912">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②</w:t>
            </w:r>
            <w:r>
              <w:rPr>
                <w:rFonts w:ascii="Times New Roman" w:hAnsi="Times New Roman" w:eastAsia="宋体" w:cs="宋体"/>
                <w:color w:val="auto"/>
                <w:kern w:val="2"/>
                <w:sz w:val="24"/>
                <w:szCs w:val="24"/>
                <w:lang w:val="en-US" w:eastAsia="zh-CN" w:bidi="ar-SA"/>
              </w:rPr>
              <w:t>贮存设施应根据危险废物的类别、数量、形态、物理化学性质和污染防治等要求设置必要的贮存分区，避免不相容的危险废物接触、混合</w:t>
            </w:r>
            <w:r>
              <w:rPr>
                <w:rFonts w:hint="eastAsia" w:ascii="Times New Roman" w:hAnsi="Times New Roman" w:eastAsia="宋体" w:cs="宋体"/>
                <w:color w:val="auto"/>
                <w:kern w:val="2"/>
                <w:sz w:val="24"/>
                <w:szCs w:val="24"/>
                <w:lang w:val="en-US" w:eastAsia="zh-CN" w:bidi="ar-SA"/>
              </w:rPr>
              <w:t>；</w:t>
            </w:r>
          </w:p>
          <w:p w14:paraId="1C859704">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③</w:t>
            </w:r>
            <w:r>
              <w:rPr>
                <w:rFonts w:ascii="Times New Roman" w:hAnsi="Times New Roman" w:eastAsia="宋体" w:cs="宋体"/>
                <w:color w:val="auto"/>
                <w:kern w:val="2"/>
                <w:sz w:val="24"/>
                <w:szCs w:val="24"/>
                <w:lang w:val="en-US" w:eastAsia="zh-CN" w:bidi="ar-SA"/>
              </w:rPr>
              <w:t>贮存设施或贮存分区内地面、墙面裙脚、堵截泄漏的围堰、接触危险废物的隔板和墙体等应采用坚固的材料建造，表面无裂缝</w:t>
            </w:r>
            <w:r>
              <w:rPr>
                <w:rFonts w:hint="eastAsia" w:ascii="Times New Roman" w:hAnsi="Times New Roman" w:eastAsia="宋体" w:cs="宋体"/>
                <w:color w:val="auto"/>
                <w:kern w:val="2"/>
                <w:sz w:val="24"/>
                <w:szCs w:val="24"/>
                <w:lang w:val="en-US" w:eastAsia="zh-CN" w:bidi="ar-SA"/>
              </w:rPr>
              <w:t>；</w:t>
            </w:r>
          </w:p>
          <w:p w14:paraId="610E6156">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④</w:t>
            </w:r>
            <w:r>
              <w:rPr>
                <w:rFonts w:ascii="Times New Roman" w:hAnsi="Times New Roman" w:eastAsia="宋体" w:cs="宋体"/>
                <w:color w:val="auto"/>
                <w:kern w:val="2"/>
                <w:sz w:val="24"/>
                <w:szCs w:val="24"/>
                <w:lang w:val="en-US" w:eastAsia="zh-CN" w:bidi="ar-SA"/>
              </w:rPr>
              <w:t>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 m厚黏土层（渗透系数不大于10</w:t>
            </w:r>
            <w:r>
              <w:rPr>
                <w:rFonts w:ascii="Times New Roman" w:hAnsi="Times New Roman" w:eastAsia="宋体" w:cs="宋体"/>
                <w:color w:val="auto"/>
                <w:kern w:val="2"/>
                <w:sz w:val="24"/>
                <w:szCs w:val="24"/>
                <w:vertAlign w:val="superscript"/>
                <w:lang w:val="en-US" w:eastAsia="zh-CN" w:bidi="ar-SA"/>
              </w:rPr>
              <w:t>-7</w:t>
            </w:r>
            <w:r>
              <w:rPr>
                <w:rFonts w:ascii="Times New Roman" w:hAnsi="Times New Roman" w:eastAsia="宋体" w:cs="宋体"/>
                <w:color w:val="auto"/>
                <w:kern w:val="2"/>
                <w:sz w:val="24"/>
                <w:szCs w:val="24"/>
                <w:lang w:val="en-US" w:eastAsia="zh-CN" w:bidi="ar-SA"/>
              </w:rPr>
              <w:t xml:space="preserve"> cm/s），或至少2 mm厚高密度聚乙烯膜等人工防渗材料（渗透系数不大于10</w:t>
            </w:r>
            <w:r>
              <w:rPr>
                <w:rFonts w:ascii="Times New Roman" w:hAnsi="Times New Roman" w:eastAsia="宋体" w:cs="宋体"/>
                <w:color w:val="auto"/>
                <w:kern w:val="2"/>
                <w:sz w:val="24"/>
                <w:szCs w:val="24"/>
                <w:vertAlign w:val="superscript"/>
                <w:lang w:val="en-US" w:eastAsia="zh-CN" w:bidi="ar-SA"/>
              </w:rPr>
              <w:t>-10</w:t>
            </w:r>
            <w:r>
              <w:rPr>
                <w:rFonts w:ascii="Times New Roman" w:hAnsi="Times New Roman" w:eastAsia="宋体" w:cs="宋体"/>
                <w:color w:val="auto"/>
                <w:kern w:val="2"/>
                <w:sz w:val="24"/>
                <w:szCs w:val="24"/>
                <w:lang w:val="en-US" w:eastAsia="zh-CN" w:bidi="ar-SA"/>
              </w:rPr>
              <w:t xml:space="preserve"> cm/s），或其他防渗性能等效的材料</w:t>
            </w:r>
            <w:r>
              <w:rPr>
                <w:rFonts w:hint="eastAsia" w:ascii="Times New Roman" w:hAnsi="Times New Roman" w:eastAsia="宋体" w:cs="宋体"/>
                <w:color w:val="auto"/>
                <w:kern w:val="2"/>
                <w:sz w:val="24"/>
                <w:szCs w:val="24"/>
                <w:lang w:val="en-US" w:eastAsia="zh-CN" w:bidi="ar-SA"/>
              </w:rPr>
              <w:t>；</w:t>
            </w:r>
          </w:p>
          <w:p w14:paraId="7560A1D1">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⑤</w:t>
            </w:r>
            <w:r>
              <w:rPr>
                <w:rFonts w:ascii="Times New Roman" w:hAnsi="Times New Roman" w:eastAsia="宋体" w:cs="宋体"/>
                <w:color w:val="auto"/>
                <w:kern w:val="2"/>
                <w:sz w:val="24"/>
                <w:szCs w:val="24"/>
                <w:lang w:val="en-US" w:eastAsia="zh-CN" w:bidi="ar-SA"/>
              </w:rPr>
              <w:t>同一贮存设施宜采用相同的防渗、防腐工艺（包括防渗、防腐结构或材料），防渗、防腐材料应覆盖所有可能与废物及其渗滤液、渗漏液等接触的构筑物表面；采用不同防渗、防腐工艺应分别建设贮存分区</w:t>
            </w:r>
            <w:r>
              <w:rPr>
                <w:rFonts w:hint="eastAsia" w:ascii="Times New Roman" w:hAnsi="Times New Roman" w:eastAsia="宋体" w:cs="宋体"/>
                <w:color w:val="auto"/>
                <w:kern w:val="2"/>
                <w:sz w:val="24"/>
                <w:szCs w:val="24"/>
                <w:lang w:val="en-US" w:eastAsia="zh-CN" w:bidi="ar-SA"/>
              </w:rPr>
              <w:t>；</w:t>
            </w:r>
          </w:p>
          <w:p w14:paraId="6EAC01A7">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⑥</w:t>
            </w:r>
            <w:r>
              <w:rPr>
                <w:rFonts w:ascii="Times New Roman" w:hAnsi="Times New Roman" w:eastAsia="宋体" w:cs="宋体"/>
                <w:color w:val="auto"/>
                <w:kern w:val="2"/>
                <w:sz w:val="24"/>
                <w:szCs w:val="24"/>
                <w:lang w:val="en-US" w:eastAsia="zh-CN" w:bidi="ar-SA"/>
              </w:rPr>
              <w:t>贮存设施应采取技术和管理措施防止无关人员进入</w:t>
            </w:r>
            <w:r>
              <w:rPr>
                <w:rFonts w:hint="eastAsia" w:ascii="Times New Roman" w:hAnsi="Times New Roman" w:eastAsia="宋体" w:cs="宋体"/>
                <w:color w:val="auto"/>
                <w:kern w:val="2"/>
                <w:sz w:val="24"/>
                <w:szCs w:val="24"/>
                <w:lang w:val="en-US" w:eastAsia="zh-CN" w:bidi="ar-SA"/>
              </w:rPr>
              <w:t>。</w:t>
            </w:r>
          </w:p>
          <w:p w14:paraId="7A238B33">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B.</w:t>
            </w:r>
            <w:r>
              <w:rPr>
                <w:rFonts w:hint="default" w:ascii="Times New Roman" w:hAnsi="Times New Roman" w:eastAsia="宋体" w:cs="宋体"/>
                <w:color w:val="auto"/>
                <w:kern w:val="2"/>
                <w:sz w:val="24"/>
                <w:szCs w:val="24"/>
                <w:lang w:val="en-US" w:eastAsia="zh-CN" w:bidi="ar-SA"/>
              </w:rPr>
              <w:t>危险废物</w:t>
            </w:r>
            <w:r>
              <w:rPr>
                <w:rFonts w:hint="eastAsia" w:ascii="Times New Roman" w:hAnsi="Times New Roman" w:eastAsia="宋体" w:cs="宋体"/>
                <w:color w:val="auto"/>
                <w:kern w:val="2"/>
                <w:sz w:val="24"/>
                <w:szCs w:val="24"/>
                <w:lang w:val="en-US" w:eastAsia="zh-CN" w:bidi="ar-SA"/>
              </w:rPr>
              <w:t>容器和包装物污染控制要求</w:t>
            </w:r>
          </w:p>
          <w:p w14:paraId="14B1FB60">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①</w:t>
            </w:r>
            <w:r>
              <w:rPr>
                <w:rFonts w:ascii="Times New Roman" w:hAnsi="Times New Roman" w:eastAsia="宋体" w:cs="宋体"/>
                <w:color w:val="auto"/>
                <w:kern w:val="2"/>
                <w:sz w:val="24"/>
                <w:szCs w:val="24"/>
                <w:lang w:val="en-US" w:eastAsia="zh-CN" w:bidi="ar-SA"/>
              </w:rPr>
              <w:t>容器和包装物材质、内衬应与盛装的危险废物相容</w:t>
            </w:r>
            <w:r>
              <w:rPr>
                <w:rFonts w:hint="eastAsia" w:ascii="Times New Roman" w:hAnsi="Times New Roman" w:eastAsia="宋体" w:cs="宋体"/>
                <w:color w:val="auto"/>
                <w:kern w:val="2"/>
                <w:sz w:val="24"/>
                <w:szCs w:val="24"/>
                <w:lang w:val="en-US" w:eastAsia="zh-CN" w:bidi="ar-SA"/>
              </w:rPr>
              <w:t>；</w:t>
            </w:r>
          </w:p>
          <w:p w14:paraId="4A900E2B">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②</w:t>
            </w:r>
            <w:r>
              <w:rPr>
                <w:rFonts w:ascii="Times New Roman" w:hAnsi="Times New Roman" w:eastAsia="宋体" w:cs="宋体"/>
                <w:color w:val="auto"/>
                <w:kern w:val="2"/>
                <w:sz w:val="24"/>
                <w:szCs w:val="24"/>
                <w:lang w:val="en-US" w:eastAsia="zh-CN" w:bidi="ar-SA"/>
              </w:rPr>
              <w:t>针对不同类别、形态、物理化学性质的危险废物，其容器和包装物应满足相应的防渗、防漏、防腐和强度等要求</w:t>
            </w:r>
            <w:r>
              <w:rPr>
                <w:rFonts w:hint="eastAsia" w:ascii="Times New Roman" w:hAnsi="Times New Roman" w:eastAsia="宋体" w:cs="宋体"/>
                <w:color w:val="auto"/>
                <w:kern w:val="2"/>
                <w:sz w:val="24"/>
                <w:szCs w:val="24"/>
                <w:lang w:val="en-US" w:eastAsia="zh-CN" w:bidi="ar-SA"/>
              </w:rPr>
              <w:t>；</w:t>
            </w:r>
          </w:p>
          <w:p w14:paraId="27B90343">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③硬质容器和包装物及其支护结构堆叠码放时不应有明显变形，无破损泄漏；</w:t>
            </w:r>
          </w:p>
          <w:p w14:paraId="37C5B30D">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④柔性容器和包装物堆叠码放时应封口严密，无破损泄漏；</w:t>
            </w:r>
          </w:p>
          <w:p w14:paraId="5B550A53">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⑤使用容器盛装液态、半固态危险废物时，容器内部应留有适当的空间，以适应因温度变化等可能引发的收缩和膨胀，防止其导致容器渗漏或永久变形；</w:t>
            </w:r>
          </w:p>
          <w:p w14:paraId="7E6F2670">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⑥</w:t>
            </w:r>
            <w:r>
              <w:rPr>
                <w:rFonts w:ascii="Times New Roman" w:hAnsi="Times New Roman" w:eastAsia="宋体" w:cs="宋体"/>
                <w:color w:val="auto"/>
                <w:kern w:val="2"/>
                <w:sz w:val="24"/>
                <w:szCs w:val="24"/>
                <w:lang w:val="en-US" w:eastAsia="zh-CN" w:bidi="ar-SA"/>
              </w:rPr>
              <w:t>容器和包装物外表面应保持清洁。</w:t>
            </w:r>
          </w:p>
          <w:p w14:paraId="5AF9A4F7">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C</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危险废物贮存</w:t>
            </w:r>
            <w:r>
              <w:rPr>
                <w:rFonts w:hint="eastAsia" w:ascii="Times New Roman" w:hAnsi="Times New Roman" w:eastAsia="宋体" w:cs="宋体"/>
                <w:color w:val="auto"/>
                <w:kern w:val="2"/>
                <w:sz w:val="24"/>
                <w:szCs w:val="24"/>
                <w:lang w:val="en-US" w:eastAsia="zh-CN" w:bidi="ar-SA"/>
              </w:rPr>
              <w:t>过程污染控制要求一般规定</w:t>
            </w:r>
          </w:p>
          <w:p w14:paraId="72B28B48">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①在常温常压下不易水解、不易挥发的固态危险废物可分类堆放贮存，其他固态危险废物应装入容器或包装物内贮存</w:t>
            </w:r>
            <w:r>
              <w:rPr>
                <w:rFonts w:hint="eastAsia" w:ascii="Times New Roman" w:hAnsi="Times New Roman" w:eastAsia="宋体" w:cs="宋体"/>
                <w:color w:val="auto"/>
                <w:kern w:val="2"/>
                <w:sz w:val="24"/>
                <w:szCs w:val="24"/>
                <w:lang w:val="en-US" w:eastAsia="zh-CN" w:bidi="ar-SA"/>
              </w:rPr>
              <w:t>；</w:t>
            </w:r>
          </w:p>
          <w:p w14:paraId="73B14A6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②液态危险废物应装入容器内贮存，或直接采用贮存池、贮存罐区贮存</w:t>
            </w:r>
            <w:r>
              <w:rPr>
                <w:rFonts w:hint="eastAsia" w:ascii="Times New Roman" w:hAnsi="Times New Roman" w:eastAsia="宋体" w:cs="宋体"/>
                <w:color w:val="auto"/>
                <w:kern w:val="2"/>
                <w:sz w:val="24"/>
                <w:szCs w:val="24"/>
                <w:lang w:val="en-US" w:eastAsia="zh-CN" w:bidi="ar-SA"/>
              </w:rPr>
              <w:t>；</w:t>
            </w:r>
          </w:p>
          <w:p w14:paraId="6025A258">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③半固态危险废物应装入容器或包装袋内贮存，或直接采用贮存池贮存</w:t>
            </w:r>
            <w:r>
              <w:rPr>
                <w:rFonts w:hint="eastAsia" w:ascii="Times New Roman" w:hAnsi="Times New Roman" w:eastAsia="宋体" w:cs="宋体"/>
                <w:color w:val="auto"/>
                <w:kern w:val="2"/>
                <w:sz w:val="24"/>
                <w:szCs w:val="24"/>
                <w:lang w:val="en-US" w:eastAsia="zh-CN" w:bidi="ar-SA"/>
              </w:rPr>
              <w:t>；</w:t>
            </w:r>
          </w:p>
          <w:p w14:paraId="46EB673B">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④具有热塑性的危险废物应装入容器或包装袋内进行贮存；</w:t>
            </w:r>
          </w:p>
          <w:p w14:paraId="15AF9C70">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⑤易产生粉尘、VOCs、酸雾、有毒有害大气污染物和刺激性气味气体的危险废物应装入闭口容器 或包装物内贮存；</w:t>
            </w:r>
          </w:p>
          <w:p w14:paraId="10DD36D3">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⑥危险废物贮存过程中易产生粉尘等无组织排放的，应采取抑尘等有效措施。</w:t>
            </w:r>
          </w:p>
          <w:p w14:paraId="544B8047">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D.贮存设施运行环境管理要求</w:t>
            </w:r>
          </w:p>
          <w:p w14:paraId="6F808EA7">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①</w:t>
            </w:r>
            <w:r>
              <w:rPr>
                <w:rFonts w:hint="default" w:ascii="Times New Roman" w:hAnsi="Times New Roman" w:eastAsia="宋体" w:cs="宋体"/>
                <w:color w:val="auto"/>
                <w:kern w:val="2"/>
                <w:sz w:val="24"/>
                <w:szCs w:val="24"/>
                <w:lang w:val="en-US" w:eastAsia="zh-CN" w:bidi="ar-SA"/>
              </w:rPr>
              <w:t>危险废物存入贮存设施前应对危险废物类别和特性与危险废物标签等危险废物识别标志的一致性进行核验，不一致的或类别、特性不明的不应存入</w:t>
            </w:r>
            <w:r>
              <w:rPr>
                <w:rFonts w:hint="eastAsia" w:ascii="Times New Roman" w:hAnsi="Times New Roman" w:eastAsia="宋体" w:cs="宋体"/>
                <w:color w:val="auto"/>
                <w:kern w:val="2"/>
                <w:sz w:val="24"/>
                <w:szCs w:val="24"/>
                <w:lang w:val="en-US" w:eastAsia="zh-CN" w:bidi="ar-SA"/>
              </w:rPr>
              <w:t>；</w:t>
            </w:r>
          </w:p>
          <w:p w14:paraId="458D2908">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②应定期检查危险废物的贮存状况，及时清理贮存设施地面，更换破损泄漏的危险废物贮存容器和包装物，保证堆存危险废物的防雨、防风、防扬尘等设施功能完好；</w:t>
            </w:r>
          </w:p>
          <w:p w14:paraId="38397754">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③作业设备及车辆等结束作业离开贮存设施时，应对其残留的危险废物进行清理，清理的废物或清洗废水应收集处理；</w:t>
            </w:r>
          </w:p>
          <w:p w14:paraId="4D5C043D">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④贮存设施运行期间，应按国家有关标准和规定建立危险废物管理台账并保存；</w:t>
            </w:r>
          </w:p>
          <w:p w14:paraId="5A3A4F55">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⑤贮存设施所有者或运营者应建立贮存设施环境管理制度、管理人员岗位职责制度、设施运行操作制度、人员岗位培训制度等；</w:t>
            </w:r>
          </w:p>
          <w:p w14:paraId="0954906A">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⑥贮存设施所有者或运营者应依据国家土壤和地下水污染防治的有关规定，结合贮存设施特点建立土壤和地下水污染隐患排查制度，并定期开展隐患排查；发现隐患应及时采取措施消除隐患，并建立档案；</w:t>
            </w:r>
          </w:p>
          <w:p w14:paraId="069ABE8E">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⑦贮存设施所有者或运营者应建立贮存设施全部档案，包括设计、施工、验收、运行、监测和环境应急等，应按国家有关档案管理的法律法规进行整理和归档。</w:t>
            </w:r>
          </w:p>
          <w:p w14:paraId="00C04D8F">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E.污染物排放控制要求</w:t>
            </w:r>
          </w:p>
          <w:p w14:paraId="56D0AFA8">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①贮存设施产生的废水（包括贮存设施、作业设备、车辆等清洗废水，贮存罐区积存雨水，贮存事故废水等）应进行收集处理，废水排放应符合GB 8978规定的要求</w:t>
            </w:r>
            <w:r>
              <w:rPr>
                <w:rFonts w:hint="eastAsia" w:ascii="Times New Roman" w:hAnsi="Times New Roman" w:eastAsia="宋体" w:cs="宋体"/>
                <w:color w:val="auto"/>
                <w:kern w:val="2"/>
                <w:sz w:val="24"/>
                <w:szCs w:val="24"/>
                <w:lang w:val="en-US" w:eastAsia="zh-CN" w:bidi="ar-SA"/>
              </w:rPr>
              <w:t>；</w:t>
            </w:r>
          </w:p>
          <w:p w14:paraId="1685456F">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②贮存设施产生的废气（含无组织废气）的排放应符合GB 16297和GB 37822规定的要求</w:t>
            </w:r>
            <w:r>
              <w:rPr>
                <w:rFonts w:hint="eastAsia" w:ascii="Times New Roman" w:hAnsi="Times New Roman" w:eastAsia="宋体" w:cs="宋体"/>
                <w:color w:val="auto"/>
                <w:kern w:val="2"/>
                <w:sz w:val="24"/>
                <w:szCs w:val="24"/>
                <w:lang w:val="en-US" w:eastAsia="zh-CN" w:bidi="ar-SA"/>
              </w:rPr>
              <w:t>；</w:t>
            </w:r>
          </w:p>
          <w:p w14:paraId="27AF4C7B">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③贮存设施产生的恶臭气体的排放应符合GB 14554规定的要求</w:t>
            </w:r>
            <w:r>
              <w:rPr>
                <w:rFonts w:hint="eastAsia" w:ascii="Times New Roman" w:hAnsi="Times New Roman" w:eastAsia="宋体" w:cs="宋体"/>
                <w:color w:val="auto"/>
                <w:kern w:val="2"/>
                <w:sz w:val="24"/>
                <w:szCs w:val="24"/>
                <w:lang w:val="en-US" w:eastAsia="zh-CN" w:bidi="ar-SA"/>
              </w:rPr>
              <w:t>；</w:t>
            </w:r>
          </w:p>
          <w:p w14:paraId="284FB215">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④贮存设施内产生以及清理的固体废物应按固体废物分类管理要求妥善处理；</w:t>
            </w:r>
          </w:p>
          <w:p w14:paraId="66D3C173">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⑤贮存设施排放的环境噪声应符合GB 12348规定的要求。</w:t>
            </w:r>
          </w:p>
          <w:p w14:paraId="26BCE2EF">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5</w:t>
            </w:r>
            <w:r>
              <w:rPr>
                <w:rFonts w:hint="default" w:ascii="Times New Roman" w:hAnsi="Times New Roman" w:eastAsia="宋体" w:cs="宋体"/>
                <w:color w:val="auto"/>
                <w:kern w:val="2"/>
                <w:sz w:val="24"/>
                <w:szCs w:val="24"/>
                <w:lang w:val="en-US" w:eastAsia="zh-CN" w:bidi="ar-SA"/>
              </w:rPr>
              <w:t>）危险废物运输过程环境管理要求</w:t>
            </w:r>
          </w:p>
          <w:p w14:paraId="528B5773">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危险废物在收集时，应清楚废物的类别及主要成</w:t>
            </w:r>
            <w:r>
              <w:rPr>
                <w:rFonts w:hint="eastAsia" w:ascii="Times New Roman" w:hAnsi="Times New Roman" w:eastAsia="宋体" w:cs="宋体"/>
                <w:color w:val="auto"/>
                <w:kern w:val="2"/>
                <w:sz w:val="24"/>
                <w:szCs w:val="24"/>
                <w:lang w:val="en-US" w:eastAsia="zh-CN" w:bidi="ar-SA"/>
              </w:rPr>
              <w:t>分</w:t>
            </w:r>
            <w:r>
              <w:rPr>
                <w:rFonts w:hint="default" w:ascii="Times New Roman" w:hAnsi="Times New Roman" w:eastAsia="宋体" w:cs="宋体"/>
                <w:color w:val="auto"/>
                <w:kern w:val="2"/>
                <w:sz w:val="24"/>
                <w:szCs w:val="24"/>
                <w:lang w:val="en-US" w:eastAsia="zh-CN" w:bidi="ar-SA"/>
              </w:rPr>
              <w:t xml:space="preserve">，以方便委托处理单位处理，根据危险废物的性质和形态，可采用不同大小和不同材质的容器进行包装，所有包装容器应足够安全，并经过周密检查，严防在装载、搬移或运输途中出现渗漏、溢出、抛洒或挥发等情况。最后按照对危险废物交换和转移管理工作的有关要求，对危险废物进行安全包装，并在包装的明显位置附上危险废物标签。 </w:t>
            </w:r>
          </w:p>
          <w:p w14:paraId="7405A8DF">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厂内转运时，危险废物产生后放入专门盛装危险废物的容器或防漏胶袋中，由带有防漏托盘的车辆转运至危废暂存间，转运过程中由于人为操作失误造成的容器倒翻、胶袋破损等情况时，泄漏的危险废物大部分会进入托盘中，极少情况下会出现托盘满溢泄漏情况。由于本项目危险废物产生点距离厂内危废暂存间较近，因此企业在加强管理的情况下，厂内转运过程中出现散落、泄漏概率很小，不会产生二次污染。</w:t>
            </w:r>
          </w:p>
          <w:p w14:paraId="5085ADA7">
            <w:pPr>
              <w:keepNext/>
              <w:keepLines/>
              <w:widowControl w:val="0"/>
              <w:bidi w:val="0"/>
              <w:spacing w:beforeLines="0" w:beforeAutospacing="0" w:afterLines="0" w:afterAutospacing="0" w:line="360" w:lineRule="auto"/>
              <w:jc w:val="left"/>
              <w:outlineLvl w:val="1"/>
              <w:rPr>
                <w:rFonts w:hint="eastAsia" w:ascii="Times New Roman" w:hAnsi="Times New Roman" w:eastAsia="宋体" w:cs="Times New Roman"/>
                <w:b/>
                <w:color w:val="auto"/>
                <w:kern w:val="2"/>
                <w:sz w:val="28"/>
                <w:szCs w:val="24"/>
                <w:lang w:val="en-US" w:eastAsia="zh-CN" w:bidi="ar-SA"/>
              </w:rPr>
            </w:pPr>
            <w:bookmarkStart w:id="77" w:name="_Toc14391"/>
            <w:r>
              <w:rPr>
                <w:rFonts w:hint="eastAsia" w:ascii="Times New Roman" w:hAnsi="Times New Roman" w:eastAsia="宋体" w:cs="Times New Roman"/>
                <w:b/>
                <w:color w:val="auto"/>
                <w:kern w:val="2"/>
                <w:sz w:val="28"/>
                <w:szCs w:val="24"/>
                <w:lang w:val="en-US" w:eastAsia="zh-CN" w:bidi="ar-SA"/>
              </w:rPr>
              <w:t>4.5运营期地下水、土壤环境影响和保护措施</w:t>
            </w:r>
            <w:bookmarkEnd w:id="77"/>
          </w:p>
          <w:p w14:paraId="25806DD0">
            <w:pPr>
              <w:keepNext/>
              <w:keepLines/>
              <w:widowControl w:val="0"/>
              <w:bidi w:val="0"/>
              <w:spacing w:beforeLines="0" w:beforeAutospacing="0" w:afterLines="0" w:afterAutospacing="0" w:line="360" w:lineRule="auto"/>
              <w:jc w:val="left"/>
              <w:outlineLvl w:val="2"/>
              <w:rPr>
                <w:rFonts w:ascii="Times New Roman" w:hAnsi="Times New Roman" w:eastAsia="宋体" w:cs="Times New Roman"/>
                <w:b/>
                <w:color w:val="auto"/>
                <w:kern w:val="2"/>
                <w:sz w:val="24"/>
                <w:szCs w:val="24"/>
                <w:lang w:val="en-US" w:eastAsia="zh-CN" w:bidi="ar-SA"/>
              </w:rPr>
            </w:pPr>
            <w:bookmarkStart w:id="78" w:name="_Toc14387"/>
            <w:r>
              <w:rPr>
                <w:rFonts w:hint="eastAsia" w:ascii="Times New Roman" w:hAnsi="Times New Roman" w:eastAsia="宋体" w:cs="Times New Roman"/>
                <w:b/>
                <w:color w:val="auto"/>
                <w:kern w:val="2"/>
                <w:sz w:val="24"/>
                <w:szCs w:val="24"/>
                <w:lang w:val="en-US" w:eastAsia="zh-CN" w:bidi="ar-SA"/>
              </w:rPr>
              <w:t>4.5.1</w:t>
            </w:r>
            <w:r>
              <w:rPr>
                <w:rFonts w:ascii="Times New Roman" w:hAnsi="Times New Roman" w:eastAsia="宋体" w:cs="Times New Roman"/>
                <w:b/>
                <w:color w:val="auto"/>
                <w:kern w:val="2"/>
                <w:sz w:val="24"/>
                <w:szCs w:val="24"/>
                <w:lang w:val="en-US" w:eastAsia="zh-CN" w:bidi="ar-SA"/>
              </w:rPr>
              <w:t>地下水、土壤环境影响分析</w:t>
            </w:r>
            <w:bookmarkEnd w:id="78"/>
          </w:p>
          <w:p w14:paraId="26D5398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（1）地下水环境</w:t>
            </w:r>
          </w:p>
          <w:p w14:paraId="2491E17E">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厂区雨水经雨水管网收集后，通过厂区雨水排放口排入镇区雨水排水系统</w:t>
            </w:r>
            <w:r>
              <w:rPr>
                <w:rFonts w:hint="eastAsia" w:ascii="Times New Roman" w:hAnsi="Times New Roman" w:eastAsia="宋体" w:cs="宋体"/>
                <w:color w:val="auto"/>
                <w:kern w:val="2"/>
                <w:sz w:val="24"/>
                <w:szCs w:val="24"/>
                <w:lang w:val="en-US" w:eastAsia="zh-CN" w:bidi="ar-SA"/>
              </w:rPr>
              <w:t>；铣磨、倒边</w:t>
            </w:r>
            <w:r>
              <w:rPr>
                <w:rFonts w:hint="default"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研磨、</w:t>
            </w:r>
            <w:r>
              <w:rPr>
                <w:rFonts w:hint="default" w:ascii="Times New Roman" w:hAnsi="Times New Roman" w:eastAsia="宋体" w:cs="宋体"/>
                <w:color w:val="auto"/>
                <w:kern w:val="2"/>
                <w:sz w:val="24"/>
                <w:szCs w:val="24"/>
                <w:lang w:val="en-US" w:eastAsia="zh-CN" w:bidi="ar-SA"/>
              </w:rPr>
              <w:t>抛光</w:t>
            </w:r>
            <w:r>
              <w:rPr>
                <w:rFonts w:hint="eastAsia" w:ascii="Times New Roman" w:hAnsi="Times New Roman" w:eastAsia="宋体" w:cs="宋体"/>
                <w:color w:val="auto"/>
                <w:kern w:val="2"/>
                <w:sz w:val="24"/>
                <w:szCs w:val="24"/>
                <w:lang w:val="en-US" w:eastAsia="zh-CN" w:bidi="ar-SA"/>
              </w:rPr>
              <w:t>、喷淋塔</w:t>
            </w:r>
            <w:r>
              <w:rPr>
                <w:rFonts w:hint="default" w:ascii="Times New Roman" w:hAnsi="Times New Roman" w:eastAsia="宋体" w:cs="宋体"/>
                <w:color w:val="auto"/>
                <w:kern w:val="2"/>
                <w:sz w:val="24"/>
                <w:szCs w:val="24"/>
                <w:lang w:val="en-US" w:eastAsia="zh-CN" w:bidi="ar-SA"/>
              </w:rPr>
              <w:t>废水经过</w:t>
            </w:r>
            <w:r>
              <w:rPr>
                <w:rFonts w:hint="eastAsia" w:ascii="Times New Roman" w:hAnsi="Times New Roman" w:eastAsia="宋体" w:cs="宋体"/>
                <w:color w:val="auto"/>
                <w:kern w:val="2"/>
                <w:sz w:val="24"/>
                <w:szCs w:val="24"/>
                <w:lang w:val="en-US" w:eastAsia="zh-CN" w:bidi="ar-SA"/>
              </w:rPr>
              <w:t>三格</w:t>
            </w:r>
            <w:r>
              <w:rPr>
                <w:rFonts w:hint="default" w:ascii="Times New Roman" w:hAnsi="Times New Roman" w:eastAsia="宋体" w:cs="宋体"/>
                <w:color w:val="auto"/>
                <w:kern w:val="2"/>
                <w:sz w:val="24"/>
                <w:szCs w:val="24"/>
                <w:lang w:val="en-US" w:eastAsia="zh-CN" w:bidi="ar-SA"/>
              </w:rPr>
              <w:t>沉淀</w:t>
            </w:r>
            <w:r>
              <w:rPr>
                <w:rFonts w:hint="eastAsia" w:ascii="Times New Roman" w:hAnsi="Times New Roman" w:eastAsia="宋体" w:cs="宋体"/>
                <w:color w:val="auto"/>
                <w:kern w:val="2"/>
                <w:sz w:val="24"/>
                <w:szCs w:val="24"/>
                <w:lang w:val="en-US" w:eastAsia="zh-CN" w:bidi="ar-SA"/>
              </w:rPr>
              <w:t>处理</w:t>
            </w:r>
            <w:r>
              <w:rPr>
                <w:rFonts w:hint="default" w:ascii="Times New Roman" w:hAnsi="Times New Roman" w:eastAsia="宋体" w:cs="宋体"/>
                <w:color w:val="auto"/>
                <w:kern w:val="2"/>
                <w:sz w:val="24"/>
                <w:szCs w:val="24"/>
                <w:lang w:val="en-US" w:eastAsia="zh-CN" w:bidi="ar-SA"/>
              </w:rPr>
              <w:t>后进入调节池，再经过</w:t>
            </w:r>
            <w:r>
              <w:rPr>
                <w:rFonts w:hint="eastAsia" w:ascii="Times New Roman" w:hAnsi="Times New Roman" w:eastAsia="宋体" w:cs="宋体"/>
                <w:color w:val="auto"/>
                <w:kern w:val="2"/>
                <w:sz w:val="24"/>
                <w:szCs w:val="24"/>
                <w:lang w:val="en-US" w:eastAsia="zh-CN" w:bidi="ar-SA"/>
              </w:rPr>
              <w:t>混凝沉淀</w:t>
            </w:r>
            <w:r>
              <w:rPr>
                <w:rFonts w:hint="default" w:ascii="Times New Roman" w:hAnsi="Times New Roman" w:eastAsia="宋体" w:cs="宋体"/>
                <w:color w:val="auto"/>
                <w:kern w:val="2"/>
                <w:sz w:val="24"/>
                <w:szCs w:val="24"/>
                <w:lang w:val="en-US" w:eastAsia="zh-CN" w:bidi="ar-SA"/>
              </w:rPr>
              <w:t>废水处理设施处理达标后排入市政管网，纳入大学城污水处理厂；药水槽</w:t>
            </w:r>
            <w:r>
              <w:rPr>
                <w:rFonts w:hint="eastAsia" w:ascii="Times New Roman" w:hAnsi="Times New Roman" w:eastAsia="宋体" w:cs="宋体"/>
                <w:color w:val="auto"/>
                <w:kern w:val="2"/>
                <w:sz w:val="24"/>
                <w:szCs w:val="24"/>
                <w:lang w:val="en-US" w:eastAsia="zh-CN" w:bidi="ar-SA"/>
              </w:rPr>
              <w:t>中的清洗剂</w:t>
            </w:r>
            <w:r>
              <w:rPr>
                <w:rFonts w:hint="default" w:ascii="Times New Roman" w:hAnsi="Times New Roman" w:eastAsia="宋体" w:cs="宋体"/>
                <w:color w:val="auto"/>
                <w:kern w:val="2"/>
                <w:sz w:val="24"/>
                <w:szCs w:val="24"/>
                <w:lang w:val="en-US" w:eastAsia="zh-CN" w:bidi="ar-SA"/>
              </w:rPr>
              <w:t>废水进入</w:t>
            </w:r>
            <w:r>
              <w:rPr>
                <w:rFonts w:hint="eastAsia" w:ascii="Times New Roman" w:hAnsi="Times New Roman" w:eastAsia="宋体" w:cs="宋体"/>
                <w:color w:val="auto"/>
                <w:kern w:val="2"/>
                <w:sz w:val="24"/>
                <w:szCs w:val="24"/>
                <w:lang w:val="en-US" w:eastAsia="zh-CN" w:bidi="ar-SA"/>
              </w:rPr>
              <w:t>集水</w:t>
            </w:r>
            <w:r>
              <w:rPr>
                <w:rFonts w:hint="default" w:ascii="Times New Roman" w:hAnsi="Times New Roman" w:eastAsia="宋体" w:cs="宋体"/>
                <w:color w:val="auto"/>
                <w:kern w:val="2"/>
                <w:sz w:val="24"/>
                <w:szCs w:val="24"/>
                <w:lang w:val="en-US" w:eastAsia="zh-CN" w:bidi="ar-SA"/>
              </w:rPr>
              <w:t>调节池，再经过</w:t>
            </w:r>
            <w:r>
              <w:rPr>
                <w:rFonts w:hint="eastAsia" w:ascii="Times New Roman" w:hAnsi="Times New Roman" w:eastAsia="宋体" w:cs="宋体"/>
                <w:color w:val="auto"/>
                <w:kern w:val="2"/>
                <w:sz w:val="24"/>
                <w:szCs w:val="24"/>
                <w:lang w:val="en-US" w:eastAsia="zh-CN" w:bidi="ar-SA"/>
              </w:rPr>
              <w:t>混凝沉淀</w:t>
            </w:r>
            <w:r>
              <w:rPr>
                <w:rFonts w:hint="default" w:ascii="Times New Roman" w:hAnsi="Times New Roman" w:eastAsia="宋体" w:cs="宋体"/>
                <w:color w:val="auto"/>
                <w:kern w:val="2"/>
                <w:sz w:val="24"/>
                <w:szCs w:val="24"/>
                <w:lang w:val="en-US" w:eastAsia="zh-CN" w:bidi="ar-SA"/>
              </w:rPr>
              <w:t>废水处理设施处理达标后排入市政管网，纳入大学城污水处理厂</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纯水槽的纯</w:t>
            </w:r>
            <w:r>
              <w:rPr>
                <w:rFonts w:hint="eastAsia" w:ascii="Times New Roman" w:hAnsi="Times New Roman" w:eastAsia="宋体" w:cs="宋体"/>
                <w:color w:val="auto"/>
                <w:kern w:val="2"/>
                <w:sz w:val="24"/>
                <w:szCs w:val="24"/>
                <w:lang w:val="en-US" w:eastAsia="zh-CN" w:bidi="ar-SA"/>
              </w:rPr>
              <w:t>净废</w:t>
            </w:r>
            <w:r>
              <w:rPr>
                <w:rFonts w:hint="default" w:ascii="Times New Roman" w:hAnsi="Times New Roman" w:eastAsia="宋体" w:cs="宋体"/>
                <w:color w:val="auto"/>
                <w:kern w:val="2"/>
                <w:sz w:val="24"/>
                <w:szCs w:val="24"/>
                <w:lang w:val="en-US" w:eastAsia="zh-CN" w:bidi="ar-SA"/>
              </w:rPr>
              <w:t>水与</w:t>
            </w:r>
            <w:r>
              <w:rPr>
                <w:rFonts w:hint="eastAsia" w:ascii="Times New Roman" w:hAnsi="Times New Roman" w:eastAsia="宋体" w:cs="宋体"/>
                <w:color w:val="auto"/>
                <w:kern w:val="2"/>
                <w:sz w:val="24"/>
                <w:szCs w:val="24"/>
                <w:lang w:val="en-US" w:eastAsia="zh-CN" w:bidi="ar-SA"/>
              </w:rPr>
              <w:t>纯水制备的</w:t>
            </w:r>
            <w:r>
              <w:rPr>
                <w:rFonts w:hint="default" w:ascii="Times New Roman" w:hAnsi="Times New Roman" w:eastAsia="宋体" w:cs="宋体"/>
                <w:color w:val="auto"/>
                <w:kern w:val="2"/>
                <w:sz w:val="24"/>
                <w:szCs w:val="24"/>
                <w:lang w:val="en-US" w:eastAsia="zh-CN" w:bidi="ar-SA"/>
              </w:rPr>
              <w:t>非纯净废水排入市政管网，纳入大学城污水处理厂</w:t>
            </w:r>
            <w:r>
              <w:rPr>
                <w:rFonts w:hint="eastAsia" w:ascii="Times New Roman" w:hAnsi="Times New Roman" w:eastAsia="宋体" w:cs="宋体"/>
                <w:color w:val="auto"/>
                <w:kern w:val="2"/>
                <w:sz w:val="24"/>
                <w:szCs w:val="24"/>
                <w:lang w:val="en-US" w:eastAsia="zh-CN" w:bidi="ar-SA"/>
              </w:rPr>
              <w:t>；生活污水经化粪池处理达标后排入市政管网，纳入大学城污水处理厂</w:t>
            </w:r>
            <w:r>
              <w:rPr>
                <w:rFonts w:hint="default" w:ascii="Times New Roman" w:hAnsi="Times New Roman" w:eastAsia="宋体" w:cs="宋体"/>
                <w:color w:val="auto"/>
                <w:kern w:val="2"/>
                <w:sz w:val="24"/>
                <w:szCs w:val="24"/>
                <w:lang w:val="en-US" w:eastAsia="zh-CN" w:bidi="ar-SA"/>
              </w:rPr>
              <w:t>正常工况下化粪池及污水管道均采取严格的防渗、防溢流等措施，废水不易渗漏和进入地下水。</w:t>
            </w:r>
          </w:p>
          <w:p w14:paraId="7957AFE0">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企业严格按照《一般工业固体废物贮存和填埋污染控制标准》（GB 18599-2020）中固废临时贮存场所要求进行建设，具备防风、防雨、防晒、防渗漏等要求。在正常工况，不会对评价区地下水产生明显影响，其影响程度是可接受的。</w:t>
            </w:r>
          </w:p>
          <w:p w14:paraId="6C4DC0A0">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项目使用的原料均属于毒性的原料，容器储存和生产设备密封性好，工艺先进，生产中不会造成渗透、泄漏的情况。在做好厂房防渗情况下，不会产生原料进入地下污染地下水的情况。</w:t>
            </w:r>
          </w:p>
          <w:p w14:paraId="5F4916CE">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综上所述</w:t>
            </w:r>
            <w:r>
              <w:rPr>
                <w:rFonts w:hint="default" w:ascii="Times New Roman" w:hAnsi="Times New Roman" w:eastAsia="宋体" w:cs="宋体"/>
                <w:color w:val="auto"/>
                <w:kern w:val="2"/>
                <w:sz w:val="24"/>
                <w:szCs w:val="24"/>
                <w:lang w:val="en-US" w:eastAsia="zh-CN" w:bidi="ar-SA"/>
              </w:rPr>
              <w:t>，项目在正常运行工况下，项目对地下水影响不大。但</w:t>
            </w:r>
            <w:r>
              <w:rPr>
                <w:rFonts w:hint="eastAsia" w:ascii="Times New Roman" w:hAnsi="Times New Roman" w:eastAsia="宋体" w:cs="宋体"/>
                <w:color w:val="auto"/>
                <w:kern w:val="2"/>
                <w:sz w:val="24"/>
                <w:szCs w:val="24"/>
                <w:lang w:val="en-US" w:eastAsia="zh-CN" w:bidi="ar-SA"/>
              </w:rPr>
              <w:t>建设单位</w:t>
            </w:r>
            <w:r>
              <w:rPr>
                <w:rFonts w:hint="default" w:ascii="Times New Roman" w:hAnsi="Times New Roman" w:eastAsia="宋体" w:cs="宋体"/>
                <w:color w:val="auto"/>
                <w:kern w:val="2"/>
                <w:sz w:val="24"/>
                <w:szCs w:val="24"/>
                <w:lang w:val="en-US" w:eastAsia="zh-CN" w:bidi="ar-SA"/>
              </w:rPr>
              <w:t>应加强管理，杜绝防渗层破裂等事故影响。</w:t>
            </w:r>
          </w:p>
          <w:p w14:paraId="4A40AA30">
            <w:pPr>
              <w:keepNext/>
              <w:keepLines/>
              <w:widowControl w:val="0"/>
              <w:bidi w:val="0"/>
              <w:spacing w:beforeLines="0" w:beforeAutospacing="0" w:afterLines="0" w:afterAutospacing="0" w:line="360" w:lineRule="auto"/>
              <w:jc w:val="left"/>
              <w:outlineLvl w:val="2"/>
              <w:rPr>
                <w:rFonts w:ascii="Times New Roman" w:hAnsi="Times New Roman" w:eastAsia="宋体" w:cs="Times New Roman"/>
                <w:b/>
                <w:color w:val="auto"/>
                <w:kern w:val="2"/>
                <w:sz w:val="24"/>
                <w:szCs w:val="24"/>
                <w:lang w:val="en-US" w:eastAsia="zh-CN" w:bidi="ar-SA"/>
              </w:rPr>
            </w:pPr>
            <w:bookmarkStart w:id="79" w:name="_Toc13876"/>
            <w:r>
              <w:rPr>
                <w:rFonts w:ascii="Times New Roman" w:hAnsi="Times New Roman" w:eastAsia="宋体" w:cs="Times New Roman"/>
                <w:b/>
                <w:color w:val="auto"/>
                <w:kern w:val="2"/>
                <w:sz w:val="24"/>
                <w:szCs w:val="24"/>
                <w:lang w:val="en-US" w:eastAsia="zh-CN" w:bidi="ar-SA"/>
              </w:rPr>
              <w:t>4.</w:t>
            </w:r>
            <w:r>
              <w:rPr>
                <w:rFonts w:hint="eastAsia" w:ascii="Times New Roman" w:hAnsi="Times New Roman" w:eastAsia="宋体" w:cs="Times New Roman"/>
                <w:b/>
                <w:color w:val="auto"/>
                <w:kern w:val="2"/>
                <w:sz w:val="24"/>
                <w:szCs w:val="24"/>
                <w:lang w:val="en-US" w:eastAsia="zh-CN" w:bidi="ar-SA"/>
              </w:rPr>
              <w:t>5</w:t>
            </w:r>
            <w:r>
              <w:rPr>
                <w:rFonts w:ascii="Times New Roman" w:hAnsi="Times New Roman" w:eastAsia="宋体" w:cs="Times New Roman"/>
                <w:b/>
                <w:color w:val="auto"/>
                <w:kern w:val="2"/>
                <w:sz w:val="24"/>
                <w:szCs w:val="24"/>
                <w:lang w:val="en-US" w:eastAsia="zh-CN" w:bidi="ar-SA"/>
              </w:rPr>
              <w:t>.2 地下水、土壤环境防控措施</w:t>
            </w:r>
            <w:bookmarkEnd w:id="79"/>
          </w:p>
          <w:p w14:paraId="629B465C">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1</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防渗措施</w:t>
            </w:r>
          </w:p>
          <w:p w14:paraId="37BCBE04">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ascii="Times New Roman" w:hAnsi="Times New Roman" w:eastAsia="宋体" w:cs="宋体"/>
                <w:color w:val="auto"/>
                <w:kern w:val="2"/>
                <w:sz w:val="24"/>
                <w:szCs w:val="24"/>
                <w:lang w:val="en-US" w:eastAsia="zh-CN" w:bidi="ar-SA"/>
              </w:rPr>
              <w:t>①合理进行防渗区域划分</w:t>
            </w:r>
          </w:p>
          <w:p w14:paraId="2890CB67">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ascii="Times New Roman" w:hAnsi="Times New Roman" w:eastAsia="宋体" w:cs="宋体"/>
                <w:color w:val="auto"/>
                <w:kern w:val="2"/>
                <w:sz w:val="24"/>
                <w:szCs w:val="24"/>
                <w:lang w:val="en-US" w:eastAsia="zh-CN" w:bidi="ar-SA"/>
              </w:rPr>
              <w:t>本项目位于</w:t>
            </w:r>
            <w:r>
              <w:rPr>
                <w:rFonts w:hint="eastAsia" w:ascii="Times New Roman" w:hAnsi="Times New Roman" w:eastAsia="宋体" w:cs="宋体"/>
                <w:color w:val="auto"/>
                <w:kern w:val="2"/>
                <w:sz w:val="24"/>
                <w:szCs w:val="24"/>
                <w:lang w:val="en-US" w:eastAsia="zh-CN" w:bidi="ar-SA"/>
              </w:rPr>
              <w:t>福建省闽侯县南屿镇窗厦村新南大道176号第三代半导体数字产业园</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二期</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4号楼5层、6层、7层</w:t>
            </w:r>
            <w:r>
              <w:rPr>
                <w:rFonts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本项目涉及生产废水的产生与排放，产生的固体废物包括一般工业固体废物和危险废物。生产废水的排放、危险废物的产生和贮存存在对地下水和土壤污染途径。根据《环境影响评价技术导则 地下水环境》（HJ610-2016）以及结合</w:t>
            </w:r>
            <w:r>
              <w:rPr>
                <w:rFonts w:ascii="Times New Roman" w:hAnsi="Times New Roman" w:eastAsia="宋体" w:cs="宋体"/>
                <w:color w:val="auto"/>
                <w:kern w:val="2"/>
                <w:sz w:val="24"/>
                <w:szCs w:val="24"/>
                <w:lang w:val="en-US" w:eastAsia="zh-CN" w:bidi="ar-SA"/>
              </w:rPr>
              <w:t>实际情况考虑根据本项目厂区可能泄漏至地面区域污染物的性质和生产单元的构筑方式，将厂区划分为一般污染防治区</w:t>
            </w:r>
            <w:r>
              <w:rPr>
                <w:rFonts w:hint="eastAsia" w:ascii="Times New Roman" w:hAnsi="Times New Roman" w:eastAsia="宋体" w:cs="宋体"/>
                <w:color w:val="auto"/>
                <w:kern w:val="2"/>
                <w:sz w:val="24"/>
                <w:szCs w:val="24"/>
                <w:lang w:val="en-US" w:eastAsia="zh-CN" w:bidi="ar-SA"/>
              </w:rPr>
              <w:t>和重点污染防治区</w:t>
            </w:r>
            <w:r>
              <w:rPr>
                <w:rFonts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并</w:t>
            </w:r>
            <w:r>
              <w:rPr>
                <w:rFonts w:ascii="Times New Roman" w:hAnsi="Times New Roman" w:eastAsia="宋体" w:cs="宋体"/>
                <w:color w:val="auto"/>
                <w:kern w:val="2"/>
                <w:sz w:val="24"/>
                <w:szCs w:val="24"/>
                <w:lang w:val="en-US" w:eastAsia="zh-CN" w:bidi="ar-SA"/>
              </w:rPr>
              <w:t>提出相应的防渗要求。结合项目的特点，项目防渗防治分区见表4.5-1。</w:t>
            </w:r>
          </w:p>
          <w:p w14:paraId="0CC2495D">
            <w:pPr>
              <w:widowControl w:val="0"/>
              <w:bidi w:val="0"/>
              <w:adjustRightInd w:val="0"/>
              <w:snapToGrid w:val="0"/>
              <w:spacing w:before="10" w:beforeLines="10" w:after="10" w:afterLines="10"/>
              <w:jc w:val="center"/>
              <w:rPr>
                <w:rFonts w:ascii="Times New Roman" w:hAnsi="Times New Roman" w:eastAsia="宋体" w:cs="Times New Roman"/>
                <w:b/>
                <w:color w:val="auto"/>
                <w:kern w:val="0"/>
                <w:sz w:val="24"/>
                <w:szCs w:val="20"/>
                <w:lang w:val="en-US" w:eastAsia="zh-CN" w:bidi="ar-SA"/>
              </w:rPr>
            </w:pPr>
            <w:r>
              <w:rPr>
                <w:rFonts w:ascii="Times New Roman" w:hAnsi="Times New Roman" w:eastAsia="宋体" w:cs="Times New Roman"/>
                <w:b/>
                <w:color w:val="auto"/>
                <w:kern w:val="0"/>
                <w:sz w:val="24"/>
                <w:szCs w:val="20"/>
                <w:lang w:val="en-US" w:eastAsia="zh-CN" w:bidi="ar-SA"/>
              </w:rPr>
              <w:t>表4.</w:t>
            </w:r>
            <w:r>
              <w:rPr>
                <w:rFonts w:hint="eastAsia" w:ascii="Times New Roman" w:hAnsi="Times New Roman" w:eastAsia="宋体" w:cs="Times New Roman"/>
                <w:b/>
                <w:color w:val="auto"/>
                <w:kern w:val="0"/>
                <w:sz w:val="24"/>
                <w:szCs w:val="20"/>
                <w:lang w:val="en-US" w:eastAsia="zh-CN" w:bidi="ar-SA"/>
              </w:rPr>
              <w:t>5</w:t>
            </w:r>
            <w:r>
              <w:rPr>
                <w:rFonts w:ascii="Times New Roman" w:hAnsi="Times New Roman" w:eastAsia="宋体" w:cs="Times New Roman"/>
                <w:b/>
                <w:color w:val="auto"/>
                <w:kern w:val="0"/>
                <w:sz w:val="24"/>
                <w:szCs w:val="20"/>
                <w:lang w:val="en-US" w:eastAsia="zh-CN" w:bidi="ar-SA"/>
              </w:rPr>
              <w:t xml:space="preserve">-1  </w:t>
            </w:r>
            <w:r>
              <w:rPr>
                <w:rFonts w:hint="eastAsia" w:ascii="Times New Roman" w:hAnsi="Times New Roman" w:eastAsia="宋体" w:cs="Times New Roman"/>
                <w:b/>
                <w:color w:val="auto"/>
                <w:kern w:val="0"/>
                <w:sz w:val="24"/>
                <w:szCs w:val="20"/>
                <w:lang w:val="en-US" w:eastAsia="zh-CN" w:bidi="ar-SA"/>
              </w:rPr>
              <w:t>地下水、</w:t>
            </w:r>
            <w:r>
              <w:rPr>
                <w:rFonts w:ascii="Times New Roman" w:hAnsi="Times New Roman" w:eastAsia="宋体" w:cs="Times New Roman"/>
                <w:b/>
                <w:color w:val="auto"/>
                <w:kern w:val="0"/>
                <w:sz w:val="24"/>
                <w:szCs w:val="20"/>
                <w:lang w:val="en-US" w:eastAsia="zh-CN" w:bidi="ar-SA"/>
              </w:rPr>
              <w:t>土壤污染防治分区一览表</w:t>
            </w:r>
          </w:p>
          <w:tbl>
            <w:tblPr>
              <w:tblStyle w:val="17"/>
              <w:tblW w:w="777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156"/>
              <w:gridCol w:w="814"/>
              <w:gridCol w:w="3457"/>
              <w:gridCol w:w="1350"/>
            </w:tblGrid>
            <w:tr w14:paraId="4780D5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2156" w:type="dxa"/>
                  <w:tcBorders>
                    <w:tl2br w:val="nil"/>
                    <w:tr2bl w:val="nil"/>
                  </w:tcBorders>
                  <w:noWrap w:val="0"/>
                  <w:vAlign w:val="center"/>
                </w:tcPr>
                <w:p w14:paraId="65DE6D79">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防治分区</w:t>
                  </w:r>
                </w:p>
              </w:tc>
              <w:tc>
                <w:tcPr>
                  <w:tcW w:w="814" w:type="dxa"/>
                  <w:tcBorders>
                    <w:tl2br w:val="nil"/>
                    <w:tr2bl w:val="nil"/>
                  </w:tcBorders>
                  <w:noWrap w:val="0"/>
                  <w:vAlign w:val="center"/>
                </w:tcPr>
                <w:p w14:paraId="7DFF0560">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序号</w:t>
                  </w:r>
                </w:p>
              </w:tc>
              <w:tc>
                <w:tcPr>
                  <w:tcW w:w="3457" w:type="dxa"/>
                  <w:tcBorders>
                    <w:tl2br w:val="nil"/>
                    <w:tr2bl w:val="nil"/>
                  </w:tcBorders>
                  <w:noWrap w:val="0"/>
                  <w:vAlign w:val="center"/>
                </w:tcPr>
                <w:p w14:paraId="0ABFAB0B">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装置或者构筑物名称</w:t>
                  </w:r>
                </w:p>
              </w:tc>
              <w:tc>
                <w:tcPr>
                  <w:tcW w:w="1350" w:type="dxa"/>
                  <w:tcBorders>
                    <w:tl2br w:val="nil"/>
                    <w:tr2bl w:val="nil"/>
                  </w:tcBorders>
                  <w:noWrap w:val="0"/>
                  <w:vAlign w:val="center"/>
                </w:tcPr>
                <w:p w14:paraId="1C9EF6B3">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防渗区域</w:t>
                  </w:r>
                </w:p>
              </w:tc>
            </w:tr>
            <w:tr w14:paraId="4ADC61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156" w:type="dxa"/>
                  <w:tcBorders>
                    <w:tl2br w:val="nil"/>
                    <w:tr2bl w:val="nil"/>
                  </w:tcBorders>
                  <w:noWrap w:val="0"/>
                  <w:vAlign w:val="center"/>
                </w:tcPr>
                <w:p w14:paraId="7F5DC2B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重点污染防治区</w:t>
                  </w:r>
                </w:p>
              </w:tc>
              <w:tc>
                <w:tcPr>
                  <w:tcW w:w="814" w:type="dxa"/>
                  <w:tcBorders>
                    <w:tl2br w:val="nil"/>
                    <w:tr2bl w:val="nil"/>
                  </w:tcBorders>
                  <w:noWrap w:val="0"/>
                  <w:vAlign w:val="center"/>
                </w:tcPr>
                <w:p w14:paraId="446C5CD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w:t>
                  </w:r>
                </w:p>
              </w:tc>
              <w:tc>
                <w:tcPr>
                  <w:tcW w:w="3457" w:type="dxa"/>
                  <w:tcBorders>
                    <w:tl2br w:val="nil"/>
                    <w:tr2bl w:val="nil"/>
                  </w:tcBorders>
                  <w:noWrap w:val="0"/>
                  <w:vAlign w:val="center"/>
                </w:tcPr>
                <w:p w14:paraId="7BDFCEE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危险废物暂存间</w:t>
                  </w:r>
                </w:p>
              </w:tc>
              <w:tc>
                <w:tcPr>
                  <w:tcW w:w="1350" w:type="dxa"/>
                  <w:tcBorders>
                    <w:tl2br w:val="nil"/>
                    <w:tr2bl w:val="nil"/>
                  </w:tcBorders>
                  <w:noWrap w:val="0"/>
                  <w:vAlign w:val="center"/>
                </w:tcPr>
                <w:p w14:paraId="7A2F3640">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车间地面</w:t>
                  </w:r>
                </w:p>
              </w:tc>
            </w:tr>
            <w:tr w14:paraId="3EB67E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156" w:type="dxa"/>
                  <w:tcBorders>
                    <w:tl2br w:val="nil"/>
                    <w:tr2bl w:val="nil"/>
                  </w:tcBorders>
                  <w:noWrap w:val="0"/>
                  <w:vAlign w:val="center"/>
                </w:tcPr>
                <w:p w14:paraId="381C5AAA">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一般污染防治区</w:t>
                  </w:r>
                </w:p>
              </w:tc>
              <w:tc>
                <w:tcPr>
                  <w:tcW w:w="814" w:type="dxa"/>
                  <w:tcBorders>
                    <w:tl2br w:val="nil"/>
                    <w:tr2bl w:val="nil"/>
                  </w:tcBorders>
                  <w:noWrap w:val="0"/>
                  <w:vAlign w:val="center"/>
                </w:tcPr>
                <w:p w14:paraId="3F36C506">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2</w:t>
                  </w:r>
                </w:p>
              </w:tc>
              <w:tc>
                <w:tcPr>
                  <w:tcW w:w="3457" w:type="dxa"/>
                  <w:tcBorders>
                    <w:tl2br w:val="nil"/>
                    <w:tr2bl w:val="nil"/>
                  </w:tcBorders>
                  <w:noWrap w:val="0"/>
                  <w:vAlign w:val="center"/>
                </w:tcPr>
                <w:p w14:paraId="5766696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项目生产车间、污水处理设施、污水管线、危险化学品间</w:t>
                  </w:r>
                </w:p>
              </w:tc>
              <w:tc>
                <w:tcPr>
                  <w:tcW w:w="1350" w:type="dxa"/>
                  <w:tcBorders>
                    <w:tl2br w:val="nil"/>
                    <w:tr2bl w:val="nil"/>
                  </w:tcBorders>
                  <w:noWrap w:val="0"/>
                  <w:vAlign w:val="center"/>
                </w:tcPr>
                <w:p w14:paraId="45783835">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车间</w:t>
                  </w:r>
                  <w:r>
                    <w:rPr>
                      <w:rFonts w:ascii="Times New Roman" w:hAnsi="Times New Roman" w:eastAsia="宋体" w:cs="Times New Roman"/>
                      <w:color w:val="auto"/>
                      <w:kern w:val="0"/>
                      <w:sz w:val="21"/>
                      <w:szCs w:val="20"/>
                      <w:lang w:val="en-US" w:eastAsia="zh-CN" w:bidi="ar-SA"/>
                    </w:rPr>
                    <w:t>地面</w:t>
                  </w:r>
                </w:p>
              </w:tc>
            </w:tr>
          </w:tbl>
          <w:p w14:paraId="561C8331">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ascii="Times New Roman" w:hAnsi="Times New Roman" w:eastAsia="宋体" w:cs="宋体"/>
                <w:color w:val="auto"/>
                <w:kern w:val="2"/>
                <w:sz w:val="24"/>
                <w:szCs w:val="24"/>
                <w:lang w:val="en-US" w:eastAsia="zh-CN" w:bidi="ar-SA"/>
              </w:rPr>
              <w:t>②</w:t>
            </w:r>
            <w:r>
              <w:rPr>
                <w:rFonts w:hint="eastAsia" w:ascii="Times New Roman" w:hAnsi="Times New Roman" w:eastAsia="宋体" w:cs="宋体"/>
                <w:color w:val="auto"/>
                <w:kern w:val="2"/>
                <w:sz w:val="24"/>
                <w:szCs w:val="24"/>
                <w:lang w:val="en-US" w:eastAsia="zh-CN" w:bidi="ar-SA"/>
              </w:rPr>
              <w:t>防渗要求</w:t>
            </w:r>
          </w:p>
          <w:p w14:paraId="67DB09EB">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ascii="Times New Roman" w:hAnsi="Times New Roman" w:eastAsia="宋体" w:cs="宋体"/>
                <w:color w:val="auto"/>
                <w:kern w:val="2"/>
                <w:sz w:val="24"/>
                <w:szCs w:val="24"/>
                <w:lang w:val="en-US" w:eastAsia="zh-CN" w:bidi="ar-SA"/>
              </w:rPr>
              <w:t>重点污染区防渗要求：根据《环境影响评价技术导则地下水环境》（HJ610-2016）的要求，重点防治区的防渗性能应等效黏土防渗层≥6.0m，渗透系数≤1.0×10</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vertAlign w:val="superscript"/>
                <w:lang w:val="en-US" w:eastAsia="zh-CN" w:bidi="ar-SA"/>
              </w:rPr>
              <w:t>7</w:t>
            </w:r>
            <w:r>
              <w:rPr>
                <w:rFonts w:ascii="Times New Roman" w:hAnsi="Times New Roman" w:eastAsia="宋体" w:cs="宋体"/>
                <w:color w:val="auto"/>
                <w:kern w:val="2"/>
                <w:sz w:val="24"/>
                <w:szCs w:val="24"/>
                <w:lang w:val="en-US" w:eastAsia="zh-CN" w:bidi="ar-SA"/>
              </w:rPr>
              <w:t>cm/s。危险废物暂存场重点防渗区应按照《危险废物污染防治技术政策》</w:t>
            </w:r>
            <w:r>
              <w:rPr>
                <w:rFonts w:hint="eastAsia" w:ascii="Times New Roman" w:hAnsi="Times New Roman" w:eastAsia="宋体" w:cs="宋体"/>
                <w:color w:val="auto"/>
                <w:kern w:val="2"/>
                <w:sz w:val="24"/>
                <w:szCs w:val="24"/>
                <w:lang w:val="en-US" w:eastAsia="zh-CN" w:bidi="ar-SA"/>
              </w:rPr>
              <w:t>及</w:t>
            </w:r>
            <w:r>
              <w:rPr>
                <w:rFonts w:ascii="Times New Roman" w:hAnsi="Times New Roman" w:eastAsia="宋体" w:cs="宋体"/>
                <w:color w:val="auto"/>
                <w:kern w:val="2"/>
                <w:sz w:val="24"/>
                <w:szCs w:val="24"/>
                <w:lang w:val="en-US" w:eastAsia="zh-CN" w:bidi="ar-SA"/>
              </w:rPr>
              <w:t>《危险废物贮存污染控制标准》</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GB18597-20</w:t>
            </w:r>
            <w:r>
              <w:rPr>
                <w:rFonts w:hint="eastAsia" w:ascii="Times New Roman" w:hAnsi="Times New Roman" w:eastAsia="宋体" w:cs="宋体"/>
                <w:color w:val="auto"/>
                <w:kern w:val="2"/>
                <w:sz w:val="24"/>
                <w:szCs w:val="24"/>
                <w:lang w:val="en-US" w:eastAsia="zh-CN" w:bidi="ar-SA"/>
              </w:rPr>
              <w:t>23）</w:t>
            </w:r>
            <w:r>
              <w:rPr>
                <w:rFonts w:ascii="Times New Roman" w:hAnsi="Times New Roman" w:eastAsia="宋体" w:cs="宋体"/>
                <w:color w:val="auto"/>
                <w:kern w:val="2"/>
                <w:sz w:val="24"/>
                <w:szCs w:val="24"/>
                <w:lang w:val="en-US" w:eastAsia="zh-CN" w:bidi="ar-SA"/>
              </w:rPr>
              <w:t>等危险废物处理的相关标准、法律法规的要求。</w:t>
            </w:r>
          </w:p>
          <w:p w14:paraId="51D732D6">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一般污染防治区防渗要求：</w:t>
            </w:r>
            <w:r>
              <w:rPr>
                <w:rFonts w:ascii="Times New Roman" w:hAnsi="Times New Roman" w:eastAsia="宋体" w:cs="宋体"/>
                <w:color w:val="auto"/>
                <w:kern w:val="2"/>
                <w:sz w:val="24"/>
                <w:szCs w:val="24"/>
                <w:lang w:val="en-US" w:eastAsia="zh-CN" w:bidi="ar-SA"/>
              </w:rPr>
              <w:t>根据《环境影响评价技术导则地下水环境》（HJ610-2016）的要求，</w:t>
            </w:r>
            <w:r>
              <w:rPr>
                <w:rFonts w:hint="eastAsia" w:ascii="Times New Roman" w:hAnsi="Times New Roman" w:eastAsia="宋体" w:cs="宋体"/>
                <w:color w:val="auto"/>
                <w:kern w:val="2"/>
                <w:sz w:val="24"/>
                <w:szCs w:val="24"/>
                <w:lang w:val="en-US" w:eastAsia="zh-CN" w:bidi="ar-SA"/>
              </w:rPr>
              <w:t>等效黏土防渗层Mb≥1.5m，K≤1.0×10</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vertAlign w:val="superscript"/>
                <w:lang w:val="en-US" w:eastAsia="zh-CN" w:bidi="ar-SA"/>
              </w:rPr>
              <w:t>7</w:t>
            </w:r>
            <w:r>
              <w:rPr>
                <w:rFonts w:hint="eastAsia" w:ascii="Times New Roman" w:hAnsi="Times New Roman" w:eastAsia="宋体" w:cs="宋体"/>
                <w:color w:val="auto"/>
                <w:kern w:val="2"/>
                <w:sz w:val="24"/>
                <w:szCs w:val="24"/>
                <w:lang w:val="en-US" w:eastAsia="zh-CN" w:bidi="ar-SA"/>
              </w:rPr>
              <w:t>cm/s；或参照《生活垃圾填埋场污染控制标准》（GB 16889-2008）执行。</w:t>
            </w:r>
          </w:p>
          <w:p w14:paraId="21890403">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（2）监控措施</w:t>
            </w:r>
          </w:p>
          <w:p w14:paraId="46911D8F">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①项目危险废物暂存间等四周建设导流沟装置，防止危险废物等泄漏时四处扩散，并可</w:t>
            </w:r>
            <w:r>
              <w:rPr>
                <w:rFonts w:ascii="Times New Roman" w:hAnsi="Times New Roman" w:eastAsia="宋体" w:cs="宋体"/>
                <w:color w:val="auto"/>
                <w:kern w:val="2"/>
                <w:sz w:val="24"/>
                <w:szCs w:val="24"/>
                <w:lang w:val="en-US" w:eastAsia="zh-CN" w:bidi="ar-SA"/>
              </w:rPr>
              <w:t>及时移除或者清理污染源</w:t>
            </w:r>
            <w:r>
              <w:rPr>
                <w:rFonts w:hint="eastAsia" w:ascii="Times New Roman" w:hAnsi="Times New Roman" w:eastAsia="宋体" w:cs="宋体"/>
                <w:color w:val="auto"/>
                <w:kern w:val="2"/>
                <w:sz w:val="24"/>
                <w:szCs w:val="24"/>
                <w:lang w:val="en-US" w:eastAsia="zh-CN" w:bidi="ar-SA"/>
              </w:rPr>
              <w:t>；</w:t>
            </w:r>
          </w:p>
          <w:p w14:paraId="05F66398">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②建立健全环境管理和监测制度，保证各环保设施正常运转，同时强化风险防范意识，如遇环保设施不能正常运转，应立即停产检修；</w:t>
            </w:r>
          </w:p>
          <w:p w14:paraId="0310E8D6">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③若发生危险废物泄漏等，必要时委托有资质的单位对厂址周边地下水、土壤等进行跟踪监测，掌握厂址周边污染变化趋势。</w:t>
            </w:r>
          </w:p>
          <w:p w14:paraId="46427CB5">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④在今后的生产活动中，做好设备的维护、检修，杜绝跑、冒、滴、漏现象。同时，加强污染物产生主要环节的收集治理，加强厂区的安全防护、环境风险防范措施，以便及时发现事故隐患，及时采取有效的应对措施。</w:t>
            </w:r>
          </w:p>
          <w:p w14:paraId="58056ADE">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⑤项目生产经营用地的用途变更或者在其土地使用权收回、转让前，应当由土地使用权人按照规定进行土壤污染状况调查。</w:t>
            </w:r>
          </w:p>
          <w:p w14:paraId="36770818">
            <w:pPr>
              <w:pStyle w:val="4"/>
              <w:bidi w:val="0"/>
              <w:rPr>
                <w:color w:val="auto"/>
                <w:lang w:val="en-US" w:eastAsia="zh-CN"/>
              </w:rPr>
            </w:pPr>
            <w:bookmarkStart w:id="80" w:name="_Toc25415"/>
            <w:r>
              <w:rPr>
                <w:color w:val="auto"/>
                <w:lang w:val="en-US" w:eastAsia="zh-CN"/>
              </w:rPr>
              <w:t>4.</w:t>
            </w:r>
            <w:r>
              <w:rPr>
                <w:rFonts w:hint="eastAsia"/>
                <w:color w:val="auto"/>
                <w:lang w:val="en-US" w:eastAsia="zh-CN"/>
              </w:rPr>
              <w:t>5</w:t>
            </w:r>
            <w:r>
              <w:rPr>
                <w:color w:val="auto"/>
                <w:lang w:val="en-US" w:eastAsia="zh-CN"/>
              </w:rPr>
              <w:t>.3 监测要求</w:t>
            </w:r>
            <w:bookmarkEnd w:id="80"/>
          </w:p>
          <w:p w14:paraId="385D0D01">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ascii="Times New Roman" w:hAnsi="Times New Roman" w:eastAsia="宋体" w:cs="宋体"/>
                <w:color w:val="auto"/>
                <w:kern w:val="2"/>
                <w:sz w:val="24"/>
                <w:szCs w:val="24"/>
                <w:lang w:val="en-US" w:eastAsia="zh-CN" w:bidi="ar-SA"/>
              </w:rPr>
              <w:t>根据《建设项目环境影响报告表编制技术指南</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污染影响类</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试行</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》规定，</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原则上不开展环境质量现状调查。建设项目存在土壤、地下水环境污染途径的，应结合污染源、保护目标分布情况开展现状调查以留作背景值</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根据《环境影响评价技术导则 地下水环境》（HJ610-2016）附录A，建设项目所属的地下水环境影响评价项目类别为：</w:t>
            </w:r>
            <w:r>
              <w:rPr>
                <w:rFonts w:hint="default" w:ascii="Times New Roman" w:hAnsi="Times New Roman" w:eastAsia="宋体" w:cs="Times New Roman"/>
                <w:color w:val="auto"/>
                <w:kern w:val="2"/>
                <w:sz w:val="24"/>
                <w:szCs w:val="24"/>
                <w:lang w:val="en-US" w:eastAsia="zh-CN" w:bidi="ar-SA"/>
              </w:rPr>
              <w:t>Ⅳ</w:t>
            </w:r>
            <w:r>
              <w:rPr>
                <w:rFonts w:hint="eastAsia" w:ascii="Times New Roman" w:hAnsi="Times New Roman" w:eastAsia="宋体" w:cs="宋体"/>
                <w:color w:val="auto"/>
                <w:kern w:val="2"/>
                <w:sz w:val="24"/>
                <w:szCs w:val="24"/>
                <w:lang w:val="en-US" w:eastAsia="zh-CN" w:bidi="ar-SA"/>
              </w:rPr>
              <w:t>类，详见表4.5-2；根据《环境影响评价技术导则 土壤环境（试行）》（HJ964-2018）附录A，本项目土壤环境影响评价项目类别为：Ⅲ类，详见表4.5-3。</w:t>
            </w:r>
          </w:p>
          <w:p w14:paraId="71D47413">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表4.5-2地下水环境影响评价行业分类表</w:t>
            </w:r>
          </w:p>
          <w:tbl>
            <w:tblPr>
              <w:tblStyle w:val="18"/>
              <w:tblW w:w="79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94"/>
              <w:gridCol w:w="1595"/>
              <w:gridCol w:w="1595"/>
              <w:gridCol w:w="1595"/>
              <w:gridCol w:w="1595"/>
            </w:tblGrid>
            <w:tr w14:paraId="55010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74" w:type="dxa"/>
                  <w:gridSpan w:val="5"/>
                  <w:noWrap w:val="0"/>
                  <w:vAlign w:val="center"/>
                </w:tcPr>
                <w:p w14:paraId="41B79853">
                  <w:pPr>
                    <w:widowControl w:val="0"/>
                    <w:bidi w:val="0"/>
                    <w:adjustRightInd w:val="0"/>
                    <w:snapToGrid w:val="0"/>
                    <w:spacing w:before="10" w:beforeLines="10" w:after="10" w:afterLines="10" w:line="240" w:lineRule="auto"/>
                    <w:jc w:val="left"/>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K机械、电子</w:t>
                  </w:r>
                </w:p>
              </w:tc>
            </w:tr>
            <w:tr w14:paraId="69F2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94" w:type="dxa"/>
                  <w:vMerge w:val="restart"/>
                  <w:tcBorders>
                    <w:tl2br w:val="single" w:color="auto" w:sz="4" w:space="0"/>
                  </w:tcBorders>
                  <w:noWrap w:val="0"/>
                  <w:vAlign w:val="center"/>
                </w:tcPr>
                <w:p w14:paraId="787389C6">
                  <w:pPr>
                    <w:widowControl w:val="0"/>
                    <w:bidi w:val="0"/>
                    <w:adjustRightInd w:val="0"/>
                    <w:snapToGrid w:val="0"/>
                    <w:spacing w:before="10" w:beforeLines="10" w:after="10" w:afterLines="10" w:line="240" w:lineRule="auto"/>
                    <w:jc w:val="right"/>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环评类别</w:t>
                  </w:r>
                </w:p>
                <w:p w14:paraId="20B6A501">
                  <w:pPr>
                    <w:widowControl w:val="0"/>
                    <w:bidi w:val="0"/>
                    <w:adjustRightInd w:val="0"/>
                    <w:snapToGrid w:val="0"/>
                    <w:spacing w:before="10" w:beforeLines="10" w:after="10" w:afterLines="10" w:line="240" w:lineRule="auto"/>
                    <w:jc w:val="left"/>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行业类别</w:t>
                  </w:r>
                </w:p>
              </w:tc>
              <w:tc>
                <w:tcPr>
                  <w:tcW w:w="1595" w:type="dxa"/>
                  <w:vMerge w:val="restart"/>
                  <w:noWrap w:val="0"/>
                  <w:vAlign w:val="center"/>
                </w:tcPr>
                <w:p w14:paraId="2A408209">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报告书</w:t>
                  </w:r>
                </w:p>
              </w:tc>
              <w:tc>
                <w:tcPr>
                  <w:tcW w:w="1595" w:type="dxa"/>
                  <w:vMerge w:val="restart"/>
                  <w:noWrap w:val="0"/>
                  <w:vAlign w:val="center"/>
                </w:tcPr>
                <w:p w14:paraId="04DD1457">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报告表</w:t>
                  </w:r>
                </w:p>
              </w:tc>
              <w:tc>
                <w:tcPr>
                  <w:tcW w:w="3190" w:type="dxa"/>
                  <w:gridSpan w:val="2"/>
                  <w:noWrap w:val="0"/>
                  <w:vAlign w:val="center"/>
                </w:tcPr>
                <w:p w14:paraId="4B54CB8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地下水环境影响评价项目类别</w:t>
                  </w:r>
                </w:p>
              </w:tc>
            </w:tr>
            <w:tr w14:paraId="3766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94" w:type="dxa"/>
                  <w:vMerge w:val="continue"/>
                  <w:shd w:val="clear" w:color="auto" w:fill="auto"/>
                  <w:noWrap w:val="0"/>
                  <w:vAlign w:val="center"/>
                </w:tcPr>
                <w:p w14:paraId="13CDEC8B">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p>
              </w:tc>
              <w:tc>
                <w:tcPr>
                  <w:tcW w:w="1595" w:type="dxa"/>
                  <w:vMerge w:val="continue"/>
                  <w:shd w:val="clear" w:color="auto" w:fill="auto"/>
                  <w:noWrap w:val="0"/>
                  <w:vAlign w:val="center"/>
                </w:tcPr>
                <w:p w14:paraId="2C5AFF11">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p>
              </w:tc>
              <w:tc>
                <w:tcPr>
                  <w:tcW w:w="1595" w:type="dxa"/>
                  <w:vMerge w:val="continue"/>
                  <w:shd w:val="clear" w:color="auto" w:fill="auto"/>
                  <w:noWrap w:val="0"/>
                  <w:vAlign w:val="center"/>
                </w:tcPr>
                <w:p w14:paraId="0A790ED1">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p>
              </w:tc>
              <w:tc>
                <w:tcPr>
                  <w:tcW w:w="1595" w:type="dxa"/>
                  <w:shd w:val="clear" w:color="auto" w:fill="auto"/>
                  <w:noWrap w:val="0"/>
                  <w:vAlign w:val="center"/>
                </w:tcPr>
                <w:p w14:paraId="37F43BB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报告书</w:t>
                  </w:r>
                </w:p>
              </w:tc>
              <w:tc>
                <w:tcPr>
                  <w:tcW w:w="1595" w:type="dxa"/>
                  <w:shd w:val="clear" w:color="auto" w:fill="A4A4A4"/>
                  <w:noWrap w:val="0"/>
                  <w:vAlign w:val="center"/>
                </w:tcPr>
                <w:p w14:paraId="1327CC46">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报告表</w:t>
                  </w:r>
                </w:p>
              </w:tc>
            </w:tr>
            <w:tr w14:paraId="30DB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94" w:type="dxa"/>
                  <w:shd w:val="clear" w:color="auto" w:fill="auto"/>
                  <w:noWrap w:val="0"/>
                  <w:vAlign w:val="center"/>
                </w:tcPr>
                <w:p w14:paraId="61FC957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79.仪器仪表及文化办公用机械制造</w:t>
                  </w:r>
                </w:p>
              </w:tc>
              <w:tc>
                <w:tcPr>
                  <w:tcW w:w="1595" w:type="dxa"/>
                  <w:shd w:val="clear" w:color="auto" w:fill="auto"/>
                  <w:noWrap w:val="0"/>
                  <w:vAlign w:val="center"/>
                </w:tcPr>
                <w:p w14:paraId="6CCA57C7">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有电镀或喷漆工艺的</w:t>
                  </w:r>
                </w:p>
              </w:tc>
              <w:tc>
                <w:tcPr>
                  <w:tcW w:w="1595" w:type="dxa"/>
                  <w:shd w:val="clear" w:color="auto" w:fill="auto"/>
                  <w:noWrap w:val="0"/>
                  <w:vAlign w:val="center"/>
                </w:tcPr>
                <w:p w14:paraId="7487137C">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其他（仅组装的除外）</w:t>
                  </w:r>
                </w:p>
              </w:tc>
              <w:tc>
                <w:tcPr>
                  <w:tcW w:w="1595" w:type="dxa"/>
                  <w:shd w:val="clear" w:color="auto" w:fill="auto"/>
                  <w:noWrap w:val="0"/>
                  <w:vAlign w:val="center"/>
                </w:tcPr>
                <w:p w14:paraId="42CDA44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Ⅲ类</w:t>
                  </w:r>
                </w:p>
              </w:tc>
              <w:tc>
                <w:tcPr>
                  <w:tcW w:w="1595" w:type="dxa"/>
                  <w:shd w:val="clear" w:color="auto" w:fill="A4A4A4"/>
                  <w:noWrap w:val="0"/>
                  <w:vAlign w:val="center"/>
                </w:tcPr>
                <w:p w14:paraId="18C3892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Ⅳ类</w:t>
                  </w:r>
                </w:p>
              </w:tc>
            </w:tr>
          </w:tbl>
          <w:p w14:paraId="73369C89">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vertAlign w:val="baseline"/>
                <w:lang w:val="en-US" w:eastAsia="zh-CN" w:bidi="ar-SA"/>
              </w:rPr>
            </w:pPr>
            <w:r>
              <w:rPr>
                <w:rFonts w:hint="eastAsia" w:ascii="Times New Roman" w:hAnsi="Times New Roman" w:eastAsia="宋体" w:cs="Times New Roman"/>
                <w:b/>
                <w:color w:val="auto"/>
                <w:kern w:val="0"/>
                <w:sz w:val="24"/>
                <w:szCs w:val="20"/>
                <w:lang w:val="en-US" w:eastAsia="zh-CN" w:bidi="ar-SA"/>
              </w:rPr>
              <w:t>表4.5-3土壤环境影响评价行业分类表</w:t>
            </w:r>
          </w:p>
          <w:tbl>
            <w:tblPr>
              <w:tblStyle w:val="18"/>
              <w:tblW w:w="79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1230"/>
              <w:gridCol w:w="1532"/>
              <w:gridCol w:w="1532"/>
              <w:gridCol w:w="1532"/>
              <w:gridCol w:w="1534"/>
            </w:tblGrid>
            <w:tr w14:paraId="72E1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gridSpan w:val="2"/>
                  <w:vMerge w:val="restart"/>
                  <w:noWrap w:val="0"/>
                  <w:vAlign w:val="center"/>
                </w:tcPr>
                <w:p w14:paraId="18B1FCE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行业类别</w:t>
                  </w:r>
                </w:p>
              </w:tc>
              <w:tc>
                <w:tcPr>
                  <w:tcW w:w="6130" w:type="dxa"/>
                  <w:gridSpan w:val="4"/>
                  <w:noWrap w:val="0"/>
                  <w:vAlign w:val="center"/>
                </w:tcPr>
                <w:p w14:paraId="3044B09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项目类别</w:t>
                  </w:r>
                </w:p>
              </w:tc>
            </w:tr>
            <w:tr w14:paraId="6A414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gridSpan w:val="2"/>
                  <w:vMerge w:val="continue"/>
                  <w:shd w:val="clear" w:color="auto" w:fill="auto"/>
                  <w:noWrap w:val="0"/>
                  <w:vAlign w:val="center"/>
                </w:tcPr>
                <w:p w14:paraId="5B8F6F1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p>
              </w:tc>
              <w:tc>
                <w:tcPr>
                  <w:tcW w:w="1532" w:type="dxa"/>
                  <w:shd w:val="clear" w:color="auto" w:fill="auto"/>
                  <w:noWrap w:val="0"/>
                  <w:vAlign w:val="center"/>
                </w:tcPr>
                <w:p w14:paraId="19900E1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I类</w:t>
                  </w:r>
                </w:p>
              </w:tc>
              <w:tc>
                <w:tcPr>
                  <w:tcW w:w="1532" w:type="dxa"/>
                  <w:shd w:val="clear" w:color="auto" w:fill="auto"/>
                  <w:noWrap w:val="0"/>
                  <w:vAlign w:val="center"/>
                </w:tcPr>
                <w:p w14:paraId="5CDD147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Ⅱ类</w:t>
                  </w:r>
                </w:p>
              </w:tc>
              <w:tc>
                <w:tcPr>
                  <w:tcW w:w="1532" w:type="dxa"/>
                  <w:shd w:val="clear" w:color="auto" w:fill="A4A4A4"/>
                  <w:noWrap w:val="0"/>
                  <w:vAlign w:val="center"/>
                </w:tcPr>
                <w:p w14:paraId="0F22B3C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Ⅲ类</w:t>
                  </w:r>
                </w:p>
              </w:tc>
              <w:tc>
                <w:tcPr>
                  <w:tcW w:w="1534" w:type="dxa"/>
                  <w:noWrap w:val="0"/>
                  <w:vAlign w:val="center"/>
                </w:tcPr>
                <w:p w14:paraId="60EA2A8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Ⅳ类</w:t>
                  </w:r>
                </w:p>
              </w:tc>
            </w:tr>
            <w:tr w14:paraId="5C51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4" w:type="dxa"/>
                  <w:shd w:val="clear" w:color="auto" w:fill="auto"/>
                  <w:noWrap w:val="0"/>
                  <w:vAlign w:val="center"/>
                </w:tcPr>
                <w:p w14:paraId="2A9AA0D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制造业</w:t>
                  </w:r>
                </w:p>
              </w:tc>
              <w:tc>
                <w:tcPr>
                  <w:tcW w:w="1230" w:type="dxa"/>
                  <w:shd w:val="clear" w:color="auto" w:fill="auto"/>
                  <w:noWrap w:val="0"/>
                  <w:vAlign w:val="center"/>
                </w:tcPr>
                <w:p w14:paraId="570C6B08">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设备制造、金属制品、汽车制造及其他用品制造</w:t>
                  </w:r>
                </w:p>
              </w:tc>
              <w:tc>
                <w:tcPr>
                  <w:tcW w:w="1532" w:type="dxa"/>
                  <w:shd w:val="clear" w:color="auto" w:fill="auto"/>
                  <w:noWrap w:val="0"/>
                  <w:vAlign w:val="center"/>
                </w:tcPr>
                <w:p w14:paraId="072E1B7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有电镀工艺的</w:t>
                  </w:r>
                  <w:r>
                    <w:rPr>
                      <w:rFonts w:hint="eastAsia" w:ascii="Times New Roman" w:hAnsi="Times New Roman" w:eastAsia="宋体" w:cs="Times New Roman"/>
                      <w:color w:val="auto"/>
                      <w:kern w:val="0"/>
                      <w:sz w:val="21"/>
                      <w:szCs w:val="20"/>
                      <w:lang w:val="en-US" w:eastAsia="zh-CN" w:bidi="ar-SA"/>
                    </w:rPr>
                    <w:t>；</w:t>
                  </w:r>
                  <w:r>
                    <w:rPr>
                      <w:rFonts w:hint="default" w:ascii="Times New Roman" w:hAnsi="Times New Roman" w:eastAsia="宋体" w:cs="Times New Roman"/>
                      <w:color w:val="auto"/>
                      <w:kern w:val="0"/>
                      <w:sz w:val="21"/>
                      <w:szCs w:val="20"/>
                      <w:lang w:val="en-US" w:eastAsia="zh-CN" w:bidi="ar-SA"/>
                    </w:rPr>
                    <w:t>金属制品表面处理及热处理加工的</w:t>
                  </w:r>
                  <w:r>
                    <w:rPr>
                      <w:rFonts w:hint="eastAsia" w:ascii="Times New Roman" w:hAnsi="Times New Roman" w:eastAsia="宋体" w:cs="Times New Roman"/>
                      <w:color w:val="auto"/>
                      <w:kern w:val="0"/>
                      <w:sz w:val="21"/>
                      <w:szCs w:val="20"/>
                      <w:lang w:val="en-US" w:eastAsia="zh-CN" w:bidi="ar-SA"/>
                    </w:rPr>
                    <w:t>；</w:t>
                  </w:r>
                  <w:r>
                    <w:rPr>
                      <w:rFonts w:hint="default" w:ascii="Times New Roman" w:hAnsi="Times New Roman" w:eastAsia="宋体" w:cs="Times New Roman"/>
                      <w:color w:val="auto"/>
                      <w:kern w:val="0"/>
                      <w:sz w:val="21"/>
                      <w:szCs w:val="20"/>
                      <w:lang w:val="en-US" w:eastAsia="zh-CN" w:bidi="ar-SA"/>
                    </w:rPr>
                    <w:t>使用有机涂层的</w:t>
                  </w:r>
                  <w:r>
                    <w:rPr>
                      <w:rFonts w:hint="eastAsia" w:ascii="Times New Roman" w:hAnsi="Times New Roman" w:eastAsia="宋体" w:cs="Times New Roman"/>
                      <w:color w:val="auto"/>
                      <w:kern w:val="0"/>
                      <w:sz w:val="21"/>
                      <w:szCs w:val="20"/>
                      <w:lang w:val="en-US" w:eastAsia="zh-CN" w:bidi="ar-SA"/>
                    </w:rPr>
                    <w:t>（</w:t>
                  </w:r>
                  <w:r>
                    <w:rPr>
                      <w:rFonts w:hint="default" w:ascii="Times New Roman" w:hAnsi="Times New Roman" w:eastAsia="宋体" w:cs="Times New Roman"/>
                      <w:color w:val="auto"/>
                      <w:kern w:val="0"/>
                      <w:sz w:val="21"/>
                      <w:szCs w:val="20"/>
                      <w:lang w:val="en-US" w:eastAsia="zh-CN" w:bidi="ar-SA"/>
                    </w:rPr>
                    <w:t>喷粉、喷塑和电泳除外</w:t>
                  </w:r>
                  <w:r>
                    <w:rPr>
                      <w:rFonts w:hint="eastAsia" w:ascii="Times New Roman" w:hAnsi="Times New Roman" w:eastAsia="宋体" w:cs="Times New Roman"/>
                      <w:color w:val="auto"/>
                      <w:kern w:val="0"/>
                      <w:sz w:val="21"/>
                      <w:szCs w:val="20"/>
                      <w:lang w:val="en-US" w:eastAsia="zh-CN" w:bidi="ar-SA"/>
                    </w:rPr>
                    <w:t>）</w:t>
                  </w:r>
                  <w:r>
                    <w:rPr>
                      <w:rFonts w:hint="default" w:ascii="Times New Roman" w:hAnsi="Times New Roman" w:eastAsia="宋体" w:cs="Times New Roman"/>
                      <w:color w:val="auto"/>
                      <w:kern w:val="0"/>
                      <w:sz w:val="21"/>
                      <w:szCs w:val="20"/>
                      <w:lang w:val="en-US" w:eastAsia="zh-CN" w:bidi="ar-SA"/>
                    </w:rPr>
                    <w:t>有钝化工艺的热镀锌</w:t>
                  </w:r>
                </w:p>
              </w:tc>
              <w:tc>
                <w:tcPr>
                  <w:tcW w:w="1532" w:type="dxa"/>
                  <w:shd w:val="clear" w:color="auto" w:fill="auto"/>
                  <w:noWrap w:val="0"/>
                  <w:vAlign w:val="center"/>
                </w:tcPr>
                <w:p w14:paraId="15B3267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有化学处理工艺的</w:t>
                  </w:r>
                </w:p>
              </w:tc>
              <w:tc>
                <w:tcPr>
                  <w:tcW w:w="1532" w:type="dxa"/>
                  <w:shd w:val="clear" w:color="auto" w:fill="A4A4A4"/>
                  <w:noWrap w:val="0"/>
                  <w:vAlign w:val="center"/>
                </w:tcPr>
                <w:p w14:paraId="6DAD908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其他</w:t>
                  </w:r>
                </w:p>
              </w:tc>
              <w:tc>
                <w:tcPr>
                  <w:tcW w:w="1534" w:type="dxa"/>
                  <w:noWrap w:val="0"/>
                  <w:vAlign w:val="center"/>
                </w:tcPr>
                <w:p w14:paraId="505DB3F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p>
              </w:tc>
            </w:tr>
          </w:tbl>
          <w:p w14:paraId="52D53A9D">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ascii="Times New Roman" w:hAnsi="Times New Roman" w:eastAsia="宋体" w:cs="宋体"/>
                <w:color w:val="auto"/>
                <w:kern w:val="2"/>
                <w:sz w:val="24"/>
                <w:szCs w:val="24"/>
                <w:lang w:val="en-US" w:eastAsia="zh-CN" w:bidi="ar-SA"/>
              </w:rPr>
              <w:t>项目位于</w:t>
            </w:r>
            <w:r>
              <w:rPr>
                <w:rFonts w:hint="eastAsia" w:ascii="Times New Roman" w:hAnsi="Times New Roman" w:eastAsia="宋体" w:cs="宋体"/>
                <w:color w:val="auto"/>
                <w:kern w:val="2"/>
                <w:sz w:val="24"/>
                <w:szCs w:val="24"/>
                <w:lang w:val="en-US" w:eastAsia="zh-CN" w:bidi="ar-SA"/>
              </w:rPr>
              <w:t>福建省闽侯县南屿镇窗厦村新南大道176号第三代半导体数字产业园</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二期</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4号楼5层、6层、7层</w:t>
            </w:r>
            <w:r>
              <w:rPr>
                <w:rFonts w:ascii="Times New Roman" w:hAnsi="Times New Roman" w:eastAsia="宋体" w:cs="宋体"/>
                <w:color w:val="auto"/>
                <w:kern w:val="2"/>
                <w:sz w:val="24"/>
                <w:szCs w:val="24"/>
                <w:lang w:val="en-US" w:eastAsia="zh-CN" w:bidi="ar-SA"/>
              </w:rPr>
              <w:t>，根据现场勘查，周边以</w:t>
            </w:r>
            <w:r>
              <w:rPr>
                <w:rFonts w:hint="eastAsia" w:ascii="Times New Roman" w:hAnsi="Times New Roman" w:eastAsia="宋体" w:cs="宋体"/>
                <w:color w:val="auto"/>
                <w:kern w:val="2"/>
                <w:sz w:val="24"/>
                <w:szCs w:val="24"/>
                <w:lang w:val="en-US" w:eastAsia="zh-CN" w:bidi="ar-SA"/>
              </w:rPr>
              <w:t>工业企业</w:t>
            </w:r>
            <w:r>
              <w:rPr>
                <w:rFonts w:ascii="Times New Roman" w:hAnsi="Times New Roman" w:eastAsia="宋体" w:cs="宋体"/>
                <w:color w:val="auto"/>
                <w:kern w:val="2"/>
                <w:sz w:val="24"/>
                <w:szCs w:val="24"/>
                <w:lang w:val="en-US" w:eastAsia="zh-CN" w:bidi="ar-SA"/>
              </w:rPr>
              <w:t>为主；项目周边地下水、土壤环境相对不敏感，采取有效的防渗措施后，项目对地下水、土壤环境影响很小，基本不存在土壤、地下水环境污染途径，因此，本评价不对项目地下水、土壤环境质量进行补充监测。</w:t>
            </w:r>
          </w:p>
          <w:p w14:paraId="3F387DB9">
            <w:pPr>
              <w:keepNext/>
              <w:keepLines/>
              <w:widowControl w:val="0"/>
              <w:bidi w:val="0"/>
              <w:spacing w:beforeLines="0" w:beforeAutospacing="0" w:afterLines="0" w:afterAutospacing="0" w:line="360" w:lineRule="auto"/>
              <w:jc w:val="left"/>
              <w:textAlignment w:val="center"/>
              <w:outlineLvl w:val="1"/>
              <w:rPr>
                <w:rFonts w:hint="default" w:ascii="Times New Roman" w:hAnsi="Times New Roman" w:eastAsia="宋体" w:cs="Times New Roman"/>
                <w:b/>
                <w:color w:val="auto"/>
                <w:kern w:val="2"/>
                <w:sz w:val="28"/>
                <w:szCs w:val="24"/>
                <w:lang w:val="en-US" w:eastAsia="zh-CN" w:bidi="ar-SA"/>
              </w:rPr>
            </w:pPr>
            <w:bookmarkStart w:id="81" w:name="_Toc17405"/>
            <w:r>
              <w:rPr>
                <w:rFonts w:hint="eastAsia" w:ascii="Times New Roman" w:hAnsi="Times New Roman" w:eastAsia="宋体" w:cs="Times New Roman"/>
                <w:b/>
                <w:color w:val="auto"/>
                <w:kern w:val="2"/>
                <w:sz w:val="28"/>
                <w:szCs w:val="24"/>
                <w:lang w:val="en-US" w:eastAsia="zh-CN" w:bidi="ar-SA"/>
              </w:rPr>
              <w:t>4.6运营期环境风险影响和保护措施</w:t>
            </w:r>
            <w:bookmarkEnd w:id="81"/>
          </w:p>
          <w:p w14:paraId="27E583CC">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82" w:name="_Toc4733"/>
            <w:r>
              <w:rPr>
                <w:rFonts w:hint="eastAsia" w:ascii="Times New Roman" w:hAnsi="Times New Roman" w:eastAsia="宋体" w:cs="Times New Roman"/>
                <w:b/>
                <w:color w:val="auto"/>
                <w:kern w:val="2"/>
                <w:sz w:val="24"/>
                <w:szCs w:val="24"/>
                <w:lang w:val="en-US" w:eastAsia="zh-CN" w:bidi="ar-SA"/>
              </w:rPr>
              <w:t>4.6.1风险调查</w:t>
            </w:r>
            <w:bookmarkEnd w:id="82"/>
          </w:p>
          <w:p w14:paraId="45813C4A">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本项目所使用的原辅材料包括乙醚、乙醇、丙酮等，根据《建设项目环境风险评价技术导则》（HJ169-2018）、《企业突发环境事件风险分级方法》（HJ941-2018）和《危险化学品目录》（2015版）、</w:t>
            </w:r>
            <w:r>
              <w:rPr>
                <w:rFonts w:hint="default" w:ascii="Times New Roman" w:hAnsi="Times New Roman" w:eastAsia="宋体" w:cs="宋体"/>
                <w:color w:val="auto"/>
                <w:kern w:val="2"/>
                <w:sz w:val="24"/>
                <w:szCs w:val="24"/>
                <w:lang w:val="zh-CN" w:eastAsia="zh-CN" w:bidi="ar-SA"/>
              </w:rPr>
              <w:t>根据</w:t>
            </w:r>
            <w:r>
              <w:rPr>
                <w:rFonts w:hint="default" w:ascii="Times New Roman" w:hAnsi="Times New Roman" w:eastAsia="宋体" w:cs="宋体"/>
                <w:color w:val="auto"/>
                <w:kern w:val="2"/>
                <w:sz w:val="24"/>
                <w:szCs w:val="24"/>
                <w:lang w:val="en-US" w:eastAsia="zh-CN" w:bidi="ar-SA"/>
              </w:rPr>
              <w:t>《建设项目环境风险评价技术导则》（HJ169-2018）附录C，计算所涉及的每种危险物质在厂界内的最大存在总量与其在《建设项目环境风险评价技术导则》（HJ169-2018）附录B中对应临界量的比值Q。在不同厂区的同一种物质，按其在厂界内的最大存在总量计算。当企业只涉及一种风险物质时，该物质的数量与其临界量的比值，即为Q。当企业存在多种化学物质时，则按下式计算物质总量与其临界量比值（Q）：</w:t>
            </w:r>
          </w:p>
          <w:p w14:paraId="40BB4F53">
            <w:pPr>
              <w:widowControl w:val="0"/>
              <w:bidi w:val="0"/>
              <w:spacing w:line="360" w:lineRule="auto"/>
              <w:jc w:val="center"/>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1903730" cy="464185"/>
                  <wp:effectExtent l="0" t="0" r="0" b="0"/>
                  <wp:docPr id="58" name="图片 200" descr="C:\Users\admin\AppData\Roaming\Tencent\Users\506048567\QQ\WinTemp\RichOle\`_O{@QX45~6E2EU4~BK~(Z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00" descr="C:\Users\admin\AppData\Roaming\Tencent\Users\506048567\QQ\WinTemp\RichOle\`_O{@QX45~6E2EU4~BK~(ZR.png"/>
                          <pic:cNvPicPr>
                            <a:picLocks noChangeAspect="1"/>
                          </pic:cNvPicPr>
                        </pic:nvPicPr>
                        <pic:blipFill>
                          <a:blip r:embed="rId51"/>
                          <a:stretch>
                            <a:fillRect/>
                          </a:stretch>
                        </pic:blipFill>
                        <pic:spPr>
                          <a:xfrm>
                            <a:off x="0" y="0"/>
                            <a:ext cx="1903730" cy="464185"/>
                          </a:xfrm>
                          <a:prstGeom prst="rect">
                            <a:avLst/>
                          </a:prstGeom>
                          <a:noFill/>
                          <a:ln>
                            <a:noFill/>
                          </a:ln>
                        </pic:spPr>
                      </pic:pic>
                    </a:graphicData>
                  </a:graphic>
                </wp:inline>
              </w:drawing>
            </w:r>
          </w:p>
          <w:p w14:paraId="5891F33A">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式中：q</w:t>
            </w:r>
            <w:r>
              <w:rPr>
                <w:rFonts w:hint="default" w:ascii="Times New Roman" w:hAnsi="Times New Roman" w:eastAsia="宋体" w:cs="宋体"/>
                <w:color w:val="auto"/>
                <w:kern w:val="2"/>
                <w:sz w:val="24"/>
                <w:szCs w:val="24"/>
                <w:vertAlign w:val="subscript"/>
                <w:lang w:val="en-US" w:eastAsia="zh-CN" w:bidi="ar-SA"/>
              </w:rPr>
              <w:t>1</w:t>
            </w:r>
            <w:r>
              <w:rPr>
                <w:rFonts w:hint="default" w:ascii="Times New Roman" w:hAnsi="Times New Roman" w:eastAsia="宋体" w:cs="宋体"/>
                <w:color w:val="auto"/>
                <w:kern w:val="2"/>
                <w:sz w:val="24"/>
                <w:szCs w:val="24"/>
                <w:lang w:val="en-US" w:eastAsia="zh-CN" w:bidi="ar-SA"/>
              </w:rPr>
              <w:t>，q</w:t>
            </w:r>
            <w:r>
              <w:rPr>
                <w:rFonts w:hint="default" w:ascii="Times New Roman" w:hAnsi="Times New Roman" w:eastAsia="宋体" w:cs="宋体"/>
                <w:color w:val="auto"/>
                <w:kern w:val="2"/>
                <w:sz w:val="24"/>
                <w:szCs w:val="24"/>
                <w:vertAlign w:val="subscript"/>
                <w:lang w:val="en-US" w:eastAsia="zh-CN" w:bidi="ar-SA"/>
              </w:rPr>
              <w:t>2</w:t>
            </w:r>
            <w:r>
              <w:rPr>
                <w:rFonts w:hint="eastAsia" w:ascii="Times New Roman" w:hAnsi="Times New Roman" w:eastAsia="宋体" w:cs="宋体"/>
                <w:color w:val="auto"/>
                <w:kern w:val="2"/>
                <w:sz w:val="24"/>
                <w:szCs w:val="24"/>
                <w:vertAlign w:val="subscript"/>
                <w:lang w:val="en-US" w:eastAsia="zh-CN" w:bidi="ar-SA"/>
              </w:rPr>
              <w:t>，</w:t>
            </w:r>
            <w:r>
              <w:rPr>
                <w:rFonts w:hint="default" w:ascii="Times New Roman" w:hAnsi="Times New Roman" w:eastAsia="宋体" w:cs="宋体"/>
                <w:color w:val="auto"/>
                <w:kern w:val="2"/>
                <w:sz w:val="24"/>
                <w:szCs w:val="24"/>
                <w:lang w:val="en-US" w:eastAsia="zh-CN" w:bidi="ar-SA"/>
              </w:rPr>
              <w:t>q</w:t>
            </w:r>
            <w:r>
              <w:rPr>
                <w:rFonts w:hint="default" w:ascii="Times New Roman" w:hAnsi="Times New Roman" w:eastAsia="宋体" w:cs="宋体"/>
                <w:color w:val="auto"/>
                <w:kern w:val="2"/>
                <w:sz w:val="24"/>
                <w:szCs w:val="24"/>
                <w:vertAlign w:val="subscript"/>
                <w:lang w:val="en-US" w:eastAsia="zh-CN" w:bidi="ar-SA"/>
              </w:rPr>
              <w:t>n</w:t>
            </w:r>
            <w:r>
              <w:rPr>
                <w:rFonts w:hint="default" w:ascii="Times New Roman" w:hAnsi="Times New Roman" w:eastAsia="宋体" w:cs="宋体"/>
                <w:color w:val="auto"/>
                <w:kern w:val="2"/>
                <w:sz w:val="24"/>
                <w:szCs w:val="24"/>
                <w:lang w:val="en-US" w:eastAsia="zh-CN" w:bidi="ar-SA"/>
              </w:rPr>
              <w:t>——每种风险物质的存在量，t；</w:t>
            </w:r>
          </w:p>
          <w:p w14:paraId="75CA5D6E">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Q</w:t>
            </w:r>
            <w:r>
              <w:rPr>
                <w:rFonts w:hint="default" w:ascii="Times New Roman" w:hAnsi="Times New Roman" w:eastAsia="宋体" w:cs="宋体"/>
                <w:color w:val="auto"/>
                <w:kern w:val="2"/>
                <w:sz w:val="24"/>
                <w:szCs w:val="24"/>
                <w:vertAlign w:val="subscript"/>
                <w:lang w:val="en-US" w:eastAsia="zh-CN" w:bidi="ar-SA"/>
              </w:rPr>
              <w:t>1</w:t>
            </w:r>
            <w:r>
              <w:rPr>
                <w:rFonts w:hint="default" w:ascii="Times New Roman" w:hAnsi="Times New Roman" w:eastAsia="宋体" w:cs="宋体"/>
                <w:color w:val="auto"/>
                <w:kern w:val="2"/>
                <w:sz w:val="24"/>
                <w:szCs w:val="24"/>
                <w:lang w:val="en-US" w:eastAsia="zh-CN" w:bidi="ar-SA"/>
              </w:rPr>
              <w:t>，Q</w:t>
            </w:r>
            <w:r>
              <w:rPr>
                <w:rFonts w:hint="default" w:ascii="Times New Roman" w:hAnsi="Times New Roman" w:eastAsia="宋体" w:cs="宋体"/>
                <w:color w:val="auto"/>
                <w:kern w:val="2"/>
                <w:sz w:val="24"/>
                <w:szCs w:val="24"/>
                <w:vertAlign w:val="subscript"/>
                <w:lang w:val="en-US" w:eastAsia="zh-CN" w:bidi="ar-SA"/>
              </w:rPr>
              <w:t>2</w:t>
            </w:r>
            <w:r>
              <w:rPr>
                <w:rFonts w:hint="eastAsia" w:ascii="Times New Roman" w:hAnsi="Times New Roman" w:eastAsia="宋体" w:cs="宋体"/>
                <w:color w:val="auto"/>
                <w:kern w:val="2"/>
                <w:sz w:val="24"/>
                <w:szCs w:val="24"/>
                <w:vertAlign w:val="subscript"/>
                <w:lang w:val="en-US" w:eastAsia="zh-CN" w:bidi="ar-SA"/>
              </w:rPr>
              <w:t>，</w:t>
            </w:r>
            <w:r>
              <w:rPr>
                <w:rFonts w:hint="default" w:ascii="Times New Roman" w:hAnsi="Times New Roman" w:eastAsia="宋体" w:cs="宋体"/>
                <w:color w:val="auto"/>
                <w:kern w:val="2"/>
                <w:sz w:val="24"/>
                <w:szCs w:val="24"/>
                <w:lang w:val="en-US" w:eastAsia="zh-CN" w:bidi="ar-SA"/>
              </w:rPr>
              <w:t>Q</w:t>
            </w:r>
            <w:r>
              <w:rPr>
                <w:rFonts w:hint="default" w:ascii="Times New Roman" w:hAnsi="Times New Roman" w:eastAsia="宋体" w:cs="宋体"/>
                <w:color w:val="auto"/>
                <w:kern w:val="2"/>
                <w:sz w:val="24"/>
                <w:szCs w:val="24"/>
                <w:vertAlign w:val="subscript"/>
                <w:lang w:val="en-US" w:eastAsia="zh-CN" w:bidi="ar-SA"/>
              </w:rPr>
              <w:t>n</w:t>
            </w:r>
            <w:r>
              <w:rPr>
                <w:rFonts w:hint="default" w:ascii="Times New Roman" w:hAnsi="Times New Roman" w:eastAsia="宋体" w:cs="宋体"/>
                <w:color w:val="auto"/>
                <w:kern w:val="2"/>
                <w:sz w:val="24"/>
                <w:szCs w:val="24"/>
                <w:lang w:val="en-US" w:eastAsia="zh-CN" w:bidi="ar-SA"/>
              </w:rPr>
              <w:t>——每种风险物质的临界量，t。</w:t>
            </w:r>
          </w:p>
          <w:p w14:paraId="32F4EB4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当Q＜1时，该项目环境风险潜势为</w:t>
            </w:r>
            <w:r>
              <w:rPr>
                <w:rFonts w:hint="default" w:ascii="Times New Roman" w:hAnsi="Times New Roman" w:eastAsia="宋体" w:cs="宋体"/>
                <w:color w:val="auto"/>
                <w:kern w:val="2"/>
                <w:sz w:val="24"/>
                <w:szCs w:val="24"/>
                <w:lang w:val="en-US" w:eastAsia="zh-CN" w:bidi="ar-SA"/>
              </w:rPr>
              <w:fldChar w:fldCharType="begin"/>
            </w:r>
            <w:r>
              <w:rPr>
                <w:rFonts w:hint="default" w:ascii="Times New Roman" w:hAnsi="Times New Roman" w:eastAsia="宋体" w:cs="宋体"/>
                <w:color w:val="auto"/>
                <w:kern w:val="2"/>
                <w:sz w:val="24"/>
                <w:szCs w:val="24"/>
                <w:lang w:val="en-US" w:eastAsia="zh-CN" w:bidi="ar-SA"/>
              </w:rPr>
              <w:instrText xml:space="preserve"> = 1 \* ROMAN </w:instrText>
            </w:r>
            <w:r>
              <w:rPr>
                <w:rFonts w:hint="default" w:ascii="Times New Roman" w:hAnsi="Times New Roman" w:eastAsia="宋体" w:cs="宋体"/>
                <w:color w:val="auto"/>
                <w:kern w:val="2"/>
                <w:sz w:val="24"/>
                <w:szCs w:val="24"/>
                <w:lang w:val="en-US" w:eastAsia="zh-CN" w:bidi="ar-SA"/>
              </w:rPr>
              <w:fldChar w:fldCharType="separate"/>
            </w:r>
            <w:r>
              <w:rPr>
                <w:rFonts w:hint="default" w:ascii="Times New Roman" w:hAnsi="Times New Roman" w:eastAsia="宋体" w:cs="宋体"/>
                <w:color w:val="auto"/>
                <w:kern w:val="2"/>
                <w:sz w:val="24"/>
                <w:szCs w:val="24"/>
                <w:lang w:val="en-US" w:eastAsia="zh-CN" w:bidi="ar-SA"/>
              </w:rPr>
              <w:t>I</w:t>
            </w:r>
            <w:r>
              <w:rPr>
                <w:rFonts w:hint="default" w:ascii="Times New Roman" w:hAnsi="Times New Roman" w:eastAsia="宋体" w:cs="宋体"/>
                <w:color w:val="auto"/>
                <w:kern w:val="2"/>
                <w:sz w:val="24"/>
                <w:szCs w:val="24"/>
                <w:lang w:val="en-US" w:eastAsia="zh-CN" w:bidi="ar-SA"/>
              </w:rPr>
              <w:fldChar w:fldCharType="end"/>
            </w:r>
            <w:r>
              <w:rPr>
                <w:rFonts w:hint="default" w:ascii="Times New Roman" w:hAnsi="Times New Roman" w:eastAsia="宋体" w:cs="宋体"/>
                <w:color w:val="auto"/>
                <w:kern w:val="2"/>
                <w:sz w:val="24"/>
                <w:szCs w:val="24"/>
                <w:lang w:val="en-US" w:eastAsia="zh-CN" w:bidi="ar-SA"/>
              </w:rPr>
              <w:t>。</w:t>
            </w:r>
          </w:p>
          <w:p w14:paraId="4DA24260">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当Q≥1时，将Q值划分为：（1）1≤Q＜10；（2）10≤Q＜100；（3）Q≥100。</w:t>
            </w:r>
          </w:p>
          <w:p w14:paraId="0427C302">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zh-CN" w:eastAsia="zh-CN" w:bidi="ar-SA"/>
              </w:rPr>
              <w:t>本项目涉及的危险物质情况及临界量比值详见表</w:t>
            </w:r>
            <w:r>
              <w:rPr>
                <w:rFonts w:hint="default" w:ascii="Times New Roman" w:hAnsi="Times New Roman" w:eastAsia="宋体" w:cs="宋体"/>
                <w:color w:val="auto"/>
                <w:kern w:val="2"/>
                <w:sz w:val="24"/>
                <w:szCs w:val="24"/>
                <w:lang w:val="en-US" w:eastAsia="zh-CN" w:bidi="ar-SA"/>
              </w:rPr>
              <w:t>4.</w:t>
            </w:r>
            <w:r>
              <w:rPr>
                <w:rFonts w:hint="eastAsia" w:ascii="Times New Roman" w:hAnsi="Times New Roman" w:eastAsia="宋体" w:cs="宋体"/>
                <w:color w:val="auto"/>
                <w:kern w:val="2"/>
                <w:sz w:val="24"/>
                <w:szCs w:val="24"/>
                <w:lang w:val="en-US" w:eastAsia="zh-CN" w:bidi="ar-SA"/>
              </w:rPr>
              <w:t>6</w:t>
            </w:r>
            <w:r>
              <w:rPr>
                <w:rFonts w:hint="default"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1</w:t>
            </w:r>
            <w:r>
              <w:rPr>
                <w:rFonts w:hint="default" w:ascii="Times New Roman" w:hAnsi="Times New Roman" w:eastAsia="宋体" w:cs="宋体"/>
                <w:color w:val="auto"/>
                <w:kern w:val="2"/>
                <w:sz w:val="24"/>
                <w:szCs w:val="24"/>
                <w:lang w:val="zh-CN" w:eastAsia="zh-CN" w:bidi="ar-SA"/>
              </w:rPr>
              <w:t>。</w:t>
            </w:r>
          </w:p>
          <w:p w14:paraId="08E57D8A">
            <w:pPr>
              <w:widowControl w:val="0"/>
              <w:bidi w:val="0"/>
              <w:adjustRightInd w:val="0"/>
              <w:snapToGrid w:val="0"/>
              <w:spacing w:before="10" w:beforeLines="10" w:after="10" w:afterLines="10"/>
              <w:jc w:val="center"/>
              <w:rPr>
                <w:rFonts w:hint="eastAsia"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表4.6-1  危险物质储存情况及临界量比值</w:t>
            </w:r>
          </w:p>
          <w:tbl>
            <w:tblPr>
              <w:tblStyle w:val="18"/>
              <w:tblW w:w="7946"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135"/>
              <w:gridCol w:w="1135"/>
              <w:gridCol w:w="1135"/>
              <w:gridCol w:w="1135"/>
              <w:gridCol w:w="1135"/>
              <w:gridCol w:w="1136"/>
            </w:tblGrid>
            <w:tr w14:paraId="1B7F62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5" w:type="dxa"/>
                  <w:tcBorders>
                    <w:tl2br w:val="nil"/>
                    <w:tr2bl w:val="nil"/>
                  </w:tcBorders>
                  <w:noWrap w:val="0"/>
                  <w:vAlign w:val="center"/>
                </w:tcPr>
                <w:p w14:paraId="4A8A9D94">
                  <w:pPr>
                    <w:pStyle w:val="28"/>
                    <w:bidi w:val="0"/>
                    <w:rPr>
                      <w:rFonts w:hint="default"/>
                      <w:color w:val="auto"/>
                      <w:lang w:val="en-US" w:eastAsia="zh-CN"/>
                    </w:rPr>
                  </w:pPr>
                  <w:r>
                    <w:rPr>
                      <w:rFonts w:hint="eastAsia"/>
                      <w:color w:val="auto"/>
                      <w:lang w:val="en-US" w:eastAsia="zh-CN"/>
                    </w:rPr>
                    <w:t>序号</w:t>
                  </w:r>
                </w:p>
              </w:tc>
              <w:tc>
                <w:tcPr>
                  <w:tcW w:w="1135" w:type="dxa"/>
                  <w:tcBorders>
                    <w:tl2br w:val="nil"/>
                    <w:tr2bl w:val="nil"/>
                  </w:tcBorders>
                  <w:noWrap w:val="0"/>
                  <w:vAlign w:val="center"/>
                </w:tcPr>
                <w:p w14:paraId="2F0F1C9A">
                  <w:pPr>
                    <w:pStyle w:val="28"/>
                    <w:bidi w:val="0"/>
                    <w:rPr>
                      <w:rFonts w:hint="default"/>
                      <w:color w:val="auto"/>
                      <w:lang w:val="en-US" w:eastAsia="zh-CN"/>
                    </w:rPr>
                  </w:pPr>
                  <w:r>
                    <w:rPr>
                      <w:rFonts w:hint="eastAsia"/>
                      <w:color w:val="auto"/>
                      <w:lang w:val="en-US" w:eastAsia="zh-CN"/>
                    </w:rPr>
                    <w:t>风险物质</w:t>
                  </w:r>
                </w:p>
              </w:tc>
              <w:tc>
                <w:tcPr>
                  <w:tcW w:w="1135" w:type="dxa"/>
                  <w:tcBorders>
                    <w:tl2br w:val="nil"/>
                    <w:tr2bl w:val="nil"/>
                  </w:tcBorders>
                  <w:noWrap w:val="0"/>
                  <w:vAlign w:val="center"/>
                </w:tcPr>
                <w:p w14:paraId="22FC78AC">
                  <w:pPr>
                    <w:pStyle w:val="28"/>
                    <w:bidi w:val="0"/>
                    <w:rPr>
                      <w:rFonts w:hint="default"/>
                      <w:color w:val="auto"/>
                      <w:lang w:val="en-US" w:eastAsia="zh-CN"/>
                    </w:rPr>
                  </w:pPr>
                  <w:r>
                    <w:rPr>
                      <w:rFonts w:hint="eastAsia"/>
                      <w:color w:val="auto"/>
                      <w:lang w:val="en-US" w:eastAsia="zh-CN"/>
                    </w:rPr>
                    <w:t>CAS号</w:t>
                  </w:r>
                </w:p>
              </w:tc>
              <w:tc>
                <w:tcPr>
                  <w:tcW w:w="1135" w:type="dxa"/>
                  <w:tcBorders>
                    <w:tl2br w:val="nil"/>
                    <w:tr2bl w:val="nil"/>
                  </w:tcBorders>
                  <w:noWrap w:val="0"/>
                  <w:vAlign w:val="center"/>
                </w:tcPr>
                <w:p w14:paraId="705BD3D3">
                  <w:pPr>
                    <w:pStyle w:val="28"/>
                    <w:bidi w:val="0"/>
                    <w:rPr>
                      <w:rFonts w:hint="default"/>
                      <w:color w:val="auto"/>
                      <w:lang w:val="en-US" w:eastAsia="zh-CN"/>
                    </w:rPr>
                  </w:pPr>
                  <w:r>
                    <w:rPr>
                      <w:rFonts w:hint="eastAsia"/>
                      <w:color w:val="auto"/>
                      <w:lang w:val="en-US" w:eastAsia="zh-CN"/>
                    </w:rPr>
                    <w:t>最大贮存量/最大在线量</w:t>
                  </w:r>
                </w:p>
              </w:tc>
              <w:tc>
                <w:tcPr>
                  <w:tcW w:w="1135" w:type="dxa"/>
                  <w:tcBorders>
                    <w:tl2br w:val="nil"/>
                    <w:tr2bl w:val="nil"/>
                  </w:tcBorders>
                  <w:noWrap w:val="0"/>
                  <w:vAlign w:val="center"/>
                </w:tcPr>
                <w:p w14:paraId="46CB6499">
                  <w:pPr>
                    <w:pStyle w:val="28"/>
                    <w:bidi w:val="0"/>
                    <w:rPr>
                      <w:rFonts w:hint="default"/>
                      <w:color w:val="auto"/>
                      <w:lang w:val="en-US" w:eastAsia="zh-CN"/>
                    </w:rPr>
                  </w:pPr>
                  <w:r>
                    <w:rPr>
                      <w:rFonts w:hint="eastAsia"/>
                      <w:color w:val="auto"/>
                      <w:lang w:val="en-US" w:eastAsia="zh-CN"/>
                    </w:rPr>
                    <w:t>贮存位置</w:t>
                  </w:r>
                </w:p>
              </w:tc>
              <w:tc>
                <w:tcPr>
                  <w:tcW w:w="1135" w:type="dxa"/>
                  <w:tcBorders>
                    <w:tl2br w:val="nil"/>
                    <w:tr2bl w:val="nil"/>
                  </w:tcBorders>
                  <w:noWrap w:val="0"/>
                  <w:vAlign w:val="center"/>
                </w:tcPr>
                <w:p w14:paraId="63C2B432">
                  <w:pPr>
                    <w:pStyle w:val="28"/>
                    <w:bidi w:val="0"/>
                    <w:rPr>
                      <w:rFonts w:hint="default"/>
                      <w:color w:val="auto"/>
                      <w:lang w:val="en-US" w:eastAsia="zh-CN"/>
                    </w:rPr>
                  </w:pPr>
                  <w:r>
                    <w:rPr>
                      <w:rFonts w:hint="eastAsia"/>
                      <w:color w:val="auto"/>
                      <w:lang w:val="en-US" w:eastAsia="zh-CN"/>
                    </w:rPr>
                    <w:t>临界量</w:t>
                  </w:r>
                </w:p>
              </w:tc>
              <w:tc>
                <w:tcPr>
                  <w:tcW w:w="1136" w:type="dxa"/>
                  <w:tcBorders>
                    <w:tl2br w:val="nil"/>
                    <w:tr2bl w:val="nil"/>
                  </w:tcBorders>
                  <w:noWrap w:val="0"/>
                  <w:vAlign w:val="center"/>
                </w:tcPr>
                <w:p w14:paraId="6C11755E">
                  <w:pPr>
                    <w:pStyle w:val="28"/>
                    <w:bidi w:val="0"/>
                    <w:rPr>
                      <w:rFonts w:hint="default"/>
                      <w:color w:val="auto"/>
                      <w:lang w:val="en-US" w:eastAsia="zh-CN"/>
                    </w:rPr>
                  </w:pPr>
                  <w:r>
                    <w:rPr>
                      <w:rFonts w:hint="eastAsia"/>
                      <w:color w:val="auto"/>
                      <w:lang w:val="en-US" w:eastAsia="zh-CN"/>
                    </w:rPr>
                    <w:t>临界量比值</w:t>
                  </w:r>
                </w:p>
              </w:tc>
            </w:tr>
            <w:tr w14:paraId="648071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5" w:type="dxa"/>
                  <w:tcBorders>
                    <w:tl2br w:val="nil"/>
                    <w:tr2bl w:val="nil"/>
                  </w:tcBorders>
                  <w:noWrap w:val="0"/>
                  <w:vAlign w:val="center"/>
                </w:tcPr>
                <w:p w14:paraId="4CD721AC">
                  <w:pPr>
                    <w:pStyle w:val="28"/>
                    <w:bidi w:val="0"/>
                    <w:rPr>
                      <w:rFonts w:hint="default"/>
                      <w:color w:val="auto"/>
                      <w:lang w:val="en-US" w:eastAsia="zh-CN"/>
                    </w:rPr>
                  </w:pPr>
                  <w:r>
                    <w:rPr>
                      <w:rFonts w:hint="eastAsia"/>
                      <w:color w:val="auto"/>
                      <w:lang w:val="en-US" w:eastAsia="zh-CN"/>
                    </w:rPr>
                    <w:t>1</w:t>
                  </w:r>
                </w:p>
              </w:tc>
              <w:tc>
                <w:tcPr>
                  <w:tcW w:w="1135" w:type="dxa"/>
                  <w:tcBorders>
                    <w:tl2br w:val="nil"/>
                    <w:tr2bl w:val="nil"/>
                  </w:tcBorders>
                  <w:noWrap w:val="0"/>
                  <w:vAlign w:val="center"/>
                </w:tcPr>
                <w:p w14:paraId="5672B02F">
                  <w:pPr>
                    <w:pStyle w:val="28"/>
                    <w:bidi w:val="0"/>
                    <w:rPr>
                      <w:rFonts w:hint="default"/>
                      <w:color w:val="auto"/>
                      <w:lang w:val="en-US" w:eastAsia="zh-CN"/>
                    </w:rPr>
                  </w:pPr>
                  <w:r>
                    <w:rPr>
                      <w:rFonts w:hint="eastAsia"/>
                      <w:color w:val="auto"/>
                      <w:lang w:val="en-US" w:eastAsia="zh-CN"/>
                    </w:rPr>
                    <w:t>乙醚</w:t>
                  </w:r>
                </w:p>
              </w:tc>
              <w:tc>
                <w:tcPr>
                  <w:tcW w:w="1135" w:type="dxa"/>
                  <w:tcBorders>
                    <w:tl2br w:val="nil"/>
                    <w:tr2bl w:val="nil"/>
                  </w:tcBorders>
                  <w:noWrap w:val="0"/>
                  <w:vAlign w:val="center"/>
                </w:tcPr>
                <w:p w14:paraId="7984DACF">
                  <w:pPr>
                    <w:pStyle w:val="28"/>
                    <w:bidi w:val="0"/>
                    <w:rPr>
                      <w:rFonts w:hint="default"/>
                      <w:color w:val="auto"/>
                      <w:lang w:val="en-US" w:eastAsia="zh-CN"/>
                    </w:rPr>
                  </w:pPr>
                  <w:r>
                    <w:rPr>
                      <w:rFonts w:hint="eastAsia"/>
                      <w:color w:val="auto"/>
                      <w:lang w:val="en-US" w:eastAsia="zh-CN"/>
                    </w:rPr>
                    <w:t>60-29-7</w:t>
                  </w:r>
                </w:p>
              </w:tc>
              <w:tc>
                <w:tcPr>
                  <w:tcW w:w="1135" w:type="dxa"/>
                  <w:tcBorders>
                    <w:tl2br w:val="nil"/>
                    <w:tr2bl w:val="nil"/>
                  </w:tcBorders>
                  <w:noWrap w:val="0"/>
                  <w:vAlign w:val="center"/>
                </w:tcPr>
                <w:p w14:paraId="687220D0">
                  <w:pPr>
                    <w:pStyle w:val="28"/>
                    <w:bidi w:val="0"/>
                    <w:rPr>
                      <w:rFonts w:hint="default"/>
                      <w:color w:val="auto"/>
                      <w:lang w:val="en-US" w:eastAsia="zh-CN"/>
                    </w:rPr>
                  </w:pPr>
                  <w:r>
                    <w:rPr>
                      <w:rFonts w:hint="eastAsia"/>
                      <w:color w:val="auto"/>
                      <w:lang w:val="en-US" w:eastAsia="zh-CN"/>
                    </w:rPr>
                    <w:t>0.03t</w:t>
                  </w:r>
                </w:p>
              </w:tc>
              <w:tc>
                <w:tcPr>
                  <w:tcW w:w="1135" w:type="dxa"/>
                  <w:tcBorders>
                    <w:tl2br w:val="nil"/>
                    <w:tr2bl w:val="nil"/>
                  </w:tcBorders>
                  <w:noWrap w:val="0"/>
                  <w:vAlign w:val="center"/>
                </w:tcPr>
                <w:p w14:paraId="3C86BFB1">
                  <w:pPr>
                    <w:pStyle w:val="28"/>
                    <w:bidi w:val="0"/>
                    <w:rPr>
                      <w:rFonts w:hint="default"/>
                      <w:color w:val="auto"/>
                      <w:lang w:val="en-US" w:eastAsia="zh-CN"/>
                    </w:rPr>
                  </w:pPr>
                  <w:r>
                    <w:rPr>
                      <w:rFonts w:hint="eastAsia"/>
                      <w:color w:val="auto"/>
                      <w:lang w:val="en-US" w:eastAsia="zh-CN"/>
                    </w:rPr>
                    <w:t>危险化学品仓库</w:t>
                  </w:r>
                </w:p>
              </w:tc>
              <w:tc>
                <w:tcPr>
                  <w:tcW w:w="1135" w:type="dxa"/>
                  <w:tcBorders>
                    <w:tl2br w:val="nil"/>
                    <w:tr2bl w:val="nil"/>
                  </w:tcBorders>
                  <w:noWrap w:val="0"/>
                  <w:vAlign w:val="center"/>
                </w:tcPr>
                <w:p w14:paraId="43EEA2A5">
                  <w:pPr>
                    <w:pStyle w:val="28"/>
                    <w:bidi w:val="0"/>
                    <w:rPr>
                      <w:rFonts w:hint="default"/>
                      <w:color w:val="auto"/>
                      <w:lang w:val="en-US" w:eastAsia="zh-CN"/>
                    </w:rPr>
                  </w:pPr>
                  <w:r>
                    <w:rPr>
                      <w:rFonts w:hint="eastAsia"/>
                      <w:color w:val="auto"/>
                      <w:lang w:val="en-US" w:eastAsia="zh-CN"/>
                    </w:rPr>
                    <w:t>10t</w:t>
                  </w:r>
                </w:p>
              </w:tc>
              <w:tc>
                <w:tcPr>
                  <w:tcW w:w="1136" w:type="dxa"/>
                  <w:tcBorders>
                    <w:tl2br w:val="nil"/>
                    <w:tr2bl w:val="nil"/>
                  </w:tcBorders>
                  <w:noWrap w:val="0"/>
                  <w:vAlign w:val="center"/>
                </w:tcPr>
                <w:p w14:paraId="299E5634">
                  <w:pPr>
                    <w:pStyle w:val="28"/>
                    <w:bidi w:val="0"/>
                    <w:rPr>
                      <w:rFonts w:hint="default"/>
                      <w:color w:val="auto"/>
                      <w:lang w:val="en-US" w:eastAsia="zh-CN"/>
                    </w:rPr>
                  </w:pPr>
                  <w:r>
                    <w:rPr>
                      <w:rFonts w:hint="eastAsia"/>
                      <w:color w:val="auto"/>
                      <w:lang w:val="en-US" w:eastAsia="zh-CN"/>
                    </w:rPr>
                    <w:t>0.003</w:t>
                  </w:r>
                </w:p>
              </w:tc>
            </w:tr>
            <w:tr w14:paraId="45E9B1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5" w:type="dxa"/>
                  <w:tcBorders>
                    <w:tl2br w:val="nil"/>
                    <w:tr2bl w:val="nil"/>
                  </w:tcBorders>
                  <w:noWrap w:val="0"/>
                  <w:vAlign w:val="center"/>
                </w:tcPr>
                <w:p w14:paraId="00ABA8F6">
                  <w:pPr>
                    <w:pStyle w:val="28"/>
                    <w:bidi w:val="0"/>
                    <w:rPr>
                      <w:rFonts w:hint="default"/>
                      <w:color w:val="auto"/>
                      <w:lang w:val="en-US" w:eastAsia="zh-CN"/>
                    </w:rPr>
                  </w:pPr>
                  <w:r>
                    <w:rPr>
                      <w:rFonts w:hint="eastAsia"/>
                      <w:color w:val="auto"/>
                      <w:lang w:val="en-US" w:eastAsia="zh-CN"/>
                    </w:rPr>
                    <w:t>2</w:t>
                  </w:r>
                </w:p>
              </w:tc>
              <w:tc>
                <w:tcPr>
                  <w:tcW w:w="1135" w:type="dxa"/>
                  <w:tcBorders>
                    <w:tl2br w:val="nil"/>
                    <w:tr2bl w:val="nil"/>
                  </w:tcBorders>
                  <w:noWrap w:val="0"/>
                  <w:vAlign w:val="center"/>
                </w:tcPr>
                <w:p w14:paraId="6114E6FA">
                  <w:pPr>
                    <w:pStyle w:val="28"/>
                    <w:bidi w:val="0"/>
                    <w:rPr>
                      <w:rFonts w:hint="default"/>
                      <w:color w:val="auto"/>
                      <w:lang w:val="en-US" w:eastAsia="zh-CN"/>
                    </w:rPr>
                  </w:pPr>
                  <w:r>
                    <w:rPr>
                      <w:rFonts w:hint="eastAsia"/>
                      <w:color w:val="auto"/>
                      <w:lang w:val="en-US" w:eastAsia="zh-CN"/>
                    </w:rPr>
                    <w:t>乙醇</w:t>
                  </w:r>
                </w:p>
              </w:tc>
              <w:tc>
                <w:tcPr>
                  <w:tcW w:w="1135" w:type="dxa"/>
                  <w:tcBorders>
                    <w:tl2br w:val="nil"/>
                    <w:tr2bl w:val="nil"/>
                  </w:tcBorders>
                  <w:noWrap w:val="0"/>
                  <w:vAlign w:val="center"/>
                </w:tcPr>
                <w:p w14:paraId="7B98D5FF">
                  <w:pPr>
                    <w:pStyle w:val="28"/>
                    <w:bidi w:val="0"/>
                    <w:rPr>
                      <w:rFonts w:hint="default"/>
                      <w:color w:val="auto"/>
                      <w:lang w:val="en-US" w:eastAsia="zh-CN"/>
                    </w:rPr>
                  </w:pPr>
                  <w:r>
                    <w:rPr>
                      <w:rFonts w:hint="eastAsia"/>
                      <w:color w:val="auto"/>
                      <w:lang w:val="en-US" w:eastAsia="zh-CN"/>
                    </w:rPr>
                    <w:t>64-17-5</w:t>
                  </w:r>
                </w:p>
              </w:tc>
              <w:tc>
                <w:tcPr>
                  <w:tcW w:w="1135" w:type="dxa"/>
                  <w:tcBorders>
                    <w:tl2br w:val="nil"/>
                    <w:tr2bl w:val="nil"/>
                  </w:tcBorders>
                  <w:noWrap w:val="0"/>
                  <w:vAlign w:val="center"/>
                </w:tcPr>
                <w:p w14:paraId="58926542">
                  <w:pPr>
                    <w:pStyle w:val="28"/>
                    <w:bidi w:val="0"/>
                    <w:rPr>
                      <w:rFonts w:hint="default"/>
                      <w:color w:val="auto"/>
                      <w:lang w:val="en-US" w:eastAsia="zh-CN"/>
                    </w:rPr>
                  </w:pPr>
                  <w:r>
                    <w:rPr>
                      <w:rFonts w:hint="eastAsia"/>
                      <w:color w:val="auto"/>
                      <w:lang w:val="en-US" w:eastAsia="zh-CN"/>
                    </w:rPr>
                    <w:t>0.3t</w:t>
                  </w:r>
                </w:p>
              </w:tc>
              <w:tc>
                <w:tcPr>
                  <w:tcW w:w="1135" w:type="dxa"/>
                  <w:tcBorders>
                    <w:tl2br w:val="nil"/>
                    <w:tr2bl w:val="nil"/>
                  </w:tcBorders>
                  <w:noWrap w:val="0"/>
                  <w:vAlign w:val="center"/>
                </w:tcPr>
                <w:p w14:paraId="40DF64B3">
                  <w:pPr>
                    <w:pStyle w:val="28"/>
                    <w:bidi w:val="0"/>
                    <w:rPr>
                      <w:rFonts w:hint="default"/>
                      <w:color w:val="auto"/>
                      <w:lang w:val="en-US" w:eastAsia="zh-CN"/>
                    </w:rPr>
                  </w:pPr>
                  <w:r>
                    <w:rPr>
                      <w:rFonts w:hint="eastAsia"/>
                      <w:color w:val="auto"/>
                      <w:lang w:val="en-US" w:eastAsia="zh-CN"/>
                    </w:rPr>
                    <w:t>危险化学品仓库</w:t>
                  </w:r>
                </w:p>
              </w:tc>
              <w:tc>
                <w:tcPr>
                  <w:tcW w:w="1135" w:type="dxa"/>
                  <w:tcBorders>
                    <w:tl2br w:val="nil"/>
                    <w:tr2bl w:val="nil"/>
                  </w:tcBorders>
                  <w:noWrap w:val="0"/>
                  <w:vAlign w:val="center"/>
                </w:tcPr>
                <w:p w14:paraId="14E9F56F">
                  <w:pPr>
                    <w:pStyle w:val="28"/>
                    <w:bidi w:val="0"/>
                    <w:rPr>
                      <w:rFonts w:hint="default"/>
                      <w:color w:val="auto"/>
                      <w:lang w:val="en-US" w:eastAsia="zh-CN"/>
                    </w:rPr>
                  </w:pPr>
                  <w:r>
                    <w:rPr>
                      <w:rFonts w:hint="eastAsia"/>
                      <w:color w:val="auto"/>
                      <w:lang w:val="en-US" w:eastAsia="zh-CN"/>
                    </w:rPr>
                    <w:t>500t</w:t>
                  </w:r>
                </w:p>
              </w:tc>
              <w:tc>
                <w:tcPr>
                  <w:tcW w:w="1136" w:type="dxa"/>
                  <w:tcBorders>
                    <w:tl2br w:val="nil"/>
                    <w:tr2bl w:val="nil"/>
                  </w:tcBorders>
                  <w:noWrap w:val="0"/>
                  <w:vAlign w:val="center"/>
                </w:tcPr>
                <w:p w14:paraId="62D8608E">
                  <w:pPr>
                    <w:pStyle w:val="28"/>
                    <w:bidi w:val="0"/>
                    <w:rPr>
                      <w:rFonts w:hint="default"/>
                      <w:color w:val="auto"/>
                      <w:lang w:val="en-US" w:eastAsia="zh-CN"/>
                    </w:rPr>
                  </w:pPr>
                  <w:r>
                    <w:rPr>
                      <w:rFonts w:hint="eastAsia"/>
                      <w:color w:val="auto"/>
                      <w:lang w:val="en-US" w:eastAsia="zh-CN"/>
                    </w:rPr>
                    <w:t>0.0006</w:t>
                  </w:r>
                </w:p>
              </w:tc>
            </w:tr>
            <w:tr w14:paraId="2FADB6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5" w:type="dxa"/>
                  <w:tcBorders>
                    <w:tl2br w:val="nil"/>
                    <w:tr2bl w:val="nil"/>
                  </w:tcBorders>
                  <w:noWrap w:val="0"/>
                  <w:vAlign w:val="center"/>
                </w:tcPr>
                <w:p w14:paraId="44706046">
                  <w:pPr>
                    <w:pStyle w:val="28"/>
                    <w:bidi w:val="0"/>
                    <w:rPr>
                      <w:rFonts w:hint="default"/>
                      <w:color w:val="auto"/>
                      <w:lang w:val="en-US" w:eastAsia="zh-CN"/>
                    </w:rPr>
                  </w:pPr>
                  <w:r>
                    <w:rPr>
                      <w:rFonts w:hint="eastAsia"/>
                      <w:color w:val="auto"/>
                      <w:lang w:val="en-US" w:eastAsia="zh-CN"/>
                    </w:rPr>
                    <w:t>3</w:t>
                  </w:r>
                </w:p>
              </w:tc>
              <w:tc>
                <w:tcPr>
                  <w:tcW w:w="1135" w:type="dxa"/>
                  <w:tcBorders>
                    <w:tl2br w:val="nil"/>
                    <w:tr2bl w:val="nil"/>
                  </w:tcBorders>
                  <w:noWrap w:val="0"/>
                  <w:vAlign w:val="center"/>
                </w:tcPr>
                <w:p w14:paraId="0BC09F31">
                  <w:pPr>
                    <w:pStyle w:val="28"/>
                    <w:bidi w:val="0"/>
                    <w:rPr>
                      <w:rFonts w:hint="default"/>
                      <w:color w:val="auto"/>
                      <w:lang w:val="en-US" w:eastAsia="zh-CN"/>
                    </w:rPr>
                  </w:pPr>
                  <w:r>
                    <w:rPr>
                      <w:rFonts w:hint="eastAsia"/>
                      <w:color w:val="auto"/>
                      <w:lang w:val="en-US" w:eastAsia="zh-CN"/>
                    </w:rPr>
                    <w:t>丙酮</w:t>
                  </w:r>
                </w:p>
              </w:tc>
              <w:tc>
                <w:tcPr>
                  <w:tcW w:w="1135" w:type="dxa"/>
                  <w:tcBorders>
                    <w:tl2br w:val="nil"/>
                    <w:tr2bl w:val="nil"/>
                  </w:tcBorders>
                  <w:noWrap w:val="0"/>
                  <w:vAlign w:val="center"/>
                </w:tcPr>
                <w:p w14:paraId="2BDC92A0">
                  <w:pPr>
                    <w:pStyle w:val="28"/>
                    <w:bidi w:val="0"/>
                    <w:rPr>
                      <w:rFonts w:hint="default"/>
                      <w:color w:val="auto"/>
                      <w:lang w:val="en-US" w:eastAsia="zh-CN"/>
                    </w:rPr>
                  </w:pPr>
                  <w:r>
                    <w:rPr>
                      <w:rFonts w:hint="eastAsia"/>
                      <w:color w:val="auto"/>
                      <w:lang w:val="en-US" w:eastAsia="zh-CN"/>
                    </w:rPr>
                    <w:t>67-64-1</w:t>
                  </w:r>
                </w:p>
              </w:tc>
              <w:tc>
                <w:tcPr>
                  <w:tcW w:w="1135" w:type="dxa"/>
                  <w:tcBorders>
                    <w:tl2br w:val="nil"/>
                    <w:tr2bl w:val="nil"/>
                  </w:tcBorders>
                  <w:noWrap w:val="0"/>
                  <w:vAlign w:val="center"/>
                </w:tcPr>
                <w:p w14:paraId="76E6D46B">
                  <w:pPr>
                    <w:pStyle w:val="28"/>
                    <w:bidi w:val="0"/>
                    <w:rPr>
                      <w:rFonts w:hint="default"/>
                      <w:color w:val="auto"/>
                      <w:lang w:val="en-US" w:eastAsia="zh-CN"/>
                    </w:rPr>
                  </w:pPr>
                  <w:r>
                    <w:rPr>
                      <w:rFonts w:hint="eastAsia"/>
                      <w:color w:val="auto"/>
                      <w:lang w:val="en-US" w:eastAsia="zh-CN"/>
                    </w:rPr>
                    <w:t>0.05t</w:t>
                  </w:r>
                </w:p>
              </w:tc>
              <w:tc>
                <w:tcPr>
                  <w:tcW w:w="1135" w:type="dxa"/>
                  <w:tcBorders>
                    <w:tl2br w:val="nil"/>
                    <w:tr2bl w:val="nil"/>
                  </w:tcBorders>
                  <w:noWrap w:val="0"/>
                  <w:vAlign w:val="center"/>
                </w:tcPr>
                <w:p w14:paraId="03CAC457">
                  <w:pPr>
                    <w:pStyle w:val="28"/>
                    <w:bidi w:val="0"/>
                    <w:rPr>
                      <w:rFonts w:hint="eastAsia"/>
                      <w:color w:val="auto"/>
                      <w:lang w:val="en-US" w:eastAsia="zh-CN"/>
                    </w:rPr>
                  </w:pPr>
                  <w:r>
                    <w:rPr>
                      <w:rFonts w:hint="eastAsia"/>
                      <w:color w:val="auto"/>
                      <w:lang w:val="en-US" w:eastAsia="zh-CN"/>
                    </w:rPr>
                    <w:t>危险化学品仓库</w:t>
                  </w:r>
                </w:p>
              </w:tc>
              <w:tc>
                <w:tcPr>
                  <w:tcW w:w="1135" w:type="dxa"/>
                  <w:tcBorders>
                    <w:tl2br w:val="nil"/>
                    <w:tr2bl w:val="nil"/>
                  </w:tcBorders>
                  <w:noWrap w:val="0"/>
                  <w:vAlign w:val="center"/>
                </w:tcPr>
                <w:p w14:paraId="4C24B5FD">
                  <w:pPr>
                    <w:pStyle w:val="28"/>
                    <w:bidi w:val="0"/>
                    <w:rPr>
                      <w:rFonts w:hint="default"/>
                      <w:color w:val="auto"/>
                      <w:lang w:val="en-US" w:eastAsia="zh-CN"/>
                    </w:rPr>
                  </w:pPr>
                  <w:r>
                    <w:rPr>
                      <w:rFonts w:hint="eastAsia"/>
                      <w:color w:val="auto"/>
                      <w:lang w:val="en-US" w:eastAsia="zh-CN"/>
                    </w:rPr>
                    <w:t>10t</w:t>
                  </w:r>
                </w:p>
              </w:tc>
              <w:tc>
                <w:tcPr>
                  <w:tcW w:w="1136" w:type="dxa"/>
                  <w:tcBorders>
                    <w:tl2br w:val="nil"/>
                    <w:tr2bl w:val="nil"/>
                  </w:tcBorders>
                  <w:noWrap w:val="0"/>
                  <w:vAlign w:val="center"/>
                </w:tcPr>
                <w:p w14:paraId="0DD55B0A">
                  <w:pPr>
                    <w:pStyle w:val="28"/>
                    <w:bidi w:val="0"/>
                    <w:rPr>
                      <w:rFonts w:hint="default"/>
                      <w:color w:val="auto"/>
                      <w:lang w:val="en-US" w:eastAsia="zh-CN"/>
                    </w:rPr>
                  </w:pPr>
                  <w:r>
                    <w:rPr>
                      <w:rFonts w:hint="eastAsia"/>
                      <w:color w:val="auto"/>
                      <w:lang w:val="en-US" w:eastAsia="zh-CN"/>
                    </w:rPr>
                    <w:t>0.005</w:t>
                  </w:r>
                </w:p>
              </w:tc>
            </w:tr>
            <w:tr w14:paraId="00E886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5" w:type="dxa"/>
                  <w:tcBorders>
                    <w:tl2br w:val="nil"/>
                    <w:tr2bl w:val="nil"/>
                  </w:tcBorders>
                  <w:noWrap w:val="0"/>
                  <w:vAlign w:val="center"/>
                </w:tcPr>
                <w:p w14:paraId="00601883">
                  <w:pPr>
                    <w:pStyle w:val="28"/>
                    <w:bidi w:val="0"/>
                    <w:rPr>
                      <w:rFonts w:hint="default"/>
                      <w:color w:val="auto"/>
                      <w:lang w:val="en-US" w:eastAsia="zh-CN"/>
                    </w:rPr>
                  </w:pPr>
                  <w:r>
                    <w:rPr>
                      <w:rFonts w:hint="eastAsia"/>
                      <w:color w:val="auto"/>
                      <w:lang w:val="en-US" w:eastAsia="zh-CN"/>
                    </w:rPr>
                    <w:t>4</w:t>
                  </w:r>
                </w:p>
              </w:tc>
              <w:tc>
                <w:tcPr>
                  <w:tcW w:w="1135" w:type="dxa"/>
                  <w:tcBorders>
                    <w:tl2br w:val="nil"/>
                    <w:tr2bl w:val="nil"/>
                  </w:tcBorders>
                  <w:noWrap w:val="0"/>
                  <w:vAlign w:val="center"/>
                </w:tcPr>
                <w:p w14:paraId="2EEAA467">
                  <w:pPr>
                    <w:pStyle w:val="28"/>
                    <w:bidi w:val="0"/>
                    <w:snapToGrid w:val="0"/>
                    <w:ind w:left="0" w:leftChars="0" w:right="0" w:rightChars="0" w:firstLine="0" w:firstLineChars="0"/>
                    <w:jc w:val="center"/>
                    <w:rPr>
                      <w:rFonts w:hint="default"/>
                      <w:color w:val="auto"/>
                      <w:lang w:val="en-US" w:eastAsia="zh-CN"/>
                    </w:rPr>
                  </w:pPr>
                  <w:r>
                    <w:rPr>
                      <w:rFonts w:hint="eastAsia" w:ascii="Times New Roman" w:hAnsi="Times New Roman" w:eastAsia="宋体" w:cs="Times New Roman"/>
                      <w:color w:val="auto"/>
                      <w:lang w:val="en-US" w:eastAsia="zh-CN"/>
                    </w:rPr>
                    <w:t>氢氧化铵水溶液</w:t>
                  </w:r>
                </w:p>
              </w:tc>
              <w:tc>
                <w:tcPr>
                  <w:tcW w:w="1135" w:type="dxa"/>
                  <w:tcBorders>
                    <w:tl2br w:val="nil"/>
                    <w:tr2bl w:val="nil"/>
                  </w:tcBorders>
                  <w:noWrap w:val="0"/>
                  <w:vAlign w:val="center"/>
                </w:tcPr>
                <w:p w14:paraId="197D6CDB">
                  <w:pPr>
                    <w:pStyle w:val="28"/>
                    <w:bidi w:val="0"/>
                    <w:rPr>
                      <w:rFonts w:hint="default"/>
                      <w:color w:val="auto"/>
                      <w:lang w:val="en-US" w:eastAsia="zh-CN"/>
                    </w:rPr>
                  </w:pPr>
                  <w:r>
                    <w:rPr>
                      <w:rFonts w:ascii="宋体" w:hAnsi="宋体" w:eastAsia="宋体" w:cs="宋体"/>
                      <w:color w:val="auto"/>
                      <w:sz w:val="24"/>
                      <w:szCs w:val="24"/>
                    </w:rPr>
                    <w:t>1336-21-6</w:t>
                  </w:r>
                </w:p>
              </w:tc>
              <w:tc>
                <w:tcPr>
                  <w:tcW w:w="1135" w:type="dxa"/>
                  <w:tcBorders>
                    <w:tl2br w:val="nil"/>
                    <w:tr2bl w:val="nil"/>
                  </w:tcBorders>
                  <w:noWrap w:val="0"/>
                  <w:vAlign w:val="center"/>
                </w:tcPr>
                <w:p w14:paraId="182A44A7">
                  <w:pPr>
                    <w:pStyle w:val="28"/>
                    <w:bidi w:val="0"/>
                    <w:snapToGrid w:val="0"/>
                    <w:ind w:left="0" w:leftChars="0" w:right="0" w:rightChars="0" w:firstLine="0" w:firstLineChars="0"/>
                    <w:jc w:val="center"/>
                    <w:rPr>
                      <w:rFonts w:hint="default"/>
                      <w:color w:val="auto"/>
                      <w:lang w:val="en-US" w:eastAsia="zh-CN"/>
                    </w:rPr>
                  </w:pPr>
                  <w:r>
                    <w:rPr>
                      <w:rFonts w:hint="eastAsia" w:ascii="Times New Roman" w:hAnsi="Times New Roman" w:eastAsia="宋体" w:cs="Times New Roman"/>
                      <w:color w:val="auto"/>
                    </w:rPr>
                    <w:t>0.1t</w:t>
                  </w:r>
                </w:p>
              </w:tc>
              <w:tc>
                <w:tcPr>
                  <w:tcW w:w="1135" w:type="dxa"/>
                  <w:tcBorders>
                    <w:tl2br w:val="nil"/>
                    <w:tr2bl w:val="nil"/>
                  </w:tcBorders>
                  <w:noWrap w:val="0"/>
                  <w:vAlign w:val="center"/>
                </w:tcPr>
                <w:p w14:paraId="313E5B9C">
                  <w:pPr>
                    <w:pStyle w:val="28"/>
                    <w:bidi w:val="0"/>
                    <w:rPr>
                      <w:rFonts w:hint="default"/>
                      <w:color w:val="auto"/>
                      <w:lang w:val="en-US" w:eastAsia="zh-CN"/>
                    </w:rPr>
                  </w:pPr>
                  <w:r>
                    <w:rPr>
                      <w:rFonts w:hint="eastAsia"/>
                      <w:color w:val="auto"/>
                      <w:lang w:val="en-US" w:eastAsia="zh-CN"/>
                    </w:rPr>
                    <w:t>危险化学品仓库</w:t>
                  </w:r>
                </w:p>
              </w:tc>
              <w:tc>
                <w:tcPr>
                  <w:tcW w:w="1135" w:type="dxa"/>
                  <w:tcBorders>
                    <w:tl2br w:val="nil"/>
                    <w:tr2bl w:val="nil"/>
                  </w:tcBorders>
                  <w:noWrap w:val="0"/>
                  <w:vAlign w:val="center"/>
                </w:tcPr>
                <w:p w14:paraId="5353923D">
                  <w:pPr>
                    <w:pStyle w:val="28"/>
                    <w:bidi w:val="0"/>
                    <w:rPr>
                      <w:rFonts w:hint="default"/>
                      <w:color w:val="auto"/>
                      <w:lang w:val="en-US" w:eastAsia="zh-CN"/>
                    </w:rPr>
                  </w:pPr>
                  <w:r>
                    <w:rPr>
                      <w:rFonts w:hint="eastAsia"/>
                      <w:color w:val="auto"/>
                      <w:lang w:val="en-US" w:eastAsia="zh-CN"/>
                    </w:rPr>
                    <w:t>10t</w:t>
                  </w:r>
                </w:p>
              </w:tc>
              <w:tc>
                <w:tcPr>
                  <w:tcW w:w="1136" w:type="dxa"/>
                  <w:tcBorders>
                    <w:tl2br w:val="nil"/>
                    <w:tr2bl w:val="nil"/>
                  </w:tcBorders>
                  <w:noWrap w:val="0"/>
                  <w:vAlign w:val="center"/>
                </w:tcPr>
                <w:p w14:paraId="6AD26BB2">
                  <w:pPr>
                    <w:pStyle w:val="28"/>
                    <w:bidi w:val="0"/>
                    <w:rPr>
                      <w:rFonts w:hint="default"/>
                      <w:color w:val="auto"/>
                      <w:lang w:val="en-US" w:eastAsia="zh-CN"/>
                    </w:rPr>
                  </w:pPr>
                  <w:r>
                    <w:rPr>
                      <w:rFonts w:hint="eastAsia"/>
                      <w:color w:val="auto"/>
                      <w:lang w:val="en-US" w:eastAsia="zh-CN"/>
                    </w:rPr>
                    <w:t>0.01</w:t>
                  </w:r>
                </w:p>
              </w:tc>
            </w:tr>
            <w:tr w14:paraId="6F47D8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5" w:type="dxa"/>
                  <w:tcBorders>
                    <w:tl2br w:val="nil"/>
                    <w:tr2bl w:val="nil"/>
                  </w:tcBorders>
                  <w:noWrap w:val="0"/>
                  <w:vAlign w:val="center"/>
                </w:tcPr>
                <w:p w14:paraId="2200EACA">
                  <w:pPr>
                    <w:pStyle w:val="28"/>
                    <w:bidi w:val="0"/>
                    <w:rPr>
                      <w:rFonts w:hint="default"/>
                      <w:color w:val="auto"/>
                      <w:lang w:val="en-US" w:eastAsia="zh-CN"/>
                    </w:rPr>
                  </w:pPr>
                  <w:r>
                    <w:rPr>
                      <w:rFonts w:hint="eastAsia"/>
                      <w:color w:val="auto"/>
                      <w:lang w:val="en-US" w:eastAsia="zh-CN"/>
                    </w:rPr>
                    <w:t>5</w:t>
                  </w:r>
                </w:p>
              </w:tc>
              <w:tc>
                <w:tcPr>
                  <w:tcW w:w="1135" w:type="dxa"/>
                  <w:tcBorders>
                    <w:tl2br w:val="nil"/>
                    <w:tr2bl w:val="nil"/>
                  </w:tcBorders>
                  <w:noWrap w:val="0"/>
                  <w:vAlign w:val="center"/>
                </w:tcPr>
                <w:p w14:paraId="7821A184">
                  <w:pPr>
                    <w:pStyle w:val="28"/>
                    <w:bidi w:val="0"/>
                    <w:snapToGrid w:val="0"/>
                    <w:ind w:left="0" w:leftChars="0" w:right="0" w:rightChars="0" w:firstLine="0" w:firstLineChars="0"/>
                    <w:jc w:val="center"/>
                    <w:rPr>
                      <w:rFonts w:hint="default"/>
                      <w:color w:val="auto"/>
                      <w:lang w:val="en-US" w:eastAsia="zh-CN"/>
                    </w:rPr>
                  </w:pPr>
                  <w:r>
                    <w:rPr>
                      <w:rFonts w:hint="eastAsia"/>
                      <w:color w:val="auto"/>
                    </w:rPr>
                    <w:t>硝酸</w:t>
                  </w:r>
                </w:p>
              </w:tc>
              <w:tc>
                <w:tcPr>
                  <w:tcW w:w="1135" w:type="dxa"/>
                  <w:tcBorders>
                    <w:tl2br w:val="nil"/>
                    <w:tr2bl w:val="nil"/>
                  </w:tcBorders>
                  <w:noWrap w:val="0"/>
                  <w:vAlign w:val="center"/>
                </w:tcPr>
                <w:p w14:paraId="498A17CF">
                  <w:pPr>
                    <w:pStyle w:val="28"/>
                    <w:bidi w:val="0"/>
                    <w:rPr>
                      <w:rFonts w:hint="default"/>
                      <w:color w:val="auto"/>
                      <w:lang w:val="en-US" w:eastAsia="zh-CN"/>
                    </w:rPr>
                  </w:pPr>
                  <w:r>
                    <w:rPr>
                      <w:rFonts w:ascii="宋体" w:hAnsi="宋体" w:eastAsia="宋体" w:cs="宋体"/>
                      <w:color w:val="auto"/>
                      <w:sz w:val="24"/>
                      <w:szCs w:val="24"/>
                    </w:rPr>
                    <w:t>7697-37-2</w:t>
                  </w:r>
                </w:p>
              </w:tc>
              <w:tc>
                <w:tcPr>
                  <w:tcW w:w="1135" w:type="dxa"/>
                  <w:tcBorders>
                    <w:tl2br w:val="nil"/>
                    <w:tr2bl w:val="nil"/>
                  </w:tcBorders>
                  <w:noWrap w:val="0"/>
                  <w:vAlign w:val="center"/>
                </w:tcPr>
                <w:p w14:paraId="711D8CED">
                  <w:pPr>
                    <w:pStyle w:val="28"/>
                    <w:bidi w:val="0"/>
                    <w:snapToGrid w:val="0"/>
                    <w:ind w:left="0" w:leftChars="0" w:right="0" w:rightChars="0" w:firstLine="0" w:firstLineChars="0"/>
                    <w:jc w:val="center"/>
                    <w:rPr>
                      <w:rFonts w:hint="default"/>
                      <w:color w:val="auto"/>
                      <w:lang w:val="en-US" w:eastAsia="zh-CN"/>
                    </w:rPr>
                  </w:pPr>
                  <w:r>
                    <w:rPr>
                      <w:rFonts w:hint="eastAsia" w:ascii="Times New Roman" w:hAnsi="Times New Roman" w:eastAsia="宋体" w:cs="Times New Roman"/>
                      <w:color w:val="auto"/>
                    </w:rPr>
                    <w:t>0.32t</w:t>
                  </w:r>
                </w:p>
              </w:tc>
              <w:tc>
                <w:tcPr>
                  <w:tcW w:w="1135" w:type="dxa"/>
                  <w:tcBorders>
                    <w:tl2br w:val="nil"/>
                    <w:tr2bl w:val="nil"/>
                  </w:tcBorders>
                  <w:noWrap w:val="0"/>
                  <w:vAlign w:val="center"/>
                </w:tcPr>
                <w:p w14:paraId="7D0D4330">
                  <w:pPr>
                    <w:pStyle w:val="28"/>
                    <w:bidi w:val="0"/>
                    <w:rPr>
                      <w:rFonts w:hint="default"/>
                      <w:color w:val="auto"/>
                      <w:lang w:val="en-US" w:eastAsia="zh-CN"/>
                    </w:rPr>
                  </w:pPr>
                  <w:r>
                    <w:rPr>
                      <w:rFonts w:hint="eastAsia"/>
                      <w:color w:val="auto"/>
                      <w:lang w:val="en-US" w:eastAsia="zh-CN"/>
                    </w:rPr>
                    <w:t>危险化学品仓库</w:t>
                  </w:r>
                </w:p>
              </w:tc>
              <w:tc>
                <w:tcPr>
                  <w:tcW w:w="1135" w:type="dxa"/>
                  <w:tcBorders>
                    <w:tl2br w:val="nil"/>
                    <w:tr2bl w:val="nil"/>
                  </w:tcBorders>
                  <w:noWrap w:val="0"/>
                  <w:vAlign w:val="center"/>
                </w:tcPr>
                <w:p w14:paraId="065C15A4">
                  <w:pPr>
                    <w:pStyle w:val="28"/>
                    <w:bidi w:val="0"/>
                    <w:rPr>
                      <w:rFonts w:hint="default"/>
                      <w:color w:val="auto"/>
                      <w:lang w:val="en-US" w:eastAsia="zh-CN"/>
                    </w:rPr>
                  </w:pPr>
                  <w:r>
                    <w:rPr>
                      <w:rFonts w:hint="eastAsia"/>
                      <w:color w:val="auto"/>
                      <w:lang w:val="en-US" w:eastAsia="zh-CN"/>
                    </w:rPr>
                    <w:t>100t</w:t>
                  </w:r>
                </w:p>
              </w:tc>
              <w:tc>
                <w:tcPr>
                  <w:tcW w:w="1136" w:type="dxa"/>
                  <w:tcBorders>
                    <w:tl2br w:val="nil"/>
                    <w:tr2bl w:val="nil"/>
                  </w:tcBorders>
                  <w:noWrap w:val="0"/>
                  <w:vAlign w:val="center"/>
                </w:tcPr>
                <w:p w14:paraId="581FB32A">
                  <w:pPr>
                    <w:pStyle w:val="28"/>
                    <w:bidi w:val="0"/>
                    <w:rPr>
                      <w:rFonts w:hint="default"/>
                      <w:color w:val="auto"/>
                      <w:lang w:val="en-US" w:eastAsia="zh-CN"/>
                    </w:rPr>
                  </w:pPr>
                  <w:r>
                    <w:rPr>
                      <w:rFonts w:hint="eastAsia"/>
                      <w:color w:val="auto"/>
                      <w:lang w:val="en-US" w:eastAsia="zh-CN"/>
                    </w:rPr>
                    <w:t>0.0032</w:t>
                  </w:r>
                </w:p>
              </w:tc>
            </w:tr>
            <w:tr w14:paraId="38BF21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5" w:type="dxa"/>
                  <w:tcBorders>
                    <w:tl2br w:val="nil"/>
                    <w:tr2bl w:val="nil"/>
                  </w:tcBorders>
                  <w:noWrap w:val="0"/>
                  <w:vAlign w:val="center"/>
                </w:tcPr>
                <w:p w14:paraId="03959A86">
                  <w:pPr>
                    <w:pStyle w:val="28"/>
                    <w:bidi w:val="0"/>
                    <w:rPr>
                      <w:rFonts w:hint="default"/>
                      <w:color w:val="auto"/>
                      <w:lang w:val="en-US" w:eastAsia="zh-CN"/>
                    </w:rPr>
                  </w:pPr>
                  <w:r>
                    <w:rPr>
                      <w:rFonts w:hint="eastAsia"/>
                      <w:color w:val="auto"/>
                      <w:lang w:val="en-US" w:eastAsia="zh-CN"/>
                    </w:rPr>
                    <w:t>6</w:t>
                  </w:r>
                </w:p>
              </w:tc>
              <w:tc>
                <w:tcPr>
                  <w:tcW w:w="1135" w:type="dxa"/>
                  <w:tcBorders>
                    <w:tl2br w:val="nil"/>
                    <w:tr2bl w:val="nil"/>
                  </w:tcBorders>
                  <w:noWrap w:val="0"/>
                  <w:vAlign w:val="center"/>
                </w:tcPr>
                <w:p w14:paraId="672C79AF">
                  <w:pPr>
                    <w:pStyle w:val="28"/>
                    <w:bidi w:val="0"/>
                    <w:rPr>
                      <w:rFonts w:hint="eastAsia"/>
                      <w:color w:val="auto"/>
                      <w:lang w:val="en-US" w:eastAsia="zh-CN"/>
                    </w:rPr>
                  </w:pPr>
                  <w:r>
                    <w:rPr>
                      <w:rFonts w:hint="eastAsia" w:ascii="Times New Roman" w:hAnsi="Times New Roman" w:eastAsia="宋体"/>
                      <w:color w:val="auto"/>
                      <w:sz w:val="21"/>
                      <w:szCs w:val="21"/>
                      <w:lang w:val="en-US" w:eastAsia="zh-CN"/>
                    </w:rPr>
                    <w:t>切削液</w:t>
                  </w:r>
                </w:p>
              </w:tc>
              <w:tc>
                <w:tcPr>
                  <w:tcW w:w="1135" w:type="dxa"/>
                  <w:tcBorders>
                    <w:tl2br w:val="nil"/>
                    <w:tr2bl w:val="nil"/>
                  </w:tcBorders>
                  <w:noWrap w:val="0"/>
                  <w:vAlign w:val="center"/>
                </w:tcPr>
                <w:p w14:paraId="4F503B7E">
                  <w:pPr>
                    <w:pStyle w:val="28"/>
                    <w:bidi w:val="0"/>
                    <w:rPr>
                      <w:rFonts w:hint="default"/>
                      <w:color w:val="auto"/>
                      <w:lang w:val="en-US" w:eastAsia="zh-CN"/>
                    </w:rPr>
                  </w:pPr>
                  <w:r>
                    <w:rPr>
                      <w:rFonts w:hint="eastAsia"/>
                      <w:color w:val="auto"/>
                      <w:lang w:val="en-US" w:eastAsia="zh-CN"/>
                    </w:rPr>
                    <w:t>/</w:t>
                  </w:r>
                </w:p>
              </w:tc>
              <w:tc>
                <w:tcPr>
                  <w:tcW w:w="1135" w:type="dxa"/>
                  <w:tcBorders>
                    <w:tl2br w:val="nil"/>
                    <w:tr2bl w:val="nil"/>
                  </w:tcBorders>
                  <w:noWrap w:val="0"/>
                  <w:vAlign w:val="center"/>
                </w:tcPr>
                <w:p w14:paraId="3DD102DC">
                  <w:pPr>
                    <w:pStyle w:val="28"/>
                    <w:bidi w:val="0"/>
                    <w:rPr>
                      <w:rFonts w:hint="default"/>
                      <w:color w:val="auto"/>
                      <w:lang w:val="en-US" w:eastAsia="zh-CN"/>
                    </w:rPr>
                  </w:pPr>
                  <w:r>
                    <w:rPr>
                      <w:rFonts w:hint="eastAsia"/>
                      <w:color w:val="auto"/>
                      <w:lang w:val="en-US" w:eastAsia="zh-CN"/>
                    </w:rPr>
                    <w:t>0.2t</w:t>
                  </w:r>
                </w:p>
              </w:tc>
              <w:tc>
                <w:tcPr>
                  <w:tcW w:w="1135" w:type="dxa"/>
                  <w:tcBorders>
                    <w:tl2br w:val="nil"/>
                    <w:tr2bl w:val="nil"/>
                  </w:tcBorders>
                  <w:noWrap w:val="0"/>
                  <w:vAlign w:val="center"/>
                </w:tcPr>
                <w:p w14:paraId="6F44C112">
                  <w:pPr>
                    <w:pStyle w:val="28"/>
                    <w:bidi w:val="0"/>
                    <w:rPr>
                      <w:rFonts w:hint="eastAsia"/>
                      <w:color w:val="auto"/>
                      <w:lang w:val="en-US" w:eastAsia="zh-CN"/>
                    </w:rPr>
                  </w:pPr>
                  <w:r>
                    <w:rPr>
                      <w:rFonts w:hint="eastAsia"/>
                      <w:color w:val="auto"/>
                      <w:lang w:val="en-US" w:eastAsia="zh-CN"/>
                    </w:rPr>
                    <w:t>危险化学品仓库</w:t>
                  </w:r>
                </w:p>
              </w:tc>
              <w:tc>
                <w:tcPr>
                  <w:tcW w:w="1135" w:type="dxa"/>
                  <w:tcBorders>
                    <w:tl2br w:val="nil"/>
                    <w:tr2bl w:val="nil"/>
                  </w:tcBorders>
                  <w:noWrap w:val="0"/>
                  <w:vAlign w:val="center"/>
                </w:tcPr>
                <w:p w14:paraId="0DD3C33D">
                  <w:pPr>
                    <w:pStyle w:val="28"/>
                    <w:bidi w:val="0"/>
                    <w:rPr>
                      <w:rFonts w:hint="default"/>
                      <w:color w:val="auto"/>
                      <w:lang w:val="en-US" w:eastAsia="zh-CN"/>
                    </w:rPr>
                  </w:pPr>
                  <w:r>
                    <w:rPr>
                      <w:rFonts w:hint="eastAsia"/>
                      <w:color w:val="auto"/>
                      <w:lang w:val="en-US" w:eastAsia="zh-CN"/>
                    </w:rPr>
                    <w:t>2500t</w:t>
                  </w:r>
                </w:p>
              </w:tc>
              <w:tc>
                <w:tcPr>
                  <w:tcW w:w="1136" w:type="dxa"/>
                  <w:tcBorders>
                    <w:tl2br w:val="nil"/>
                    <w:tr2bl w:val="nil"/>
                  </w:tcBorders>
                  <w:noWrap w:val="0"/>
                  <w:vAlign w:val="center"/>
                </w:tcPr>
                <w:p w14:paraId="24408E50">
                  <w:pPr>
                    <w:pStyle w:val="28"/>
                    <w:bidi w:val="0"/>
                    <w:rPr>
                      <w:rFonts w:hint="default"/>
                      <w:color w:val="auto"/>
                      <w:lang w:val="en-US" w:eastAsia="zh-CN"/>
                    </w:rPr>
                  </w:pPr>
                  <w:r>
                    <w:rPr>
                      <w:rFonts w:hint="eastAsia"/>
                      <w:color w:val="auto"/>
                      <w:lang w:val="en-US" w:eastAsia="zh-CN"/>
                    </w:rPr>
                    <w:t>0.00008</w:t>
                  </w:r>
                </w:p>
              </w:tc>
            </w:tr>
            <w:tr w14:paraId="6C9F43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5" w:type="dxa"/>
                  <w:tcBorders>
                    <w:tl2br w:val="nil"/>
                    <w:tr2bl w:val="nil"/>
                  </w:tcBorders>
                  <w:noWrap w:val="0"/>
                  <w:vAlign w:val="center"/>
                </w:tcPr>
                <w:p w14:paraId="54A846AD">
                  <w:pPr>
                    <w:pStyle w:val="28"/>
                    <w:bidi w:val="0"/>
                    <w:rPr>
                      <w:rFonts w:hint="default"/>
                      <w:color w:val="auto"/>
                      <w:lang w:val="en-US" w:eastAsia="zh-CN"/>
                    </w:rPr>
                  </w:pPr>
                  <w:r>
                    <w:rPr>
                      <w:rFonts w:hint="eastAsia"/>
                      <w:color w:val="auto"/>
                      <w:lang w:val="en-US" w:eastAsia="zh-CN"/>
                    </w:rPr>
                    <w:t>7</w:t>
                  </w:r>
                </w:p>
              </w:tc>
              <w:tc>
                <w:tcPr>
                  <w:tcW w:w="1135" w:type="dxa"/>
                  <w:tcBorders>
                    <w:tl2br w:val="nil"/>
                    <w:tr2bl w:val="nil"/>
                  </w:tcBorders>
                  <w:noWrap w:val="0"/>
                  <w:vAlign w:val="center"/>
                </w:tcPr>
                <w:p w14:paraId="58E69906">
                  <w:pPr>
                    <w:pStyle w:val="28"/>
                    <w:bidi w:val="0"/>
                    <w:rPr>
                      <w:rFonts w:hint="default"/>
                      <w:color w:val="auto"/>
                      <w:lang w:val="en-US" w:eastAsia="zh-CN"/>
                    </w:rPr>
                  </w:pPr>
                  <w:r>
                    <w:rPr>
                      <w:rFonts w:hint="eastAsia"/>
                      <w:color w:val="auto"/>
                      <w:lang w:val="en-US" w:eastAsia="zh-CN"/>
                    </w:rPr>
                    <w:t>危险废物</w:t>
                  </w:r>
                </w:p>
              </w:tc>
              <w:tc>
                <w:tcPr>
                  <w:tcW w:w="1135" w:type="dxa"/>
                  <w:tcBorders>
                    <w:tl2br w:val="nil"/>
                    <w:tr2bl w:val="nil"/>
                  </w:tcBorders>
                  <w:noWrap w:val="0"/>
                  <w:vAlign w:val="center"/>
                </w:tcPr>
                <w:p w14:paraId="1C2FF7CA">
                  <w:pPr>
                    <w:pStyle w:val="28"/>
                    <w:bidi w:val="0"/>
                    <w:rPr>
                      <w:rFonts w:hint="default"/>
                      <w:color w:val="auto"/>
                      <w:lang w:val="en-US" w:eastAsia="zh-CN"/>
                    </w:rPr>
                  </w:pPr>
                  <w:r>
                    <w:rPr>
                      <w:rFonts w:hint="eastAsia"/>
                      <w:color w:val="auto"/>
                      <w:lang w:val="en-US" w:eastAsia="zh-CN"/>
                    </w:rPr>
                    <w:t>/</w:t>
                  </w:r>
                </w:p>
              </w:tc>
              <w:tc>
                <w:tcPr>
                  <w:tcW w:w="1135" w:type="dxa"/>
                  <w:tcBorders>
                    <w:tl2br w:val="nil"/>
                    <w:tr2bl w:val="nil"/>
                  </w:tcBorders>
                  <w:noWrap w:val="0"/>
                  <w:vAlign w:val="center"/>
                </w:tcPr>
                <w:p w14:paraId="095C8944">
                  <w:pPr>
                    <w:pStyle w:val="28"/>
                    <w:bidi w:val="0"/>
                    <w:rPr>
                      <w:rFonts w:hint="default"/>
                      <w:color w:val="auto"/>
                      <w:lang w:val="en-US" w:eastAsia="zh-CN"/>
                    </w:rPr>
                  </w:pPr>
                  <w:r>
                    <w:rPr>
                      <w:rFonts w:hint="eastAsia"/>
                      <w:color w:val="auto"/>
                      <w:lang w:val="en-US" w:eastAsia="zh-CN"/>
                    </w:rPr>
                    <w:t>1.4536t</w:t>
                  </w:r>
                </w:p>
              </w:tc>
              <w:tc>
                <w:tcPr>
                  <w:tcW w:w="1135" w:type="dxa"/>
                  <w:tcBorders>
                    <w:tl2br w:val="nil"/>
                    <w:tr2bl w:val="nil"/>
                  </w:tcBorders>
                  <w:noWrap w:val="0"/>
                  <w:vAlign w:val="center"/>
                </w:tcPr>
                <w:p w14:paraId="711244B2">
                  <w:pPr>
                    <w:pStyle w:val="28"/>
                    <w:bidi w:val="0"/>
                    <w:rPr>
                      <w:rFonts w:hint="default"/>
                      <w:color w:val="auto"/>
                      <w:lang w:val="en-US" w:eastAsia="zh-CN"/>
                    </w:rPr>
                  </w:pPr>
                  <w:r>
                    <w:rPr>
                      <w:rFonts w:hint="eastAsia"/>
                      <w:color w:val="auto"/>
                      <w:lang w:val="en-US" w:eastAsia="zh-CN"/>
                    </w:rPr>
                    <w:t>危废贮存间</w:t>
                  </w:r>
                </w:p>
              </w:tc>
              <w:tc>
                <w:tcPr>
                  <w:tcW w:w="1135" w:type="dxa"/>
                  <w:tcBorders>
                    <w:tl2br w:val="nil"/>
                    <w:tr2bl w:val="nil"/>
                  </w:tcBorders>
                  <w:noWrap w:val="0"/>
                  <w:vAlign w:val="center"/>
                </w:tcPr>
                <w:p w14:paraId="24E3FC41">
                  <w:pPr>
                    <w:pStyle w:val="28"/>
                    <w:bidi w:val="0"/>
                    <w:rPr>
                      <w:rFonts w:hint="default"/>
                      <w:color w:val="auto"/>
                      <w:lang w:val="en-US" w:eastAsia="zh-CN"/>
                    </w:rPr>
                  </w:pPr>
                  <w:r>
                    <w:rPr>
                      <w:rFonts w:hint="eastAsia"/>
                      <w:color w:val="auto"/>
                      <w:lang w:val="en-US" w:eastAsia="zh-CN"/>
                    </w:rPr>
                    <w:t>50t</w:t>
                  </w:r>
                </w:p>
              </w:tc>
              <w:tc>
                <w:tcPr>
                  <w:tcW w:w="1136" w:type="dxa"/>
                  <w:tcBorders>
                    <w:tl2br w:val="nil"/>
                    <w:tr2bl w:val="nil"/>
                  </w:tcBorders>
                  <w:noWrap w:val="0"/>
                  <w:vAlign w:val="center"/>
                </w:tcPr>
                <w:p w14:paraId="331CEF4D">
                  <w:pPr>
                    <w:pStyle w:val="28"/>
                    <w:bidi w:val="0"/>
                    <w:rPr>
                      <w:rFonts w:hint="default"/>
                      <w:color w:val="auto"/>
                      <w:lang w:val="en-US" w:eastAsia="zh-CN"/>
                    </w:rPr>
                  </w:pPr>
                  <w:r>
                    <w:rPr>
                      <w:rFonts w:hint="eastAsia"/>
                      <w:color w:val="auto"/>
                      <w:lang w:val="en-US" w:eastAsia="zh-CN"/>
                    </w:rPr>
                    <w:t>0.029072</w:t>
                  </w:r>
                </w:p>
              </w:tc>
            </w:tr>
            <w:tr w14:paraId="1195F2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10" w:type="dxa"/>
                  <w:gridSpan w:val="6"/>
                  <w:tcBorders>
                    <w:tl2br w:val="nil"/>
                    <w:tr2bl w:val="nil"/>
                  </w:tcBorders>
                  <w:noWrap w:val="0"/>
                  <w:vAlign w:val="center"/>
                </w:tcPr>
                <w:p w14:paraId="2B4D6658">
                  <w:pPr>
                    <w:pStyle w:val="28"/>
                    <w:bidi w:val="0"/>
                    <w:rPr>
                      <w:rFonts w:hint="default"/>
                      <w:color w:val="auto"/>
                      <w:lang w:val="en-US" w:eastAsia="zh-CN"/>
                    </w:rPr>
                  </w:pPr>
                  <w:r>
                    <w:rPr>
                      <w:rFonts w:hint="eastAsia"/>
                      <w:color w:val="auto"/>
                      <w:lang w:val="en-US" w:eastAsia="zh-CN"/>
                    </w:rPr>
                    <w:t>总计</w:t>
                  </w:r>
                </w:p>
              </w:tc>
              <w:tc>
                <w:tcPr>
                  <w:tcW w:w="1136" w:type="dxa"/>
                  <w:tcBorders>
                    <w:tl2br w:val="nil"/>
                    <w:tr2bl w:val="nil"/>
                  </w:tcBorders>
                  <w:noWrap w:val="0"/>
                  <w:vAlign w:val="center"/>
                </w:tcPr>
                <w:p w14:paraId="44FD3943">
                  <w:pPr>
                    <w:pStyle w:val="28"/>
                    <w:bidi w:val="0"/>
                    <w:rPr>
                      <w:rFonts w:hint="default"/>
                      <w:color w:val="auto"/>
                      <w:lang w:val="en-US" w:eastAsia="zh-CN"/>
                    </w:rPr>
                  </w:pPr>
                  <w:r>
                    <w:rPr>
                      <w:rFonts w:hint="eastAsia"/>
                      <w:color w:val="auto"/>
                      <w:lang w:val="en-US" w:eastAsia="zh-CN"/>
                    </w:rPr>
                    <w:t>0.050952</w:t>
                  </w:r>
                </w:p>
              </w:tc>
            </w:tr>
          </w:tbl>
          <w:p w14:paraId="19251B91">
            <w:pPr>
              <w:pStyle w:val="2"/>
              <w:keepNext/>
              <w:keepLines w:val="0"/>
              <w:pageBreakBefore w:val="0"/>
              <w:widowControl w:val="0"/>
              <w:kinsoku/>
              <w:wordWrap/>
              <w:overflowPunct w:val="0"/>
              <w:topLinePunct w:val="0"/>
              <w:autoSpaceDE/>
              <w:autoSpaceDN/>
              <w:bidi w:val="0"/>
              <w:adjustRightInd/>
              <w:snapToGrid w:val="0"/>
              <w:spacing w:line="260" w:lineRule="auto"/>
              <w:ind w:left="0" w:firstLine="431"/>
              <w:textAlignment w:val="auto"/>
              <w:rPr>
                <w:rFonts w:hint="default"/>
                <w:color w:val="auto"/>
                <w:lang w:val="en-US" w:eastAsia="zh-CN"/>
              </w:rPr>
            </w:pPr>
            <w:bookmarkStart w:id="83" w:name="_Toc19857"/>
            <w:bookmarkStart w:id="84" w:name="_Toc7111"/>
            <w:bookmarkStart w:id="85" w:name="_Toc18959"/>
            <w:r>
              <w:rPr>
                <w:rFonts w:hint="eastAsia" w:ascii="Times New Roman" w:hAnsi="Times New Roman" w:eastAsia="宋体" w:cs="宋体"/>
                <w:color w:val="auto"/>
                <w:kern w:val="2"/>
                <w:sz w:val="24"/>
                <w:szCs w:val="24"/>
                <w:lang w:val="en-US" w:eastAsia="zh-CN" w:bidi="ar-SA"/>
              </w:rPr>
              <w:t>由表可知项目危险物质的临界量比值Q=0.050952＜1，项目环境风险潜势为</w:t>
            </w:r>
            <w:r>
              <w:rPr>
                <w:rFonts w:hint="default" w:ascii="Times New Roman" w:hAnsi="Times New Roman" w:eastAsia="宋体" w:cs="Times New Roman"/>
                <w:color w:val="auto"/>
                <w:kern w:val="2"/>
                <w:sz w:val="24"/>
                <w:szCs w:val="24"/>
                <w:lang w:val="en-US" w:eastAsia="zh-CN" w:bidi="ar-SA"/>
              </w:rPr>
              <w:t>Ⅰ</w:t>
            </w:r>
            <w:r>
              <w:rPr>
                <w:rFonts w:hint="eastAsia" w:ascii="Times New Roman" w:hAnsi="Times New Roman" w:eastAsia="宋体" w:cs="宋体"/>
                <w:color w:val="auto"/>
                <w:kern w:val="2"/>
                <w:sz w:val="24"/>
                <w:szCs w:val="24"/>
                <w:lang w:val="en-US" w:eastAsia="zh-CN" w:bidi="ar-SA"/>
              </w:rPr>
              <w:t>。</w:t>
            </w:r>
            <w:bookmarkEnd w:id="83"/>
            <w:bookmarkEnd w:id="84"/>
            <w:bookmarkEnd w:id="85"/>
          </w:p>
          <w:p w14:paraId="39574CFF">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86" w:name="_Toc3449"/>
            <w:r>
              <w:rPr>
                <w:rFonts w:hint="eastAsia" w:ascii="Times New Roman" w:hAnsi="Times New Roman" w:eastAsia="宋体" w:cs="Times New Roman"/>
                <w:b/>
                <w:color w:val="auto"/>
                <w:kern w:val="2"/>
                <w:sz w:val="24"/>
                <w:szCs w:val="24"/>
                <w:lang w:val="en-US" w:eastAsia="zh-CN" w:bidi="ar-SA"/>
              </w:rPr>
              <w:t>4.6.2环境风险潜势初判</w:t>
            </w:r>
            <w:bookmarkEnd w:id="86"/>
          </w:p>
          <w:tbl>
            <w:tblPr>
              <w:tblStyle w:val="1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57"/>
              <w:gridCol w:w="1186"/>
              <w:gridCol w:w="1257"/>
              <w:gridCol w:w="1257"/>
              <w:gridCol w:w="1257"/>
              <w:gridCol w:w="1257"/>
              <w:gridCol w:w="1272"/>
            </w:tblGrid>
            <w:tr w14:paraId="203440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32" w:hRule="atLeast"/>
              </w:trPr>
              <w:tc>
                <w:tcPr>
                  <w:tcW w:w="288" w:type="pct"/>
                  <w:tcBorders>
                    <w:tl2br w:val="nil"/>
                    <w:tr2bl w:val="nil"/>
                  </w:tcBorders>
                  <w:noWrap w:val="0"/>
                  <w:vAlign w:val="center"/>
                </w:tcPr>
                <w:p w14:paraId="6B3F0BA9">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b/>
                      <w:bCs/>
                      <w:color w:val="auto"/>
                      <w:sz w:val="21"/>
                      <w:szCs w:val="21"/>
                      <w:shd w:val="clear" w:color="auto" w:fill="auto"/>
                      <w:lang w:val="en-US" w:eastAsia="zh-CN"/>
                    </w:rPr>
                  </w:pPr>
                  <w:r>
                    <w:rPr>
                      <w:rFonts w:hint="eastAsia" w:ascii="Times New Roman" w:hAnsi="Times New Roman" w:eastAsia="宋体"/>
                      <w:b/>
                      <w:bCs/>
                      <w:color w:val="auto"/>
                      <w:sz w:val="21"/>
                      <w:szCs w:val="21"/>
                      <w:shd w:val="clear" w:color="auto" w:fill="auto"/>
                      <w:lang w:val="en-US" w:eastAsia="zh-CN"/>
                    </w:rPr>
                    <w:t>序号</w:t>
                  </w:r>
                </w:p>
              </w:tc>
              <w:tc>
                <w:tcPr>
                  <w:tcW w:w="747" w:type="pct"/>
                  <w:tcBorders>
                    <w:tl2br w:val="nil"/>
                    <w:tr2bl w:val="nil"/>
                  </w:tcBorders>
                  <w:noWrap w:val="0"/>
                  <w:vAlign w:val="center"/>
                </w:tcPr>
                <w:p w14:paraId="4D7C1185">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b/>
                      <w:bCs/>
                      <w:color w:val="auto"/>
                      <w:sz w:val="21"/>
                      <w:szCs w:val="21"/>
                      <w:shd w:val="clear" w:color="auto" w:fill="auto"/>
                      <w:lang w:val="en-US" w:eastAsia="zh-CN"/>
                    </w:rPr>
                  </w:pPr>
                  <w:r>
                    <w:rPr>
                      <w:rFonts w:hint="eastAsia" w:ascii="Times New Roman" w:hAnsi="Times New Roman" w:eastAsia="宋体"/>
                      <w:b/>
                      <w:bCs/>
                      <w:color w:val="auto"/>
                      <w:sz w:val="21"/>
                      <w:szCs w:val="21"/>
                      <w:shd w:val="clear" w:color="auto" w:fill="auto"/>
                      <w:lang w:val="en-US" w:eastAsia="zh-CN"/>
                    </w:rPr>
                    <w:t>原辅材料名称</w:t>
                  </w:r>
                </w:p>
              </w:tc>
              <w:tc>
                <w:tcPr>
                  <w:tcW w:w="791" w:type="pct"/>
                  <w:tcBorders>
                    <w:tl2br w:val="nil"/>
                    <w:tr2bl w:val="nil"/>
                  </w:tcBorders>
                  <w:noWrap w:val="0"/>
                  <w:vAlign w:val="center"/>
                </w:tcPr>
                <w:p w14:paraId="5F55BB7F">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b/>
                      <w:bCs/>
                      <w:color w:val="auto"/>
                      <w:sz w:val="21"/>
                      <w:szCs w:val="21"/>
                      <w:shd w:val="clear" w:color="auto" w:fill="auto"/>
                      <w:lang w:val="en-US" w:eastAsia="zh-CN"/>
                    </w:rPr>
                  </w:pPr>
                  <w:r>
                    <w:rPr>
                      <w:rFonts w:hint="eastAsia" w:ascii="Times New Roman" w:hAnsi="Times New Roman" w:eastAsia="宋体"/>
                      <w:b/>
                      <w:bCs/>
                      <w:color w:val="auto"/>
                      <w:sz w:val="21"/>
                      <w:szCs w:val="21"/>
                      <w:shd w:val="clear" w:color="auto" w:fill="auto"/>
                      <w:lang w:val="en-US" w:eastAsia="zh-CN"/>
                    </w:rPr>
                    <w:t>本项目设计</w:t>
                  </w:r>
                  <w:r>
                    <w:rPr>
                      <w:rFonts w:hint="eastAsia"/>
                      <w:b/>
                      <w:bCs/>
                      <w:color w:val="auto"/>
                      <w:sz w:val="21"/>
                      <w:szCs w:val="21"/>
                      <w:shd w:val="clear" w:color="auto" w:fill="auto"/>
                      <w:lang w:val="en-US" w:eastAsia="zh-CN"/>
                    </w:rPr>
                    <w:t>年</w:t>
                  </w:r>
                  <w:r>
                    <w:rPr>
                      <w:rFonts w:hint="eastAsia" w:ascii="Times New Roman" w:hAnsi="Times New Roman" w:eastAsia="宋体"/>
                      <w:b/>
                      <w:bCs/>
                      <w:color w:val="auto"/>
                      <w:sz w:val="21"/>
                      <w:szCs w:val="21"/>
                      <w:shd w:val="clear" w:color="auto" w:fill="auto"/>
                      <w:lang w:val="en-US" w:eastAsia="zh-CN"/>
                    </w:rPr>
                    <w:t>用量</w:t>
                  </w:r>
                </w:p>
              </w:tc>
              <w:tc>
                <w:tcPr>
                  <w:tcW w:w="791" w:type="pct"/>
                  <w:tcBorders>
                    <w:tl2br w:val="nil"/>
                    <w:tr2bl w:val="nil"/>
                  </w:tcBorders>
                  <w:noWrap w:val="0"/>
                  <w:vAlign w:val="center"/>
                </w:tcPr>
                <w:p w14:paraId="4BCFE03E">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s="Times New Roman"/>
                      <w:b/>
                      <w:bCs/>
                      <w:color w:val="auto"/>
                      <w:sz w:val="21"/>
                      <w:szCs w:val="21"/>
                      <w:shd w:val="clear" w:color="auto" w:fill="auto"/>
                      <w:lang w:val="en-US" w:eastAsia="zh-CN"/>
                    </w:rPr>
                  </w:pPr>
                  <w:r>
                    <w:rPr>
                      <w:rFonts w:hint="eastAsia" w:ascii="Times New Roman" w:hAnsi="Times New Roman" w:eastAsia="宋体" w:cs="Times New Roman"/>
                      <w:b/>
                      <w:bCs/>
                      <w:color w:val="auto"/>
                      <w:sz w:val="21"/>
                      <w:szCs w:val="21"/>
                      <w:shd w:val="clear" w:color="auto" w:fill="auto"/>
                      <w:lang w:val="en-US" w:eastAsia="zh-CN"/>
                    </w:rPr>
                    <w:t>原辅材料来源</w:t>
                  </w:r>
                </w:p>
              </w:tc>
              <w:tc>
                <w:tcPr>
                  <w:tcW w:w="791" w:type="pct"/>
                  <w:tcBorders>
                    <w:tl2br w:val="nil"/>
                    <w:tr2bl w:val="nil"/>
                  </w:tcBorders>
                  <w:noWrap w:val="0"/>
                  <w:vAlign w:val="center"/>
                </w:tcPr>
                <w:p w14:paraId="642C34DA">
                  <w:pPr>
                    <w:pStyle w:val="28"/>
                    <w:keepNext w:val="0"/>
                    <w:keepLines w:val="0"/>
                    <w:pageBreakBefore w:val="0"/>
                    <w:kinsoku/>
                    <w:wordWrap/>
                    <w:overflowPunct/>
                    <w:topLinePunct w:val="0"/>
                    <w:autoSpaceDE/>
                    <w:autoSpaceDN/>
                    <w:bidi w:val="0"/>
                    <w:spacing w:before="0" w:beforeLines="0" w:after="0" w:afterLines="0"/>
                    <w:jc w:val="center"/>
                    <w:rPr>
                      <w:rFonts w:hint="eastAsia" w:ascii="Times New Roman" w:hAnsi="Times New Roman" w:eastAsia="宋体" w:cs="Times New Roman"/>
                      <w:b/>
                      <w:bCs/>
                      <w:color w:val="auto"/>
                      <w:sz w:val="21"/>
                      <w:szCs w:val="21"/>
                      <w:shd w:val="clear" w:color="auto" w:fill="auto"/>
                      <w:lang w:val="en-US" w:eastAsia="zh-CN"/>
                    </w:rPr>
                  </w:pPr>
                  <w:r>
                    <w:rPr>
                      <w:rFonts w:hint="eastAsia" w:ascii="Times New Roman" w:hAnsi="Times New Roman" w:eastAsia="宋体" w:cs="Times New Roman"/>
                      <w:b/>
                      <w:bCs/>
                      <w:color w:val="auto"/>
                      <w:sz w:val="21"/>
                      <w:szCs w:val="21"/>
                      <w:shd w:val="clear" w:color="auto" w:fill="auto"/>
                      <w:lang w:val="en-US" w:eastAsia="zh-CN"/>
                    </w:rPr>
                    <w:t>最大储存量</w:t>
                  </w:r>
                </w:p>
              </w:tc>
              <w:tc>
                <w:tcPr>
                  <w:tcW w:w="791" w:type="pct"/>
                  <w:tcBorders>
                    <w:tl2br w:val="nil"/>
                    <w:tr2bl w:val="nil"/>
                  </w:tcBorders>
                  <w:noWrap w:val="0"/>
                  <w:vAlign w:val="center"/>
                </w:tcPr>
                <w:p w14:paraId="43AEF81C">
                  <w:pPr>
                    <w:pStyle w:val="28"/>
                    <w:keepNext w:val="0"/>
                    <w:keepLines w:val="0"/>
                    <w:pageBreakBefore w:val="0"/>
                    <w:kinsoku/>
                    <w:wordWrap/>
                    <w:overflowPunct/>
                    <w:topLinePunct w:val="0"/>
                    <w:autoSpaceDE/>
                    <w:autoSpaceDN/>
                    <w:bidi w:val="0"/>
                    <w:spacing w:before="0" w:beforeLines="0" w:after="0" w:afterLines="0"/>
                    <w:jc w:val="center"/>
                    <w:rPr>
                      <w:rFonts w:hint="eastAsia" w:ascii="Times New Roman" w:hAnsi="Times New Roman" w:eastAsia="宋体" w:cs="Times New Roman"/>
                      <w:b/>
                      <w:bCs/>
                      <w:color w:val="auto"/>
                      <w:sz w:val="21"/>
                      <w:szCs w:val="21"/>
                      <w:shd w:val="clear" w:color="auto" w:fill="auto"/>
                      <w:lang w:val="en-US" w:eastAsia="zh-CN"/>
                    </w:rPr>
                  </w:pPr>
                  <w:r>
                    <w:rPr>
                      <w:rFonts w:hint="eastAsia" w:ascii="Times New Roman" w:hAnsi="Times New Roman" w:eastAsia="宋体" w:cs="Times New Roman"/>
                      <w:b/>
                      <w:bCs/>
                      <w:color w:val="auto"/>
                      <w:sz w:val="21"/>
                      <w:szCs w:val="21"/>
                      <w:shd w:val="clear" w:color="auto" w:fill="auto"/>
                      <w:lang w:val="en-US" w:eastAsia="zh-CN"/>
                    </w:rPr>
                    <w:t>储存形态</w:t>
                  </w:r>
                </w:p>
              </w:tc>
              <w:tc>
                <w:tcPr>
                  <w:tcW w:w="797" w:type="pct"/>
                  <w:tcBorders>
                    <w:tl2br w:val="nil"/>
                    <w:tr2bl w:val="nil"/>
                  </w:tcBorders>
                  <w:noWrap w:val="0"/>
                  <w:vAlign w:val="center"/>
                </w:tcPr>
                <w:p w14:paraId="294FE0A7">
                  <w:pPr>
                    <w:pStyle w:val="28"/>
                    <w:keepNext w:val="0"/>
                    <w:keepLines w:val="0"/>
                    <w:pageBreakBefore w:val="0"/>
                    <w:kinsoku/>
                    <w:wordWrap/>
                    <w:overflowPunct/>
                    <w:topLinePunct w:val="0"/>
                    <w:autoSpaceDE/>
                    <w:autoSpaceDN/>
                    <w:bidi w:val="0"/>
                    <w:spacing w:before="0" w:beforeLines="0" w:after="0" w:afterLines="0"/>
                    <w:jc w:val="center"/>
                    <w:rPr>
                      <w:rFonts w:hint="eastAsia" w:ascii="Times New Roman" w:hAnsi="Times New Roman" w:eastAsia="宋体" w:cs="Times New Roman"/>
                      <w:b/>
                      <w:bCs/>
                      <w:color w:val="auto"/>
                      <w:sz w:val="21"/>
                      <w:szCs w:val="21"/>
                      <w:shd w:val="clear" w:color="auto" w:fill="auto"/>
                      <w:lang w:val="en-US" w:eastAsia="zh-CN"/>
                    </w:rPr>
                  </w:pPr>
                  <w:r>
                    <w:rPr>
                      <w:rFonts w:hint="eastAsia" w:ascii="Times New Roman" w:hAnsi="Times New Roman" w:eastAsia="宋体" w:cs="Times New Roman"/>
                      <w:b/>
                      <w:bCs/>
                      <w:color w:val="auto"/>
                      <w:sz w:val="21"/>
                      <w:szCs w:val="21"/>
                      <w:shd w:val="clear" w:color="auto" w:fill="auto"/>
                      <w:lang w:val="en-US" w:eastAsia="zh-CN"/>
                    </w:rPr>
                    <w:t>贮存位置</w:t>
                  </w:r>
                </w:p>
              </w:tc>
            </w:tr>
            <w:tr w14:paraId="1ED837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88" w:type="pct"/>
                  <w:tcBorders>
                    <w:tl2br w:val="nil"/>
                    <w:tr2bl w:val="nil"/>
                  </w:tcBorders>
                  <w:noWrap w:val="0"/>
                  <w:vAlign w:val="center"/>
                </w:tcPr>
                <w:p w14:paraId="14FEF7D7">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r>
                    <w:rPr>
                      <w:rFonts w:hint="eastAsia" w:ascii="Times New Roman" w:hAnsi="Times New Roman" w:eastAsia="宋体"/>
                      <w:color w:val="auto"/>
                      <w:sz w:val="21"/>
                      <w:szCs w:val="21"/>
                      <w:shd w:val="clear" w:color="auto" w:fill="auto"/>
                      <w:lang w:val="en-US" w:eastAsia="zh-CN"/>
                    </w:rPr>
                    <w:t>1</w:t>
                  </w:r>
                </w:p>
              </w:tc>
              <w:tc>
                <w:tcPr>
                  <w:tcW w:w="1248" w:type="dxa"/>
                  <w:tcBorders>
                    <w:tl2br w:val="nil"/>
                    <w:tr2bl w:val="nil"/>
                  </w:tcBorders>
                  <w:noWrap w:val="0"/>
                  <w:vAlign w:val="center"/>
                </w:tcPr>
                <w:p w14:paraId="416D067A">
                  <w:pPr>
                    <w:pStyle w:val="28"/>
                    <w:bidi w:val="0"/>
                    <w:snapToGrid w:val="0"/>
                    <w:ind w:left="0" w:leftChars="0" w:right="0" w:rightChars="0" w:firstLine="0" w:firstLineChars="0"/>
                    <w:jc w:val="center"/>
                    <w:rPr>
                      <w:rFonts w:hint="default" w:ascii="Times New Roman" w:hAnsi="Times New Roman" w:eastAsia="宋体"/>
                      <w:color w:val="auto"/>
                      <w:sz w:val="21"/>
                      <w:szCs w:val="21"/>
                      <w:shd w:val="clear" w:color="auto" w:fill="auto"/>
                      <w:lang w:val="en-US" w:eastAsia="zh-CN"/>
                    </w:rPr>
                  </w:pPr>
                  <w:r>
                    <w:rPr>
                      <w:rFonts w:hint="eastAsia"/>
                      <w:color w:val="auto"/>
                    </w:rPr>
                    <w:t>碳酸钡</w:t>
                  </w:r>
                  <w:r>
                    <w:rPr>
                      <w:rFonts w:hint="default"/>
                      <w:color w:val="auto"/>
                    </w:rPr>
                    <w:t>（BaCO</w:t>
                  </w:r>
                  <w:r>
                    <w:rPr>
                      <w:rFonts w:hint="eastAsia"/>
                      <w:color w:val="auto"/>
                      <w:vertAlign w:val="subscript"/>
                      <w:lang w:eastAsia="zh-CN"/>
                    </w:rPr>
                    <w:t>3</w:t>
                  </w:r>
                  <w:r>
                    <w:rPr>
                      <w:rFonts w:hint="default"/>
                      <w:color w:val="auto"/>
                    </w:rPr>
                    <w:t>）</w:t>
                  </w:r>
                </w:p>
              </w:tc>
              <w:tc>
                <w:tcPr>
                  <w:tcW w:w="1322" w:type="dxa"/>
                  <w:tcBorders>
                    <w:tl2br w:val="nil"/>
                    <w:tr2bl w:val="nil"/>
                  </w:tcBorders>
                  <w:noWrap w:val="0"/>
                  <w:vAlign w:val="center"/>
                </w:tcPr>
                <w:p w14:paraId="2685DFEE">
                  <w:pPr>
                    <w:pStyle w:val="28"/>
                    <w:bidi w:val="0"/>
                    <w:snapToGrid w:val="0"/>
                    <w:ind w:left="0" w:leftChars="0" w:right="0" w:rightChars="0"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olor w:val="auto"/>
                    </w:rPr>
                    <w:t>30kg</w:t>
                  </w:r>
                </w:p>
              </w:tc>
              <w:tc>
                <w:tcPr>
                  <w:tcW w:w="1290" w:type="dxa"/>
                  <w:tcBorders>
                    <w:tl2br w:val="nil"/>
                    <w:tr2bl w:val="nil"/>
                  </w:tcBorders>
                  <w:noWrap w:val="0"/>
                  <w:vAlign w:val="center"/>
                </w:tcPr>
                <w:p w14:paraId="3D64558D">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外购工业合格品</w:t>
                  </w:r>
                </w:p>
              </w:tc>
              <w:tc>
                <w:tcPr>
                  <w:tcW w:w="1290" w:type="dxa"/>
                  <w:tcBorders>
                    <w:tl2br w:val="nil"/>
                    <w:tr2bl w:val="nil"/>
                  </w:tcBorders>
                  <w:noWrap w:val="0"/>
                  <w:vAlign w:val="center"/>
                </w:tcPr>
                <w:p w14:paraId="0A7A2AFD">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30kg</w:t>
                  </w:r>
                </w:p>
              </w:tc>
              <w:tc>
                <w:tcPr>
                  <w:tcW w:w="1290" w:type="dxa"/>
                  <w:tcBorders>
                    <w:tl2br w:val="nil"/>
                    <w:tr2bl w:val="nil"/>
                  </w:tcBorders>
                  <w:noWrap w:val="0"/>
                  <w:vAlign w:val="center"/>
                </w:tcPr>
                <w:p w14:paraId="502C4686">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白色固体粉末</w:t>
                  </w:r>
                </w:p>
              </w:tc>
              <w:tc>
                <w:tcPr>
                  <w:tcW w:w="1306" w:type="dxa"/>
                  <w:tcBorders>
                    <w:tl2br w:val="nil"/>
                    <w:tr2bl w:val="nil"/>
                  </w:tcBorders>
                  <w:noWrap w:val="0"/>
                  <w:vAlign w:val="center"/>
                </w:tcPr>
                <w:p w14:paraId="39740881">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原料粉体干燥仓库（防尘防潮区）</w:t>
                  </w:r>
                </w:p>
              </w:tc>
            </w:tr>
            <w:tr w14:paraId="6D3C3A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88" w:type="pct"/>
                  <w:tcBorders>
                    <w:tl2br w:val="nil"/>
                    <w:tr2bl w:val="nil"/>
                  </w:tcBorders>
                  <w:noWrap w:val="0"/>
                  <w:vAlign w:val="center"/>
                </w:tcPr>
                <w:p w14:paraId="79882E88">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r>
                    <w:rPr>
                      <w:rFonts w:hint="eastAsia" w:ascii="Times New Roman" w:hAnsi="Times New Roman" w:eastAsia="宋体"/>
                      <w:color w:val="auto"/>
                      <w:sz w:val="21"/>
                      <w:szCs w:val="21"/>
                      <w:shd w:val="clear" w:color="auto" w:fill="auto"/>
                      <w:lang w:val="en-US" w:eastAsia="zh-CN"/>
                    </w:rPr>
                    <w:t>2</w:t>
                  </w:r>
                </w:p>
              </w:tc>
              <w:tc>
                <w:tcPr>
                  <w:tcW w:w="1248" w:type="dxa"/>
                  <w:tcBorders>
                    <w:tl2br w:val="nil"/>
                    <w:tr2bl w:val="nil"/>
                  </w:tcBorders>
                  <w:noWrap w:val="0"/>
                  <w:vAlign w:val="center"/>
                </w:tcPr>
                <w:p w14:paraId="11EB770C">
                  <w:pPr>
                    <w:pStyle w:val="28"/>
                    <w:bidi w:val="0"/>
                    <w:snapToGrid w:val="0"/>
                    <w:ind w:left="0" w:leftChars="0" w:right="0" w:rightChars="0" w:firstLine="0" w:firstLineChars="0"/>
                    <w:jc w:val="center"/>
                    <w:rPr>
                      <w:rFonts w:hint="default" w:ascii="Times New Roman" w:hAnsi="Times New Roman" w:eastAsia="宋体"/>
                      <w:color w:val="auto"/>
                      <w:sz w:val="21"/>
                      <w:szCs w:val="21"/>
                      <w:shd w:val="clear" w:color="auto" w:fill="auto"/>
                      <w:lang w:val="en-US" w:eastAsia="zh-CN"/>
                    </w:rPr>
                  </w:pPr>
                  <w:r>
                    <w:rPr>
                      <w:rFonts w:hint="eastAsia"/>
                      <w:color w:val="auto"/>
                      <w:lang w:val="en-US" w:eastAsia="zh-CN"/>
                    </w:rPr>
                    <w:t>抛光粉</w:t>
                  </w:r>
                </w:p>
              </w:tc>
              <w:tc>
                <w:tcPr>
                  <w:tcW w:w="1322" w:type="dxa"/>
                  <w:tcBorders>
                    <w:tl2br w:val="nil"/>
                    <w:tr2bl w:val="nil"/>
                  </w:tcBorders>
                  <w:noWrap w:val="0"/>
                  <w:vAlign w:val="center"/>
                </w:tcPr>
                <w:p w14:paraId="38F38C4F">
                  <w:pPr>
                    <w:pStyle w:val="28"/>
                    <w:bidi w:val="0"/>
                    <w:snapToGrid w:val="0"/>
                    <w:ind w:left="0" w:leftChars="0" w:right="0" w:rightChars="0"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eastAsia="宋体"/>
                      <w:color w:val="auto"/>
                      <w:lang w:val="en-US" w:eastAsia="zh-CN"/>
                    </w:rPr>
                    <w:t>3.0t</w:t>
                  </w:r>
                </w:p>
              </w:tc>
              <w:tc>
                <w:tcPr>
                  <w:tcW w:w="1290" w:type="dxa"/>
                  <w:tcBorders>
                    <w:tl2br w:val="nil"/>
                    <w:tr2bl w:val="nil"/>
                  </w:tcBorders>
                  <w:noWrap w:val="0"/>
                  <w:vAlign w:val="center"/>
                </w:tcPr>
                <w:p w14:paraId="7BFEF9AF">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外购成品抛光粉体</w:t>
                  </w:r>
                </w:p>
              </w:tc>
              <w:tc>
                <w:tcPr>
                  <w:tcW w:w="1290" w:type="dxa"/>
                  <w:tcBorders>
                    <w:tl2br w:val="nil"/>
                    <w:tr2bl w:val="nil"/>
                  </w:tcBorders>
                  <w:noWrap w:val="0"/>
                  <w:vAlign w:val="center"/>
                </w:tcPr>
                <w:p w14:paraId="04F1A6A0">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3.0t</w:t>
                  </w:r>
                </w:p>
              </w:tc>
              <w:tc>
                <w:tcPr>
                  <w:tcW w:w="1290" w:type="dxa"/>
                  <w:tcBorders>
                    <w:tl2br w:val="nil"/>
                    <w:tr2bl w:val="nil"/>
                  </w:tcBorders>
                  <w:noWrap w:val="0"/>
                  <w:vAlign w:val="center"/>
                </w:tcPr>
                <w:p w14:paraId="2FDEBAA1">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超细固体粉末</w:t>
                  </w:r>
                </w:p>
              </w:tc>
              <w:tc>
                <w:tcPr>
                  <w:tcW w:w="1306" w:type="dxa"/>
                  <w:tcBorders>
                    <w:tl2br w:val="nil"/>
                    <w:tr2bl w:val="nil"/>
                  </w:tcBorders>
                  <w:noWrap w:val="0"/>
                  <w:vAlign w:val="center"/>
                </w:tcPr>
                <w:p w14:paraId="6A044E1E">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原料粉体干燥仓库（防尘防潮区）</w:t>
                  </w:r>
                </w:p>
              </w:tc>
            </w:tr>
            <w:tr w14:paraId="37A60F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88" w:type="pct"/>
                  <w:tcBorders>
                    <w:tl2br w:val="nil"/>
                    <w:tr2bl w:val="nil"/>
                  </w:tcBorders>
                  <w:noWrap w:val="0"/>
                  <w:vAlign w:val="center"/>
                </w:tcPr>
                <w:p w14:paraId="520942A1">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r>
                    <w:rPr>
                      <w:rFonts w:hint="eastAsia" w:ascii="Times New Roman" w:hAnsi="Times New Roman" w:eastAsia="宋体"/>
                      <w:color w:val="auto"/>
                      <w:sz w:val="21"/>
                      <w:szCs w:val="21"/>
                      <w:shd w:val="clear" w:color="auto" w:fill="auto"/>
                      <w:lang w:val="en-US" w:eastAsia="zh-CN"/>
                    </w:rPr>
                    <w:t>3</w:t>
                  </w:r>
                </w:p>
              </w:tc>
              <w:tc>
                <w:tcPr>
                  <w:tcW w:w="1248" w:type="dxa"/>
                  <w:tcBorders>
                    <w:tl2br w:val="nil"/>
                    <w:tr2bl w:val="nil"/>
                  </w:tcBorders>
                  <w:noWrap w:val="0"/>
                  <w:vAlign w:val="center"/>
                </w:tcPr>
                <w:p w14:paraId="0A7253B8">
                  <w:pPr>
                    <w:pStyle w:val="28"/>
                    <w:bidi w:val="0"/>
                    <w:snapToGrid w:val="0"/>
                    <w:ind w:left="0" w:leftChars="0" w:right="0" w:rightChars="0" w:firstLine="0" w:firstLineChars="0"/>
                    <w:jc w:val="center"/>
                    <w:rPr>
                      <w:rFonts w:hint="eastAsia" w:ascii="Times New Roman" w:hAnsi="Times New Roman" w:eastAsia="宋体" w:cs="Times New Roman"/>
                      <w:color w:val="auto"/>
                      <w:sz w:val="21"/>
                      <w:szCs w:val="21"/>
                      <w:shd w:val="clear" w:color="auto" w:fill="auto"/>
                      <w:lang w:val="en-US" w:eastAsia="zh-CN"/>
                    </w:rPr>
                  </w:pPr>
                  <w:r>
                    <w:rPr>
                      <w:rFonts w:hint="eastAsia"/>
                      <w:color w:val="auto"/>
                    </w:rPr>
                    <w:t>偏钒酸铵</w:t>
                  </w:r>
                  <w:r>
                    <w:rPr>
                      <w:rFonts w:hint="eastAsia"/>
                      <w:color w:val="auto"/>
                      <w:lang w:eastAsia="zh-CN"/>
                    </w:rPr>
                    <w:t>（</w:t>
                  </w:r>
                  <w:r>
                    <w:rPr>
                      <w:rFonts w:hint="eastAsia"/>
                      <w:color w:val="auto"/>
                      <w:lang w:val="en-US" w:eastAsia="zh-CN"/>
                    </w:rPr>
                    <w:t>NH</w:t>
                  </w:r>
                  <w:r>
                    <w:rPr>
                      <w:rFonts w:hint="eastAsia"/>
                      <w:color w:val="auto"/>
                      <w:vertAlign w:val="subscript"/>
                      <w:lang w:val="en-US" w:eastAsia="zh-CN"/>
                    </w:rPr>
                    <w:t>4</w:t>
                  </w:r>
                  <w:r>
                    <w:rPr>
                      <w:rFonts w:hint="eastAsia"/>
                      <w:color w:val="auto"/>
                      <w:lang w:val="en-US" w:eastAsia="zh-CN"/>
                    </w:rPr>
                    <w:t>VO</w:t>
                  </w:r>
                  <w:r>
                    <w:rPr>
                      <w:rFonts w:hint="eastAsia"/>
                      <w:color w:val="auto"/>
                      <w:vertAlign w:val="subscript"/>
                      <w:lang w:val="en-US" w:eastAsia="zh-CN"/>
                    </w:rPr>
                    <w:t>3</w:t>
                  </w:r>
                  <w:r>
                    <w:rPr>
                      <w:rFonts w:hint="eastAsia"/>
                      <w:color w:val="auto"/>
                      <w:lang w:eastAsia="zh-CN"/>
                    </w:rPr>
                    <w:t>）</w:t>
                  </w:r>
                </w:p>
              </w:tc>
              <w:tc>
                <w:tcPr>
                  <w:tcW w:w="1322" w:type="dxa"/>
                  <w:tcBorders>
                    <w:tl2br w:val="nil"/>
                    <w:tr2bl w:val="nil"/>
                  </w:tcBorders>
                  <w:noWrap w:val="0"/>
                  <w:vAlign w:val="center"/>
                </w:tcPr>
                <w:p w14:paraId="629163F2">
                  <w:pPr>
                    <w:pStyle w:val="28"/>
                    <w:bidi w:val="0"/>
                    <w:snapToGrid w:val="0"/>
                    <w:ind w:left="0" w:leftChars="0" w:right="0" w:rightChars="0"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olor w:val="auto"/>
                    </w:rPr>
                    <w:t>30t</w:t>
                  </w:r>
                </w:p>
              </w:tc>
              <w:tc>
                <w:tcPr>
                  <w:tcW w:w="1290" w:type="dxa"/>
                  <w:tcBorders>
                    <w:tl2br w:val="nil"/>
                    <w:tr2bl w:val="nil"/>
                  </w:tcBorders>
                  <w:noWrap w:val="0"/>
                  <w:vAlign w:val="center"/>
                </w:tcPr>
                <w:p w14:paraId="6C9EFE7E">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工业化工原料厂商外购</w:t>
                  </w:r>
                </w:p>
              </w:tc>
              <w:tc>
                <w:tcPr>
                  <w:tcW w:w="1290" w:type="dxa"/>
                  <w:tcBorders>
                    <w:tl2br w:val="nil"/>
                    <w:tr2bl w:val="nil"/>
                  </w:tcBorders>
                  <w:noWrap w:val="0"/>
                  <w:vAlign w:val="center"/>
                </w:tcPr>
                <w:p w14:paraId="5A978FED">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2.5t</w:t>
                  </w:r>
                </w:p>
              </w:tc>
              <w:tc>
                <w:tcPr>
                  <w:tcW w:w="1290" w:type="dxa"/>
                  <w:tcBorders>
                    <w:tl2br w:val="nil"/>
                    <w:tr2bl w:val="nil"/>
                  </w:tcBorders>
                  <w:noWrap w:val="0"/>
                  <w:vAlign w:val="center"/>
                </w:tcPr>
                <w:p w14:paraId="53DA814A">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淡黄色结晶粉末</w:t>
                  </w:r>
                </w:p>
              </w:tc>
              <w:tc>
                <w:tcPr>
                  <w:tcW w:w="1306" w:type="dxa"/>
                  <w:tcBorders>
                    <w:tl2br w:val="nil"/>
                    <w:tr2bl w:val="nil"/>
                  </w:tcBorders>
                  <w:noWrap w:val="0"/>
                  <w:vAlign w:val="center"/>
                </w:tcPr>
                <w:p w14:paraId="665D0A70">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粉体专用干燥密闭库房</w:t>
                  </w:r>
                </w:p>
              </w:tc>
            </w:tr>
            <w:tr w14:paraId="213EF4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88" w:type="pct"/>
                  <w:tcBorders>
                    <w:tl2br w:val="nil"/>
                    <w:tr2bl w:val="nil"/>
                  </w:tcBorders>
                  <w:noWrap w:val="0"/>
                  <w:vAlign w:val="center"/>
                </w:tcPr>
                <w:p w14:paraId="5CA533FC">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r>
                    <w:rPr>
                      <w:rFonts w:hint="eastAsia" w:ascii="Times New Roman" w:hAnsi="Times New Roman" w:eastAsia="宋体"/>
                      <w:color w:val="auto"/>
                      <w:sz w:val="21"/>
                      <w:szCs w:val="21"/>
                      <w:shd w:val="clear" w:color="auto" w:fill="auto"/>
                      <w:lang w:val="en-US" w:eastAsia="zh-CN"/>
                    </w:rPr>
                    <w:t>4</w:t>
                  </w:r>
                </w:p>
              </w:tc>
              <w:tc>
                <w:tcPr>
                  <w:tcW w:w="1248" w:type="dxa"/>
                  <w:tcBorders>
                    <w:tl2br w:val="nil"/>
                    <w:tr2bl w:val="nil"/>
                  </w:tcBorders>
                  <w:noWrap w:val="0"/>
                  <w:vAlign w:val="center"/>
                </w:tcPr>
                <w:p w14:paraId="071A200F">
                  <w:pPr>
                    <w:pStyle w:val="28"/>
                    <w:bidi w:val="0"/>
                    <w:snapToGrid w:val="0"/>
                    <w:ind w:left="0" w:leftChars="0" w:right="0" w:rightChars="0"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olor w:val="auto"/>
                    </w:rPr>
                    <w:t>氧化钇</w:t>
                  </w:r>
                  <w:r>
                    <w:rPr>
                      <w:rFonts w:hint="default"/>
                      <w:color w:val="auto"/>
                    </w:rPr>
                    <w:t>（Y</w:t>
                  </w:r>
                  <w:r>
                    <w:rPr>
                      <w:rFonts w:hint="eastAsia"/>
                      <w:color w:val="auto"/>
                      <w:vertAlign w:val="subscript"/>
                      <w:lang w:eastAsia="zh-CN"/>
                    </w:rPr>
                    <w:t>2</w:t>
                  </w:r>
                  <w:r>
                    <w:rPr>
                      <w:rFonts w:hint="default"/>
                      <w:color w:val="auto"/>
                    </w:rPr>
                    <w:t>O</w:t>
                  </w:r>
                  <w:r>
                    <w:rPr>
                      <w:rFonts w:hint="eastAsia"/>
                      <w:color w:val="auto"/>
                      <w:vertAlign w:val="subscript"/>
                      <w:lang w:eastAsia="zh-CN"/>
                    </w:rPr>
                    <w:t>3</w:t>
                  </w:r>
                  <w:r>
                    <w:rPr>
                      <w:rFonts w:hint="default"/>
                      <w:color w:val="auto"/>
                    </w:rPr>
                    <w:t>）</w:t>
                  </w:r>
                </w:p>
              </w:tc>
              <w:tc>
                <w:tcPr>
                  <w:tcW w:w="1322" w:type="dxa"/>
                  <w:tcBorders>
                    <w:tl2br w:val="nil"/>
                    <w:tr2bl w:val="nil"/>
                  </w:tcBorders>
                  <w:noWrap w:val="0"/>
                  <w:vAlign w:val="center"/>
                </w:tcPr>
                <w:p w14:paraId="1119B844">
                  <w:pPr>
                    <w:pStyle w:val="28"/>
                    <w:bidi w:val="0"/>
                    <w:snapToGrid w:val="0"/>
                    <w:ind w:left="0" w:leftChars="0" w:right="0" w:rightChars="0"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olor w:val="auto"/>
                    </w:rPr>
                    <w:t>30t</w:t>
                  </w:r>
                </w:p>
              </w:tc>
              <w:tc>
                <w:tcPr>
                  <w:tcW w:w="1290" w:type="dxa"/>
                  <w:tcBorders>
                    <w:tl2br w:val="nil"/>
                    <w:tr2bl w:val="nil"/>
                  </w:tcBorders>
                  <w:noWrap w:val="0"/>
                  <w:vAlign w:val="center"/>
                </w:tcPr>
                <w:p w14:paraId="121066AF">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稀土原料供应商外购</w:t>
                  </w:r>
                </w:p>
              </w:tc>
              <w:tc>
                <w:tcPr>
                  <w:tcW w:w="1290" w:type="dxa"/>
                  <w:tcBorders>
                    <w:tl2br w:val="nil"/>
                    <w:tr2bl w:val="nil"/>
                  </w:tcBorders>
                  <w:noWrap w:val="0"/>
                  <w:vAlign w:val="center"/>
                </w:tcPr>
                <w:p w14:paraId="271FAF21">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2.5t</w:t>
                  </w:r>
                </w:p>
              </w:tc>
              <w:tc>
                <w:tcPr>
                  <w:tcW w:w="1290" w:type="dxa"/>
                  <w:tcBorders>
                    <w:tl2br w:val="nil"/>
                    <w:tr2bl w:val="nil"/>
                  </w:tcBorders>
                  <w:noWrap w:val="0"/>
                  <w:vAlign w:val="center"/>
                </w:tcPr>
                <w:p w14:paraId="2DD62600">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白色稀土粉末</w:t>
                  </w:r>
                </w:p>
              </w:tc>
              <w:tc>
                <w:tcPr>
                  <w:tcW w:w="1306" w:type="dxa"/>
                  <w:tcBorders>
                    <w:tl2br w:val="nil"/>
                    <w:tr2bl w:val="nil"/>
                  </w:tcBorders>
                  <w:noWrap w:val="0"/>
                  <w:vAlign w:val="center"/>
                </w:tcPr>
                <w:p w14:paraId="2C9BECDF">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粉体专用干燥密闭库房</w:t>
                  </w:r>
                </w:p>
              </w:tc>
            </w:tr>
            <w:tr w14:paraId="7048A8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88" w:type="pct"/>
                  <w:tcBorders>
                    <w:tl2br w:val="nil"/>
                    <w:tr2bl w:val="nil"/>
                  </w:tcBorders>
                  <w:noWrap w:val="0"/>
                  <w:vAlign w:val="center"/>
                </w:tcPr>
                <w:p w14:paraId="71CADE7B">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r>
                    <w:rPr>
                      <w:rFonts w:hint="eastAsia"/>
                      <w:color w:val="auto"/>
                      <w:sz w:val="21"/>
                      <w:szCs w:val="21"/>
                      <w:shd w:val="clear" w:color="auto" w:fill="auto"/>
                      <w:lang w:val="en-US" w:eastAsia="zh-CN"/>
                    </w:rPr>
                    <w:t>5</w:t>
                  </w:r>
                </w:p>
              </w:tc>
              <w:tc>
                <w:tcPr>
                  <w:tcW w:w="1248" w:type="dxa"/>
                  <w:tcBorders>
                    <w:tl2br w:val="nil"/>
                    <w:tr2bl w:val="nil"/>
                  </w:tcBorders>
                  <w:noWrap w:val="0"/>
                  <w:vAlign w:val="center"/>
                </w:tcPr>
                <w:p w14:paraId="225890D3">
                  <w:pPr>
                    <w:pStyle w:val="28"/>
                    <w:bidi w:val="0"/>
                    <w:snapToGrid w:val="0"/>
                    <w:ind w:left="0" w:leftChars="0" w:right="0" w:rightChars="0" w:firstLine="0" w:firstLineChars="0"/>
                    <w:jc w:val="center"/>
                    <w:rPr>
                      <w:rFonts w:hint="eastAsia" w:ascii="Times New Roman" w:hAnsi="Times New Roman" w:eastAsia="宋体" w:cs="Times New Roman"/>
                      <w:color w:val="auto"/>
                      <w:sz w:val="21"/>
                      <w:szCs w:val="21"/>
                      <w:shd w:val="clear" w:color="auto" w:fill="auto"/>
                      <w:lang w:val="en-US" w:eastAsia="zh-CN"/>
                    </w:rPr>
                  </w:pPr>
                  <w:r>
                    <w:rPr>
                      <w:rFonts w:hint="eastAsia"/>
                      <w:color w:val="auto"/>
                      <w:lang w:val="en-US" w:eastAsia="zh-CN"/>
                    </w:rPr>
                    <w:t>丙酮</w:t>
                  </w:r>
                  <w:r>
                    <w:rPr>
                      <w:rFonts w:hint="eastAsia" w:ascii="Times New Roman" w:hAnsi="Times New Roman" w:eastAsia="宋体" w:cs="Times New Roman"/>
                      <w:color w:val="auto"/>
                      <w:lang w:val="en-US" w:eastAsia="zh-CN"/>
                    </w:rPr>
                    <w:t>（浓度99.5%）</w:t>
                  </w:r>
                </w:p>
              </w:tc>
              <w:tc>
                <w:tcPr>
                  <w:tcW w:w="1322" w:type="dxa"/>
                  <w:tcBorders>
                    <w:tl2br w:val="nil"/>
                    <w:tr2bl w:val="nil"/>
                  </w:tcBorders>
                  <w:noWrap w:val="0"/>
                  <w:vAlign w:val="center"/>
                </w:tcPr>
                <w:p w14:paraId="30AA8F0D">
                  <w:pPr>
                    <w:pStyle w:val="28"/>
                    <w:bidi w:val="0"/>
                    <w:snapToGrid w:val="0"/>
                    <w:ind w:left="0" w:leftChars="0" w:right="0" w:rightChars="0"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olor w:val="auto"/>
                    </w:rPr>
                    <w:t>50kg</w:t>
                  </w:r>
                </w:p>
              </w:tc>
              <w:tc>
                <w:tcPr>
                  <w:tcW w:w="1290" w:type="dxa"/>
                  <w:tcBorders>
                    <w:tl2br w:val="nil"/>
                    <w:tr2bl w:val="nil"/>
                  </w:tcBorders>
                  <w:noWrap w:val="0"/>
                  <w:vAlign w:val="center"/>
                </w:tcPr>
                <w:p w14:paraId="6B009EA4">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危化品资质供应商外购</w:t>
                  </w:r>
                </w:p>
              </w:tc>
              <w:tc>
                <w:tcPr>
                  <w:tcW w:w="1290" w:type="dxa"/>
                  <w:tcBorders>
                    <w:tl2br w:val="nil"/>
                    <w:tr2bl w:val="nil"/>
                  </w:tcBorders>
                  <w:noWrap w:val="0"/>
                  <w:vAlign w:val="center"/>
                </w:tcPr>
                <w:p w14:paraId="4897CBDC">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50kg</w:t>
                  </w:r>
                </w:p>
              </w:tc>
              <w:tc>
                <w:tcPr>
                  <w:tcW w:w="1290" w:type="dxa"/>
                  <w:tcBorders>
                    <w:tl2br w:val="nil"/>
                    <w:tr2bl w:val="nil"/>
                  </w:tcBorders>
                  <w:noWrap w:val="0"/>
                  <w:vAlign w:val="center"/>
                </w:tcPr>
                <w:p w14:paraId="79AA3024">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无色透明液体</w:t>
                  </w:r>
                </w:p>
              </w:tc>
              <w:tc>
                <w:tcPr>
                  <w:tcW w:w="1306" w:type="dxa"/>
                  <w:tcBorders>
                    <w:tl2br w:val="nil"/>
                    <w:tr2bl w:val="nil"/>
                  </w:tcBorders>
                  <w:noWrap w:val="0"/>
                  <w:vAlign w:val="center"/>
                </w:tcPr>
                <w:p w14:paraId="7BDF56C7">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甲类易燃液体独立防爆危化品仓库，分区密闭存放</w:t>
                  </w:r>
                </w:p>
              </w:tc>
            </w:tr>
            <w:tr w14:paraId="12EEB6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88" w:type="pct"/>
                  <w:tcBorders>
                    <w:tl2br w:val="nil"/>
                    <w:tr2bl w:val="nil"/>
                  </w:tcBorders>
                  <w:noWrap w:val="0"/>
                  <w:vAlign w:val="center"/>
                </w:tcPr>
                <w:p w14:paraId="773BA2E8">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r>
                    <w:rPr>
                      <w:rFonts w:hint="eastAsia"/>
                      <w:color w:val="auto"/>
                      <w:sz w:val="21"/>
                      <w:szCs w:val="21"/>
                      <w:shd w:val="clear" w:color="auto" w:fill="auto"/>
                      <w:lang w:val="en-US" w:eastAsia="zh-CN"/>
                    </w:rPr>
                    <w:t>6</w:t>
                  </w:r>
                </w:p>
              </w:tc>
              <w:tc>
                <w:tcPr>
                  <w:tcW w:w="1248" w:type="dxa"/>
                  <w:tcBorders>
                    <w:tl2br w:val="nil"/>
                    <w:tr2bl w:val="nil"/>
                  </w:tcBorders>
                  <w:noWrap w:val="0"/>
                  <w:vAlign w:val="center"/>
                </w:tcPr>
                <w:p w14:paraId="555DD3BD">
                  <w:pPr>
                    <w:pStyle w:val="28"/>
                    <w:bidi w:val="0"/>
                    <w:snapToGrid w:val="0"/>
                    <w:ind w:left="0" w:leftChars="0" w:right="0" w:rightChars="0" w:firstLine="0" w:firstLineChars="0"/>
                    <w:jc w:val="center"/>
                    <w:rPr>
                      <w:rFonts w:hint="eastAsia" w:ascii="Times New Roman" w:hAnsi="Times New Roman" w:eastAsia="宋体" w:cs="Times New Roman"/>
                      <w:color w:val="auto"/>
                      <w:sz w:val="21"/>
                      <w:szCs w:val="21"/>
                      <w:shd w:val="clear" w:color="auto" w:fill="auto"/>
                      <w:lang w:val="en-US" w:eastAsia="zh-CN"/>
                    </w:rPr>
                  </w:pPr>
                  <w:r>
                    <w:rPr>
                      <w:rFonts w:hint="eastAsia"/>
                      <w:color w:val="auto"/>
                      <w:lang w:val="en-US" w:eastAsia="zh-CN"/>
                    </w:rPr>
                    <w:t>乙醇（浓度95%）</w:t>
                  </w:r>
                </w:p>
              </w:tc>
              <w:tc>
                <w:tcPr>
                  <w:tcW w:w="1322" w:type="dxa"/>
                  <w:tcBorders>
                    <w:tl2br w:val="nil"/>
                    <w:tr2bl w:val="nil"/>
                  </w:tcBorders>
                  <w:noWrap w:val="0"/>
                  <w:vAlign w:val="center"/>
                </w:tcPr>
                <w:p w14:paraId="7F5F6AA3">
                  <w:pPr>
                    <w:pStyle w:val="28"/>
                    <w:bidi w:val="0"/>
                    <w:snapToGrid w:val="0"/>
                    <w:ind w:left="0" w:leftChars="0" w:right="0" w:rightChars="0"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olor w:val="auto"/>
                    </w:rPr>
                    <w:t>300kg</w:t>
                  </w:r>
                </w:p>
              </w:tc>
              <w:tc>
                <w:tcPr>
                  <w:tcW w:w="1290" w:type="dxa"/>
                  <w:tcBorders>
                    <w:tl2br w:val="nil"/>
                    <w:tr2bl w:val="nil"/>
                  </w:tcBorders>
                  <w:noWrap w:val="0"/>
                  <w:vAlign w:val="center"/>
                </w:tcPr>
                <w:p w14:paraId="28D14A4B">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危化品资质供应商外购</w:t>
                  </w:r>
                </w:p>
              </w:tc>
              <w:tc>
                <w:tcPr>
                  <w:tcW w:w="1290" w:type="dxa"/>
                  <w:tcBorders>
                    <w:tl2br w:val="nil"/>
                    <w:tr2bl w:val="nil"/>
                  </w:tcBorders>
                  <w:noWrap w:val="0"/>
                  <w:vAlign w:val="center"/>
                </w:tcPr>
                <w:p w14:paraId="31BB3BD2">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300kg</w:t>
                  </w:r>
                </w:p>
              </w:tc>
              <w:tc>
                <w:tcPr>
                  <w:tcW w:w="1290" w:type="dxa"/>
                  <w:tcBorders>
                    <w:tl2br w:val="nil"/>
                    <w:tr2bl w:val="nil"/>
                  </w:tcBorders>
                  <w:noWrap w:val="0"/>
                  <w:vAlign w:val="center"/>
                </w:tcPr>
                <w:p w14:paraId="2D17BAB0">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无色透明液体</w:t>
                  </w:r>
                </w:p>
              </w:tc>
              <w:tc>
                <w:tcPr>
                  <w:tcW w:w="1306" w:type="dxa"/>
                  <w:tcBorders>
                    <w:tl2br w:val="nil"/>
                    <w:tr2bl w:val="nil"/>
                  </w:tcBorders>
                  <w:noWrap w:val="0"/>
                  <w:vAlign w:val="center"/>
                </w:tcPr>
                <w:p w14:paraId="6C53F530">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甲类易燃液体独立防爆危化品仓库，分区密闭存放</w:t>
                  </w:r>
                </w:p>
              </w:tc>
            </w:tr>
            <w:tr w14:paraId="411640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88" w:type="pct"/>
                  <w:tcBorders>
                    <w:tl2br w:val="nil"/>
                    <w:tr2bl w:val="nil"/>
                  </w:tcBorders>
                  <w:noWrap w:val="0"/>
                  <w:vAlign w:val="center"/>
                </w:tcPr>
                <w:p w14:paraId="7F713FEC">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r>
                    <w:rPr>
                      <w:rFonts w:hint="eastAsia"/>
                      <w:color w:val="auto"/>
                      <w:sz w:val="21"/>
                      <w:szCs w:val="21"/>
                      <w:shd w:val="clear" w:color="auto" w:fill="auto"/>
                      <w:lang w:val="en-US" w:eastAsia="zh-CN"/>
                    </w:rPr>
                    <w:t>7</w:t>
                  </w:r>
                </w:p>
              </w:tc>
              <w:tc>
                <w:tcPr>
                  <w:tcW w:w="1248" w:type="dxa"/>
                  <w:tcBorders>
                    <w:tl2br w:val="nil"/>
                    <w:tr2bl w:val="nil"/>
                  </w:tcBorders>
                  <w:noWrap w:val="0"/>
                  <w:vAlign w:val="center"/>
                </w:tcPr>
                <w:p w14:paraId="6B767261">
                  <w:pPr>
                    <w:pStyle w:val="28"/>
                    <w:bidi w:val="0"/>
                    <w:snapToGrid w:val="0"/>
                    <w:ind w:left="0" w:leftChars="0" w:right="0" w:rightChars="0" w:firstLine="0" w:firstLineChars="0"/>
                    <w:jc w:val="center"/>
                    <w:rPr>
                      <w:rFonts w:hint="eastAsia"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lang w:val="en-US" w:eastAsia="zh-CN"/>
                    </w:rPr>
                    <w:t>氢氧化铵水溶液（浓度1%）</w:t>
                  </w:r>
                </w:p>
              </w:tc>
              <w:tc>
                <w:tcPr>
                  <w:tcW w:w="1322" w:type="dxa"/>
                  <w:tcBorders>
                    <w:tl2br w:val="nil"/>
                    <w:tr2bl w:val="nil"/>
                  </w:tcBorders>
                  <w:noWrap w:val="0"/>
                  <w:vAlign w:val="center"/>
                </w:tcPr>
                <w:p w14:paraId="518F2477">
                  <w:pPr>
                    <w:pStyle w:val="28"/>
                    <w:bidi w:val="0"/>
                    <w:snapToGrid w:val="0"/>
                    <w:ind w:left="0" w:leftChars="0" w:right="0" w:rightChars="0"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olor w:val="auto"/>
                      <w:lang w:val="en-US" w:eastAsia="zh-CN"/>
                    </w:rPr>
                    <w:t>0.5t</w:t>
                  </w:r>
                </w:p>
              </w:tc>
              <w:tc>
                <w:tcPr>
                  <w:tcW w:w="1290" w:type="dxa"/>
                  <w:tcBorders>
                    <w:tl2br w:val="nil"/>
                    <w:tr2bl w:val="nil"/>
                  </w:tcBorders>
                  <w:noWrap w:val="0"/>
                  <w:vAlign w:val="center"/>
                </w:tcPr>
                <w:p w14:paraId="19DC6B9D">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化工原料供应商外购</w:t>
                  </w:r>
                </w:p>
              </w:tc>
              <w:tc>
                <w:tcPr>
                  <w:tcW w:w="1290" w:type="dxa"/>
                  <w:tcBorders>
                    <w:tl2br w:val="nil"/>
                    <w:tr2bl w:val="nil"/>
                  </w:tcBorders>
                  <w:noWrap w:val="0"/>
                  <w:vAlign w:val="center"/>
                </w:tcPr>
                <w:p w14:paraId="659C9531">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0.1t</w:t>
                  </w:r>
                </w:p>
              </w:tc>
              <w:tc>
                <w:tcPr>
                  <w:tcW w:w="1290" w:type="dxa"/>
                  <w:tcBorders>
                    <w:tl2br w:val="nil"/>
                    <w:tr2bl w:val="nil"/>
                  </w:tcBorders>
                  <w:noWrap w:val="0"/>
                  <w:vAlign w:val="center"/>
                </w:tcPr>
                <w:p w14:paraId="1031FC67">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刺激性液体</w:t>
                  </w:r>
                </w:p>
              </w:tc>
              <w:tc>
                <w:tcPr>
                  <w:tcW w:w="1306" w:type="dxa"/>
                  <w:tcBorders>
                    <w:tl2br w:val="nil"/>
                    <w:tr2bl w:val="nil"/>
                  </w:tcBorders>
                  <w:noWrap w:val="0"/>
                  <w:vAlign w:val="center"/>
                </w:tcPr>
                <w:p w14:paraId="4C788294">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酸碱危化品专用防腐库房，独立防渗围堰区域</w:t>
                  </w:r>
                </w:p>
              </w:tc>
            </w:tr>
            <w:tr w14:paraId="3B77A5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88" w:type="pct"/>
                  <w:tcBorders>
                    <w:tl2br w:val="nil"/>
                    <w:tr2bl w:val="nil"/>
                  </w:tcBorders>
                  <w:noWrap w:val="0"/>
                  <w:vAlign w:val="center"/>
                </w:tcPr>
                <w:p w14:paraId="3A515C4C">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r>
                    <w:rPr>
                      <w:rFonts w:hint="eastAsia"/>
                      <w:color w:val="auto"/>
                      <w:sz w:val="21"/>
                      <w:szCs w:val="21"/>
                      <w:shd w:val="clear" w:color="auto" w:fill="auto"/>
                      <w:lang w:val="en-US" w:eastAsia="zh-CN"/>
                    </w:rPr>
                    <w:t>8</w:t>
                  </w:r>
                </w:p>
              </w:tc>
              <w:tc>
                <w:tcPr>
                  <w:tcW w:w="1248" w:type="dxa"/>
                  <w:tcBorders>
                    <w:tl2br w:val="nil"/>
                    <w:tr2bl w:val="nil"/>
                  </w:tcBorders>
                  <w:noWrap w:val="0"/>
                  <w:vAlign w:val="center"/>
                </w:tcPr>
                <w:p w14:paraId="67224C5A">
                  <w:pPr>
                    <w:pStyle w:val="28"/>
                    <w:bidi w:val="0"/>
                    <w:snapToGrid w:val="0"/>
                    <w:ind w:left="0" w:leftChars="0" w:right="0" w:rightChars="0" w:firstLine="0" w:firstLineChars="0"/>
                    <w:jc w:val="center"/>
                    <w:rPr>
                      <w:rFonts w:hint="eastAsia" w:ascii="Times New Roman" w:hAnsi="Times New Roman" w:eastAsia="宋体" w:cs="Times New Roman"/>
                      <w:color w:val="auto"/>
                      <w:sz w:val="21"/>
                      <w:szCs w:val="21"/>
                      <w:shd w:val="clear" w:color="auto" w:fill="auto"/>
                      <w:lang w:val="en-US" w:eastAsia="zh-CN"/>
                    </w:rPr>
                  </w:pPr>
                  <w:r>
                    <w:rPr>
                      <w:rFonts w:hint="eastAsia"/>
                      <w:color w:val="auto"/>
                    </w:rPr>
                    <w:t>硝酸</w:t>
                  </w:r>
                  <w:r>
                    <w:rPr>
                      <w:rFonts w:hint="eastAsia" w:ascii="Times New Roman" w:hAnsi="Times New Roman" w:eastAsia="宋体" w:cs="Times New Roman"/>
                      <w:color w:val="auto"/>
                      <w:lang w:val="en-US" w:eastAsia="zh-CN"/>
                    </w:rPr>
                    <w:t>（浓度68%）</w:t>
                  </w:r>
                </w:p>
              </w:tc>
              <w:tc>
                <w:tcPr>
                  <w:tcW w:w="1322" w:type="dxa"/>
                  <w:tcBorders>
                    <w:tl2br w:val="nil"/>
                    <w:tr2bl w:val="nil"/>
                  </w:tcBorders>
                  <w:noWrap w:val="0"/>
                  <w:vAlign w:val="center"/>
                </w:tcPr>
                <w:p w14:paraId="05BEBAEB">
                  <w:pPr>
                    <w:pStyle w:val="28"/>
                    <w:bidi w:val="0"/>
                    <w:snapToGrid w:val="0"/>
                    <w:ind w:left="0" w:leftChars="0" w:right="0" w:rightChars="0"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olor w:val="auto"/>
                      <w:lang w:val="en-US" w:eastAsia="zh-CN"/>
                    </w:rPr>
                    <w:t>1.9t</w:t>
                  </w:r>
                </w:p>
              </w:tc>
              <w:tc>
                <w:tcPr>
                  <w:tcW w:w="1290" w:type="dxa"/>
                  <w:tcBorders>
                    <w:tl2br w:val="nil"/>
                    <w:tr2bl w:val="nil"/>
                  </w:tcBorders>
                  <w:noWrap w:val="0"/>
                  <w:vAlign w:val="center"/>
                </w:tcPr>
                <w:p w14:paraId="18EB1A3C">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具备危化品经营资质企业外购</w:t>
                  </w:r>
                </w:p>
              </w:tc>
              <w:tc>
                <w:tcPr>
                  <w:tcW w:w="1290" w:type="dxa"/>
                  <w:tcBorders>
                    <w:tl2br w:val="nil"/>
                    <w:tr2bl w:val="nil"/>
                  </w:tcBorders>
                  <w:noWrap w:val="0"/>
                  <w:vAlign w:val="center"/>
                </w:tcPr>
                <w:p w14:paraId="3535400F">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0.32t</w:t>
                  </w:r>
                </w:p>
              </w:tc>
              <w:tc>
                <w:tcPr>
                  <w:tcW w:w="1290" w:type="dxa"/>
                  <w:tcBorders>
                    <w:tl2br w:val="nil"/>
                    <w:tr2bl w:val="nil"/>
                  </w:tcBorders>
                  <w:noWrap w:val="0"/>
                  <w:vAlign w:val="center"/>
                </w:tcPr>
                <w:p w14:paraId="3C960DC2">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强腐蚀性液体</w:t>
                  </w:r>
                </w:p>
              </w:tc>
              <w:tc>
                <w:tcPr>
                  <w:tcW w:w="1306" w:type="dxa"/>
                  <w:tcBorders>
                    <w:tl2br w:val="nil"/>
                    <w:tr2bl w:val="nil"/>
                  </w:tcBorders>
                  <w:noWrap w:val="0"/>
                  <w:vAlign w:val="center"/>
                </w:tcPr>
                <w:p w14:paraId="29DFF632">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酸碱危化品专用防腐库房，独立防渗围堰区域</w:t>
                  </w:r>
                </w:p>
              </w:tc>
            </w:tr>
            <w:tr w14:paraId="060591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88" w:type="pct"/>
                  <w:tcBorders>
                    <w:tl2br w:val="nil"/>
                    <w:tr2bl w:val="nil"/>
                  </w:tcBorders>
                  <w:noWrap w:val="0"/>
                  <w:vAlign w:val="center"/>
                </w:tcPr>
                <w:p w14:paraId="4BB401DA">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r>
                    <w:rPr>
                      <w:rFonts w:hint="eastAsia"/>
                      <w:color w:val="auto"/>
                      <w:sz w:val="21"/>
                      <w:szCs w:val="21"/>
                      <w:shd w:val="clear" w:color="auto" w:fill="auto"/>
                      <w:lang w:val="en-US" w:eastAsia="zh-CN"/>
                    </w:rPr>
                    <w:t>9</w:t>
                  </w:r>
                </w:p>
              </w:tc>
              <w:tc>
                <w:tcPr>
                  <w:tcW w:w="747" w:type="pct"/>
                  <w:tcBorders>
                    <w:tl2br w:val="nil"/>
                    <w:tr2bl w:val="nil"/>
                  </w:tcBorders>
                  <w:noWrap w:val="0"/>
                  <w:vAlign w:val="center"/>
                </w:tcPr>
                <w:p w14:paraId="5309D60E">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乙醚</w:t>
                  </w:r>
                  <w:r>
                    <w:rPr>
                      <w:rFonts w:hint="eastAsia" w:ascii="Times New Roman" w:hAnsi="Times New Roman" w:eastAsia="宋体" w:cs="Times New Roman"/>
                      <w:color w:val="auto"/>
                      <w:lang w:val="en-US" w:eastAsia="zh-CN"/>
                    </w:rPr>
                    <w:t>（浓度99.5%）</w:t>
                  </w:r>
                </w:p>
              </w:tc>
              <w:tc>
                <w:tcPr>
                  <w:tcW w:w="791" w:type="pct"/>
                  <w:tcBorders>
                    <w:tl2br w:val="nil"/>
                    <w:tr2bl w:val="nil"/>
                  </w:tcBorders>
                  <w:noWrap w:val="0"/>
                  <w:vAlign w:val="center"/>
                </w:tcPr>
                <w:p w14:paraId="1DDA5EC1">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30kg</w:t>
                  </w:r>
                </w:p>
              </w:tc>
              <w:tc>
                <w:tcPr>
                  <w:tcW w:w="1290" w:type="dxa"/>
                  <w:tcBorders>
                    <w:tl2br w:val="nil"/>
                    <w:tr2bl w:val="nil"/>
                  </w:tcBorders>
                  <w:noWrap w:val="0"/>
                  <w:vAlign w:val="center"/>
                </w:tcPr>
                <w:p w14:paraId="43336231">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危化品资质供应商外购</w:t>
                  </w:r>
                </w:p>
              </w:tc>
              <w:tc>
                <w:tcPr>
                  <w:tcW w:w="1290" w:type="dxa"/>
                  <w:tcBorders>
                    <w:tl2br w:val="nil"/>
                    <w:tr2bl w:val="nil"/>
                  </w:tcBorders>
                  <w:noWrap w:val="0"/>
                  <w:vAlign w:val="center"/>
                </w:tcPr>
                <w:p w14:paraId="6D96CE9D">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30kg</w:t>
                  </w:r>
                </w:p>
              </w:tc>
              <w:tc>
                <w:tcPr>
                  <w:tcW w:w="1290" w:type="dxa"/>
                  <w:tcBorders>
                    <w:tl2br w:val="nil"/>
                    <w:tr2bl w:val="nil"/>
                  </w:tcBorders>
                  <w:noWrap w:val="0"/>
                  <w:vAlign w:val="center"/>
                </w:tcPr>
                <w:p w14:paraId="4CE6E655">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极易挥发无色液体</w:t>
                  </w:r>
                </w:p>
              </w:tc>
              <w:tc>
                <w:tcPr>
                  <w:tcW w:w="1306" w:type="dxa"/>
                  <w:tcBorders>
                    <w:tl2br w:val="nil"/>
                    <w:tr2bl w:val="nil"/>
                  </w:tcBorders>
                  <w:noWrap w:val="0"/>
                  <w:vAlign w:val="center"/>
                </w:tcPr>
                <w:p w14:paraId="4A2ED30D">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甲类易燃液体独立防爆危化品仓库，单独隔离隔间密闭储存</w:t>
                  </w:r>
                </w:p>
              </w:tc>
            </w:tr>
            <w:tr w14:paraId="7EB406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88" w:type="pct"/>
                  <w:tcBorders>
                    <w:tl2br w:val="nil"/>
                    <w:tr2bl w:val="nil"/>
                  </w:tcBorders>
                  <w:noWrap w:val="0"/>
                  <w:vAlign w:val="center"/>
                </w:tcPr>
                <w:p w14:paraId="4FE54DD4">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r>
                    <w:rPr>
                      <w:rFonts w:hint="eastAsia"/>
                      <w:color w:val="auto"/>
                      <w:sz w:val="21"/>
                      <w:szCs w:val="21"/>
                      <w:shd w:val="clear" w:color="auto" w:fill="auto"/>
                      <w:lang w:val="en-US" w:eastAsia="zh-CN"/>
                    </w:rPr>
                    <w:t>10</w:t>
                  </w:r>
                </w:p>
              </w:tc>
              <w:tc>
                <w:tcPr>
                  <w:tcW w:w="747" w:type="pct"/>
                  <w:tcBorders>
                    <w:tl2br w:val="nil"/>
                    <w:tr2bl w:val="nil"/>
                  </w:tcBorders>
                  <w:noWrap w:val="0"/>
                  <w:vAlign w:val="center"/>
                </w:tcPr>
                <w:p w14:paraId="22113FEF">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环保型清洗剂</w:t>
                  </w:r>
                </w:p>
              </w:tc>
              <w:tc>
                <w:tcPr>
                  <w:tcW w:w="791" w:type="pct"/>
                  <w:tcBorders>
                    <w:tl2br w:val="nil"/>
                    <w:tr2bl w:val="nil"/>
                  </w:tcBorders>
                  <w:noWrap w:val="0"/>
                  <w:vAlign w:val="center"/>
                </w:tcPr>
                <w:p w14:paraId="21E6CDA4">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100kg</w:t>
                  </w:r>
                </w:p>
              </w:tc>
              <w:tc>
                <w:tcPr>
                  <w:tcW w:w="1290" w:type="dxa"/>
                  <w:tcBorders>
                    <w:tl2br w:val="nil"/>
                    <w:tr2bl w:val="nil"/>
                  </w:tcBorders>
                  <w:noWrap w:val="0"/>
                  <w:vAlign w:val="center"/>
                </w:tcPr>
                <w:p w14:paraId="426CF9E9">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日化化工企业外购</w:t>
                  </w:r>
                </w:p>
              </w:tc>
              <w:tc>
                <w:tcPr>
                  <w:tcW w:w="1290" w:type="dxa"/>
                  <w:tcBorders>
                    <w:tl2br w:val="nil"/>
                    <w:tr2bl w:val="nil"/>
                  </w:tcBorders>
                  <w:noWrap w:val="0"/>
                  <w:vAlign w:val="center"/>
                </w:tcPr>
                <w:p w14:paraId="4B482662">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100kg</w:t>
                  </w:r>
                </w:p>
              </w:tc>
              <w:tc>
                <w:tcPr>
                  <w:tcW w:w="1290" w:type="dxa"/>
                  <w:tcBorders>
                    <w:tl2br w:val="nil"/>
                    <w:tr2bl w:val="nil"/>
                  </w:tcBorders>
                  <w:noWrap w:val="0"/>
                  <w:vAlign w:val="center"/>
                </w:tcPr>
                <w:p w14:paraId="74A4F7F7">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混合液体</w:t>
                  </w:r>
                </w:p>
              </w:tc>
              <w:tc>
                <w:tcPr>
                  <w:tcW w:w="1306" w:type="dxa"/>
                  <w:tcBorders>
                    <w:tl2br w:val="nil"/>
                    <w:tr2bl w:val="nil"/>
                  </w:tcBorders>
                  <w:noWrap w:val="0"/>
                  <w:vAlign w:val="center"/>
                </w:tcPr>
                <w:p w14:paraId="52D27236">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通用辅料常温仓储区</w:t>
                  </w:r>
                </w:p>
              </w:tc>
            </w:tr>
            <w:tr w14:paraId="28915D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88" w:type="pct"/>
                  <w:tcBorders>
                    <w:tl2br w:val="nil"/>
                    <w:tr2bl w:val="nil"/>
                  </w:tcBorders>
                  <w:noWrap w:val="0"/>
                  <w:vAlign w:val="center"/>
                </w:tcPr>
                <w:p w14:paraId="0349B6E8">
                  <w:pPr>
                    <w:jc w:val="center"/>
                    <w:rPr>
                      <w:rFonts w:hint="default"/>
                      <w:color w:val="auto"/>
                      <w:lang w:val="en-US" w:eastAsia="zh-CN"/>
                    </w:rPr>
                  </w:pPr>
                  <w:r>
                    <w:rPr>
                      <w:rFonts w:hint="eastAsia"/>
                      <w:color w:val="auto"/>
                      <w:lang w:val="en-US" w:eastAsia="zh-CN"/>
                    </w:rPr>
                    <w:t>11</w:t>
                  </w:r>
                </w:p>
              </w:tc>
              <w:tc>
                <w:tcPr>
                  <w:tcW w:w="747" w:type="pct"/>
                  <w:tcBorders>
                    <w:tl2br w:val="nil"/>
                    <w:tr2bl w:val="nil"/>
                  </w:tcBorders>
                  <w:noWrap w:val="0"/>
                  <w:vAlign w:val="center"/>
                </w:tcPr>
                <w:p w14:paraId="00F093DD">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环保型强力除油剂</w:t>
                  </w:r>
                </w:p>
              </w:tc>
              <w:tc>
                <w:tcPr>
                  <w:tcW w:w="791" w:type="pct"/>
                  <w:tcBorders>
                    <w:tl2br w:val="nil"/>
                    <w:tr2bl w:val="nil"/>
                  </w:tcBorders>
                  <w:noWrap w:val="0"/>
                  <w:vAlign w:val="center"/>
                </w:tcPr>
                <w:p w14:paraId="1BCE292B">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50kg</w:t>
                  </w:r>
                </w:p>
              </w:tc>
              <w:tc>
                <w:tcPr>
                  <w:tcW w:w="1290" w:type="dxa"/>
                  <w:tcBorders>
                    <w:tl2br w:val="nil"/>
                    <w:tr2bl w:val="nil"/>
                  </w:tcBorders>
                  <w:noWrap w:val="0"/>
                  <w:vAlign w:val="center"/>
                </w:tcPr>
                <w:p w14:paraId="70C3F2E0">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清洗剂生产厂家外购</w:t>
                  </w:r>
                </w:p>
              </w:tc>
              <w:tc>
                <w:tcPr>
                  <w:tcW w:w="1290" w:type="dxa"/>
                  <w:tcBorders>
                    <w:tl2br w:val="nil"/>
                    <w:tr2bl w:val="nil"/>
                  </w:tcBorders>
                  <w:noWrap w:val="0"/>
                  <w:vAlign w:val="center"/>
                </w:tcPr>
                <w:p w14:paraId="71FD674C">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50kg</w:t>
                  </w:r>
                </w:p>
              </w:tc>
              <w:tc>
                <w:tcPr>
                  <w:tcW w:w="1290" w:type="dxa"/>
                  <w:tcBorders>
                    <w:tl2br w:val="nil"/>
                    <w:tr2bl w:val="nil"/>
                  </w:tcBorders>
                  <w:noWrap w:val="0"/>
                  <w:vAlign w:val="center"/>
                </w:tcPr>
                <w:p w14:paraId="26FF3063">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液体</w:t>
                  </w:r>
                </w:p>
              </w:tc>
              <w:tc>
                <w:tcPr>
                  <w:tcW w:w="1306" w:type="dxa"/>
                  <w:tcBorders>
                    <w:tl2br w:val="nil"/>
                    <w:tr2bl w:val="nil"/>
                  </w:tcBorders>
                  <w:noWrap w:val="0"/>
                  <w:vAlign w:val="center"/>
                </w:tcPr>
                <w:p w14:paraId="4E0F1310">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通用辅料常温仓储区</w:t>
                  </w:r>
                </w:p>
              </w:tc>
            </w:tr>
            <w:tr w14:paraId="74B595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88" w:type="pct"/>
                  <w:tcBorders>
                    <w:tl2br w:val="nil"/>
                    <w:tr2bl w:val="nil"/>
                  </w:tcBorders>
                  <w:noWrap w:val="0"/>
                  <w:vAlign w:val="center"/>
                </w:tcPr>
                <w:p w14:paraId="2E9BD301">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r>
                    <w:rPr>
                      <w:rFonts w:hint="eastAsia" w:ascii="Times New Roman" w:hAnsi="Times New Roman" w:eastAsia="宋体"/>
                      <w:color w:val="auto"/>
                      <w:sz w:val="21"/>
                      <w:szCs w:val="21"/>
                      <w:shd w:val="clear" w:color="auto" w:fill="auto"/>
                      <w:lang w:val="en-US" w:eastAsia="zh-CN"/>
                    </w:rPr>
                    <w:t>1</w:t>
                  </w:r>
                  <w:r>
                    <w:rPr>
                      <w:rFonts w:hint="eastAsia"/>
                      <w:color w:val="auto"/>
                      <w:sz w:val="21"/>
                      <w:szCs w:val="21"/>
                      <w:shd w:val="clear" w:color="auto" w:fill="auto"/>
                      <w:lang w:val="en-US" w:eastAsia="zh-CN"/>
                    </w:rPr>
                    <w:t>2</w:t>
                  </w:r>
                </w:p>
              </w:tc>
              <w:tc>
                <w:tcPr>
                  <w:tcW w:w="747" w:type="pct"/>
                  <w:tcBorders>
                    <w:tl2br w:val="nil"/>
                    <w:tr2bl w:val="nil"/>
                  </w:tcBorders>
                  <w:noWrap w:val="0"/>
                  <w:vAlign w:val="center"/>
                </w:tcPr>
                <w:p w14:paraId="327B42AD">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olor w:val="auto"/>
                      <w:sz w:val="21"/>
                      <w:szCs w:val="21"/>
                      <w:shd w:val="clear" w:color="auto" w:fill="auto"/>
                      <w:lang w:val="en-US" w:eastAsia="zh-CN"/>
                    </w:rPr>
                  </w:pPr>
                  <w:r>
                    <w:rPr>
                      <w:rFonts w:hint="eastAsia"/>
                      <w:color w:val="auto"/>
                      <w:sz w:val="21"/>
                      <w:szCs w:val="21"/>
                      <w:shd w:val="clear" w:color="auto" w:fill="auto"/>
                      <w:lang w:val="en-US" w:eastAsia="zh-CN"/>
                    </w:rPr>
                    <w:t>切削液</w:t>
                  </w:r>
                </w:p>
              </w:tc>
              <w:tc>
                <w:tcPr>
                  <w:tcW w:w="791" w:type="pct"/>
                  <w:tcBorders>
                    <w:tl2br w:val="nil"/>
                    <w:tr2bl w:val="nil"/>
                  </w:tcBorders>
                  <w:noWrap w:val="0"/>
                  <w:vAlign w:val="center"/>
                </w:tcPr>
                <w:p w14:paraId="72EAD1CF">
                  <w:pPr>
                    <w:pStyle w:val="28"/>
                    <w:keepNext w:val="0"/>
                    <w:keepLines w:val="0"/>
                    <w:pageBreakBefore w:val="0"/>
                    <w:kinsoku/>
                    <w:wordWrap/>
                    <w:overflowPunct/>
                    <w:topLinePunct w:val="0"/>
                    <w:autoSpaceDE/>
                    <w:autoSpaceDN/>
                    <w:bidi w:val="0"/>
                    <w:spacing w:before="0" w:beforeLines="0" w:after="0" w:afterLines="0"/>
                    <w:jc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200kg</w:t>
                  </w:r>
                </w:p>
              </w:tc>
              <w:tc>
                <w:tcPr>
                  <w:tcW w:w="1290" w:type="dxa"/>
                  <w:tcBorders>
                    <w:tl2br w:val="nil"/>
                    <w:tr2bl w:val="nil"/>
                  </w:tcBorders>
                  <w:noWrap w:val="0"/>
                  <w:vAlign w:val="center"/>
                </w:tcPr>
                <w:p w14:paraId="7EC42C9E">
                  <w:pPr>
                    <w:pStyle w:val="28"/>
                    <w:bidi w:val="0"/>
                    <w:snapToGrid w:val="0"/>
                    <w:ind w:left="0" w:leftChars="0" w:right="0" w:rightChars="0"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机械加工助剂厂商外购</w:t>
                  </w:r>
                </w:p>
              </w:tc>
              <w:tc>
                <w:tcPr>
                  <w:tcW w:w="1290" w:type="dxa"/>
                  <w:tcBorders>
                    <w:tl2br w:val="nil"/>
                    <w:tr2bl w:val="nil"/>
                  </w:tcBorders>
                  <w:noWrap w:val="0"/>
                  <w:vAlign w:val="center"/>
                </w:tcPr>
                <w:p w14:paraId="762F2F7E">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200kg</w:t>
                  </w:r>
                </w:p>
              </w:tc>
              <w:tc>
                <w:tcPr>
                  <w:tcW w:w="1290" w:type="dxa"/>
                  <w:tcBorders>
                    <w:tl2br w:val="nil"/>
                    <w:tr2bl w:val="nil"/>
                  </w:tcBorders>
                  <w:noWrap w:val="0"/>
                  <w:vAlign w:val="center"/>
                </w:tcPr>
                <w:p w14:paraId="6644CC00">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油状液体</w:t>
                  </w:r>
                </w:p>
              </w:tc>
              <w:tc>
                <w:tcPr>
                  <w:tcW w:w="1306" w:type="dxa"/>
                  <w:tcBorders>
                    <w:tl2br w:val="nil"/>
                    <w:tr2bl w:val="nil"/>
                  </w:tcBorders>
                  <w:noWrap w:val="0"/>
                  <w:vAlign w:val="center"/>
                </w:tcPr>
                <w:p w14:paraId="5C2E7D04">
                  <w:pPr>
                    <w:pStyle w:val="28"/>
                    <w:bidi w:val="0"/>
                    <w:snapToGrid w:val="0"/>
                    <w:ind w:left="0" w:leftChars="0" w:right="0" w:righ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通用辅料常温仓储区</w:t>
                  </w:r>
                </w:p>
              </w:tc>
            </w:tr>
            <w:tr w14:paraId="3F5399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5000" w:type="pct"/>
                  <w:gridSpan w:val="7"/>
                  <w:tcBorders>
                    <w:tl2br w:val="nil"/>
                    <w:tr2bl w:val="nil"/>
                  </w:tcBorders>
                  <w:noWrap w:val="0"/>
                  <w:vAlign w:val="center"/>
                </w:tcPr>
                <w:p w14:paraId="3174E3C9">
                  <w:pPr>
                    <w:keepNext w:val="0"/>
                    <w:keepLines w:val="0"/>
                    <w:pageBreakBefore w:val="0"/>
                    <w:widowControl/>
                    <w:suppressLineNumbers w:val="0"/>
                    <w:kinsoku/>
                    <w:wordWrap/>
                    <w:overflowPunct/>
                    <w:topLinePunct w:val="0"/>
                    <w:autoSpaceDE/>
                    <w:autoSpaceDN/>
                    <w:bidi w:val="0"/>
                    <w:jc w:val="left"/>
                    <w:rPr>
                      <w:rFonts w:ascii="Times New Roman" w:hAnsi="Times New Roman" w:eastAsia="宋体" w:cs="宋体"/>
                      <w:color w:val="auto"/>
                      <w:kern w:val="0"/>
                      <w:sz w:val="18"/>
                      <w:szCs w:val="18"/>
                      <w:shd w:val="clear" w:color="auto" w:fill="auto"/>
                      <w:lang w:val="en-US" w:eastAsia="zh-CN" w:bidi="ar"/>
                    </w:rPr>
                  </w:pPr>
                  <w:r>
                    <w:rPr>
                      <w:rFonts w:ascii="Times New Roman" w:hAnsi="Times New Roman" w:eastAsia="宋体" w:cs="宋体"/>
                      <w:color w:val="auto"/>
                      <w:kern w:val="0"/>
                      <w:sz w:val="18"/>
                      <w:szCs w:val="18"/>
                      <w:shd w:val="clear" w:color="auto" w:fill="auto"/>
                      <w:lang w:val="en-US" w:eastAsia="zh-CN" w:bidi="ar"/>
                    </w:rPr>
                    <w:t>注：</w:t>
                  </w:r>
                </w:p>
                <w:p w14:paraId="4EAB57B2">
                  <w:pPr>
                    <w:keepNext w:val="0"/>
                    <w:keepLines w:val="0"/>
                    <w:pageBreakBefore w:val="0"/>
                    <w:widowControl/>
                    <w:suppressLineNumbers w:val="0"/>
                    <w:kinsoku/>
                    <w:wordWrap/>
                    <w:overflowPunct/>
                    <w:topLinePunct w:val="0"/>
                    <w:autoSpaceDE/>
                    <w:autoSpaceDN/>
                    <w:bidi w:val="0"/>
                    <w:jc w:val="left"/>
                    <w:rPr>
                      <w:rFonts w:ascii="Times New Roman" w:hAnsi="Times New Roman" w:eastAsia="宋体" w:cs="宋体"/>
                      <w:color w:val="auto"/>
                      <w:kern w:val="0"/>
                      <w:sz w:val="18"/>
                      <w:szCs w:val="18"/>
                      <w:shd w:val="clear" w:color="auto" w:fill="auto"/>
                      <w:lang w:val="en-US" w:eastAsia="zh-CN" w:bidi="ar"/>
                    </w:rPr>
                  </w:pPr>
                  <w:r>
                    <w:rPr>
                      <w:rFonts w:hint="eastAsia" w:ascii="Times New Roman" w:hAnsi="Times New Roman" w:eastAsia="宋体" w:cs="宋体"/>
                      <w:color w:val="auto"/>
                      <w:kern w:val="0"/>
                      <w:sz w:val="18"/>
                      <w:szCs w:val="18"/>
                      <w:shd w:val="clear" w:color="auto" w:fill="auto"/>
                      <w:lang w:val="en-US" w:eastAsia="zh-CN" w:bidi="ar"/>
                    </w:rPr>
                    <w:t>1.</w:t>
                  </w:r>
                  <w:r>
                    <w:rPr>
                      <w:rFonts w:ascii="Times New Roman" w:hAnsi="Times New Roman" w:eastAsia="宋体" w:cs="宋体"/>
                      <w:color w:val="auto"/>
                      <w:kern w:val="0"/>
                      <w:sz w:val="18"/>
                      <w:szCs w:val="18"/>
                      <w:shd w:val="clear" w:color="auto" w:fill="auto"/>
                      <w:lang w:val="en-US" w:eastAsia="zh-CN" w:bidi="ar"/>
                    </w:rPr>
                    <w:t>最大储存量按照项目月均用量、厂区仓储常规周转量核算，符合安全生产及环评存储规范；</w:t>
                  </w:r>
                </w:p>
                <w:p w14:paraId="359D20B3">
                  <w:pPr>
                    <w:keepNext w:val="0"/>
                    <w:keepLines w:val="0"/>
                    <w:pageBreakBefore w:val="0"/>
                    <w:widowControl/>
                    <w:suppressLineNumbers w:val="0"/>
                    <w:kinsoku/>
                    <w:wordWrap/>
                    <w:overflowPunct/>
                    <w:topLinePunct w:val="0"/>
                    <w:autoSpaceDE/>
                    <w:autoSpaceDN/>
                    <w:bidi w:val="0"/>
                    <w:jc w:val="left"/>
                    <w:rPr>
                      <w:rFonts w:ascii="Times New Roman" w:hAnsi="Times New Roman" w:eastAsia="宋体" w:cs="宋体"/>
                      <w:color w:val="auto"/>
                      <w:kern w:val="0"/>
                      <w:sz w:val="18"/>
                      <w:szCs w:val="18"/>
                      <w:shd w:val="clear" w:color="auto" w:fill="auto"/>
                      <w:lang w:val="en-US" w:eastAsia="zh-CN" w:bidi="ar"/>
                    </w:rPr>
                  </w:pPr>
                  <w:r>
                    <w:rPr>
                      <w:rFonts w:hint="eastAsia" w:ascii="Times New Roman" w:hAnsi="Times New Roman" w:eastAsia="宋体" w:cs="宋体"/>
                      <w:color w:val="auto"/>
                      <w:kern w:val="0"/>
                      <w:sz w:val="18"/>
                      <w:szCs w:val="18"/>
                      <w:shd w:val="clear" w:color="auto" w:fill="auto"/>
                      <w:lang w:val="en-US" w:eastAsia="zh-CN" w:bidi="ar"/>
                    </w:rPr>
                    <w:t>2.</w:t>
                  </w:r>
                  <w:r>
                    <w:rPr>
                      <w:rFonts w:ascii="Times New Roman" w:hAnsi="Times New Roman" w:eastAsia="宋体" w:cs="宋体"/>
                      <w:color w:val="auto"/>
                      <w:kern w:val="0"/>
                      <w:sz w:val="18"/>
                      <w:szCs w:val="18"/>
                      <w:shd w:val="clear" w:color="auto" w:fill="auto"/>
                      <w:lang w:val="en-US" w:eastAsia="zh-CN" w:bidi="ar"/>
                    </w:rPr>
                    <w:t>乙醚、乙醇、丙酮属于易燃危险化学品，单独分区密闭储存，配备防爆、通风、消防设施；</w:t>
                  </w:r>
                </w:p>
                <w:p w14:paraId="52B38289">
                  <w:pPr>
                    <w:keepNext w:val="0"/>
                    <w:keepLines w:val="0"/>
                    <w:pageBreakBefore w:val="0"/>
                    <w:widowControl/>
                    <w:suppressLineNumbers w:val="0"/>
                    <w:kinsoku/>
                    <w:wordWrap/>
                    <w:overflowPunct/>
                    <w:topLinePunct w:val="0"/>
                    <w:autoSpaceDE/>
                    <w:autoSpaceDN/>
                    <w:bidi w:val="0"/>
                    <w:jc w:val="left"/>
                    <w:rPr>
                      <w:rFonts w:ascii="Times New Roman" w:hAnsi="Times New Roman" w:eastAsia="宋体" w:cs="宋体"/>
                      <w:color w:val="auto"/>
                      <w:kern w:val="0"/>
                      <w:sz w:val="18"/>
                      <w:szCs w:val="18"/>
                      <w:shd w:val="clear" w:color="auto" w:fill="auto"/>
                      <w:lang w:val="en-US" w:eastAsia="zh-CN" w:bidi="ar"/>
                    </w:rPr>
                  </w:pPr>
                  <w:r>
                    <w:rPr>
                      <w:rFonts w:hint="eastAsia" w:cs="宋体"/>
                      <w:color w:val="auto"/>
                      <w:kern w:val="0"/>
                      <w:sz w:val="18"/>
                      <w:szCs w:val="18"/>
                      <w:shd w:val="clear" w:color="auto" w:fill="auto"/>
                      <w:lang w:val="en-US" w:eastAsia="zh-CN" w:bidi="ar"/>
                    </w:rPr>
                    <w:t>3.</w:t>
                  </w:r>
                  <w:r>
                    <w:rPr>
                      <w:rFonts w:ascii="Times New Roman" w:hAnsi="Times New Roman" w:eastAsia="宋体" w:cs="宋体"/>
                      <w:color w:val="auto"/>
                      <w:kern w:val="0"/>
                      <w:sz w:val="18"/>
                      <w:szCs w:val="18"/>
                      <w:shd w:val="clear" w:color="auto" w:fill="auto"/>
                      <w:lang w:val="en-US" w:eastAsia="zh-CN" w:bidi="ar"/>
                    </w:rPr>
                    <w:t>粉末类、镀膜原料需干燥防尘储存，避免受潮变质。</w:t>
                  </w:r>
                </w:p>
                <w:p w14:paraId="399490B4">
                  <w:pPr>
                    <w:keepNext w:val="0"/>
                    <w:keepLines w:val="0"/>
                    <w:pageBreakBefore w:val="0"/>
                    <w:widowControl/>
                    <w:suppressLineNumbers w:val="0"/>
                    <w:kinsoku/>
                    <w:wordWrap/>
                    <w:overflowPunct/>
                    <w:topLinePunct w:val="0"/>
                    <w:autoSpaceDE/>
                    <w:autoSpaceDN/>
                    <w:bidi w:val="0"/>
                    <w:jc w:val="left"/>
                    <w:rPr>
                      <w:rFonts w:hint="default" w:ascii="Times New Roman" w:hAnsi="Times New Roman" w:eastAsia="宋体" w:cs="宋体"/>
                      <w:color w:val="auto"/>
                      <w:kern w:val="0"/>
                      <w:sz w:val="18"/>
                      <w:szCs w:val="18"/>
                      <w:shd w:val="clear" w:color="auto" w:fill="auto"/>
                      <w:lang w:val="en-US" w:eastAsia="zh-CN" w:bidi="ar"/>
                    </w:rPr>
                  </w:pPr>
                  <w:r>
                    <w:rPr>
                      <w:rFonts w:hint="eastAsia" w:cs="宋体"/>
                      <w:color w:val="auto"/>
                      <w:kern w:val="0"/>
                      <w:sz w:val="18"/>
                      <w:szCs w:val="18"/>
                      <w:shd w:val="clear" w:color="auto" w:fill="auto"/>
                      <w:lang w:val="en-US" w:eastAsia="zh-CN" w:bidi="ar"/>
                    </w:rPr>
                    <w:t>4.</w:t>
                  </w:r>
                  <w:r>
                    <w:rPr>
                      <w:rFonts w:hint="eastAsia" w:ascii="Times New Roman" w:hAnsi="Times New Roman" w:eastAsia="宋体" w:cs="宋体"/>
                      <w:color w:val="auto"/>
                      <w:kern w:val="0"/>
                      <w:sz w:val="18"/>
                      <w:szCs w:val="18"/>
                      <w:shd w:val="clear" w:color="auto" w:fill="auto"/>
                      <w:lang w:val="en-US" w:eastAsia="zh-CN" w:bidi="ar"/>
                    </w:rPr>
                    <w:t>涉及浓度的原辅材料均已换算成纯物质的量计</w:t>
                  </w:r>
                </w:p>
              </w:tc>
            </w:tr>
          </w:tbl>
          <w:p w14:paraId="4DD9A436">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p>
          <w:p w14:paraId="286A50C5">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根据《建设项目环境风险评价技术导则》（HJ 169-2018），环境风险评价工作等级划分详见下表4.6-2。</w:t>
            </w:r>
          </w:p>
          <w:p w14:paraId="13BB2708">
            <w:pPr>
              <w:widowControl w:val="0"/>
              <w:bidi w:val="0"/>
              <w:adjustRightInd w:val="0"/>
              <w:snapToGrid w:val="0"/>
              <w:spacing w:before="10" w:beforeLines="10" w:after="10" w:afterLines="10"/>
              <w:jc w:val="center"/>
              <w:rPr>
                <w:rFonts w:hint="eastAsia"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表4.6-2 评价工作等级划分</w:t>
            </w:r>
          </w:p>
          <w:tbl>
            <w:tblPr>
              <w:tblStyle w:val="18"/>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2"/>
              <w:gridCol w:w="1582"/>
              <w:gridCol w:w="1583"/>
              <w:gridCol w:w="1583"/>
              <w:gridCol w:w="1583"/>
            </w:tblGrid>
            <w:tr w14:paraId="7A190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2" w:type="dxa"/>
                  <w:tcBorders>
                    <w:top w:val="single" w:color="auto" w:sz="12" w:space="0"/>
                  </w:tcBorders>
                  <w:shd w:val="clear" w:color="auto" w:fill="auto"/>
                  <w:noWrap w:val="0"/>
                  <w:vAlign w:val="center"/>
                </w:tcPr>
                <w:p w14:paraId="31F7933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环境风险潜势</w:t>
                  </w:r>
                </w:p>
              </w:tc>
              <w:tc>
                <w:tcPr>
                  <w:tcW w:w="1582" w:type="dxa"/>
                  <w:tcBorders>
                    <w:top w:val="single" w:color="auto" w:sz="12" w:space="0"/>
                  </w:tcBorders>
                  <w:shd w:val="clear" w:color="auto" w:fill="auto"/>
                  <w:noWrap w:val="0"/>
                  <w:vAlign w:val="center"/>
                </w:tcPr>
                <w:p w14:paraId="3120881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Ⅳ、</w:t>
                  </w:r>
                  <w:r>
                    <w:rPr>
                      <w:rFonts w:hint="eastAsia" w:cs="Times New Roman"/>
                      <w:color w:val="auto"/>
                      <w:kern w:val="0"/>
                      <w:sz w:val="21"/>
                      <w:szCs w:val="20"/>
                      <w:lang w:val="en-US" w:eastAsia="zh-CN" w:bidi="ar-SA"/>
                    </w:rPr>
                    <w:t>Ⅳ</w:t>
                  </w:r>
                  <w:r>
                    <w:rPr>
                      <w:rFonts w:hint="eastAsia" w:ascii="Times New Roman" w:hAnsi="Times New Roman" w:eastAsia="宋体" w:cs="Times New Roman"/>
                      <w:color w:val="auto"/>
                      <w:kern w:val="0"/>
                      <w:sz w:val="21"/>
                      <w:szCs w:val="20"/>
                      <w:vertAlign w:val="superscript"/>
                      <w:lang w:val="en-US" w:eastAsia="zh-CN" w:bidi="ar-SA"/>
                    </w:rPr>
                    <w:t>+</w:t>
                  </w:r>
                </w:p>
              </w:tc>
              <w:tc>
                <w:tcPr>
                  <w:tcW w:w="1583" w:type="dxa"/>
                  <w:tcBorders>
                    <w:top w:val="single" w:color="auto" w:sz="12" w:space="0"/>
                  </w:tcBorders>
                  <w:shd w:val="clear" w:color="auto" w:fill="auto"/>
                  <w:noWrap w:val="0"/>
                  <w:vAlign w:val="center"/>
                </w:tcPr>
                <w:p w14:paraId="4C9DD56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Ⅲ</w:t>
                  </w:r>
                </w:p>
              </w:tc>
              <w:tc>
                <w:tcPr>
                  <w:tcW w:w="1583" w:type="dxa"/>
                  <w:tcBorders>
                    <w:top w:val="single" w:color="auto" w:sz="12" w:space="0"/>
                  </w:tcBorders>
                  <w:shd w:val="clear" w:color="auto" w:fill="auto"/>
                  <w:noWrap w:val="0"/>
                  <w:vAlign w:val="center"/>
                </w:tcPr>
                <w:p w14:paraId="0D6C389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II</w:t>
                  </w:r>
                </w:p>
              </w:tc>
              <w:tc>
                <w:tcPr>
                  <w:tcW w:w="1583" w:type="dxa"/>
                  <w:tcBorders>
                    <w:top w:val="single" w:color="auto" w:sz="12" w:space="0"/>
                    <w:right w:val="nil"/>
                  </w:tcBorders>
                  <w:shd w:val="clear" w:color="auto" w:fill="BEBEBE"/>
                  <w:noWrap w:val="0"/>
                  <w:vAlign w:val="center"/>
                </w:tcPr>
                <w:p w14:paraId="034800D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I</w:t>
                  </w:r>
                </w:p>
              </w:tc>
            </w:tr>
            <w:tr w14:paraId="6BD29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2" w:type="dxa"/>
                  <w:tcBorders>
                    <w:left w:val="nil"/>
                    <w:bottom w:val="single" w:color="auto" w:sz="12" w:space="0"/>
                  </w:tcBorders>
                  <w:shd w:val="clear" w:color="auto" w:fill="auto"/>
                  <w:noWrap w:val="0"/>
                  <w:vAlign w:val="center"/>
                </w:tcPr>
                <w:p w14:paraId="0BA66F3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评价工作等级</w:t>
                  </w:r>
                </w:p>
              </w:tc>
              <w:tc>
                <w:tcPr>
                  <w:tcW w:w="1582" w:type="dxa"/>
                  <w:tcBorders>
                    <w:bottom w:val="single" w:color="auto" w:sz="12" w:space="0"/>
                  </w:tcBorders>
                  <w:shd w:val="clear" w:color="auto" w:fill="auto"/>
                  <w:noWrap w:val="0"/>
                  <w:vAlign w:val="center"/>
                </w:tcPr>
                <w:p w14:paraId="0755EE5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一</w:t>
                  </w:r>
                </w:p>
              </w:tc>
              <w:tc>
                <w:tcPr>
                  <w:tcW w:w="1583" w:type="dxa"/>
                  <w:tcBorders>
                    <w:bottom w:val="single" w:color="auto" w:sz="12" w:space="0"/>
                  </w:tcBorders>
                  <w:shd w:val="clear" w:color="auto" w:fill="auto"/>
                  <w:noWrap w:val="0"/>
                  <w:vAlign w:val="center"/>
                </w:tcPr>
                <w:p w14:paraId="2852E3C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二</w:t>
                  </w:r>
                </w:p>
              </w:tc>
              <w:tc>
                <w:tcPr>
                  <w:tcW w:w="1583" w:type="dxa"/>
                  <w:tcBorders>
                    <w:bottom w:val="single" w:color="auto" w:sz="12" w:space="0"/>
                  </w:tcBorders>
                  <w:shd w:val="clear" w:color="auto" w:fill="auto"/>
                  <w:noWrap w:val="0"/>
                  <w:vAlign w:val="center"/>
                </w:tcPr>
                <w:p w14:paraId="0D4D6C2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三</w:t>
                  </w:r>
                </w:p>
              </w:tc>
              <w:tc>
                <w:tcPr>
                  <w:tcW w:w="1583" w:type="dxa"/>
                  <w:tcBorders>
                    <w:bottom w:val="single" w:color="auto" w:sz="12" w:space="0"/>
                    <w:right w:val="nil"/>
                  </w:tcBorders>
                  <w:shd w:val="clear" w:color="auto" w:fill="BEBEBE"/>
                  <w:noWrap w:val="0"/>
                  <w:vAlign w:val="center"/>
                </w:tcPr>
                <w:p w14:paraId="4DEF1F0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简单分析</w:t>
                  </w:r>
                </w:p>
              </w:tc>
            </w:tr>
          </w:tbl>
          <w:p w14:paraId="67732581">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简单分析是相对于详细评价工作内容而言，在描述危险物质、环境影响途径、环境危害后果、风险防范措施等方面给出定性的说明。</w:t>
            </w:r>
          </w:p>
          <w:p w14:paraId="3A471610">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87" w:name="_Toc3041"/>
            <w:r>
              <w:rPr>
                <w:rFonts w:hint="eastAsia" w:ascii="Times New Roman" w:hAnsi="Times New Roman" w:eastAsia="宋体" w:cs="Times New Roman"/>
                <w:b/>
                <w:color w:val="auto"/>
                <w:kern w:val="2"/>
                <w:sz w:val="24"/>
                <w:szCs w:val="24"/>
                <w:lang w:val="en-US" w:eastAsia="zh-CN" w:bidi="ar-SA"/>
              </w:rPr>
              <w:t>4.6.3环境风险识别</w:t>
            </w:r>
            <w:bookmarkEnd w:id="87"/>
          </w:p>
          <w:p w14:paraId="7DD6A00B">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本项目可能发生的事故主要有：</w:t>
            </w:r>
            <w:r>
              <w:rPr>
                <w:rFonts w:hint="eastAsia" w:ascii="Times New Roman" w:hAnsi="Times New Roman" w:eastAsia="宋体" w:cs="宋体"/>
                <w:color w:val="auto"/>
                <w:kern w:val="2"/>
                <w:sz w:val="24"/>
                <w:szCs w:val="24"/>
                <w:lang w:val="en-US" w:eastAsia="zh-CN" w:bidi="ar-SA"/>
              </w:rPr>
              <w:t>火灾爆炸事故、废水事故性排放等。</w:t>
            </w:r>
            <w:r>
              <w:rPr>
                <w:rFonts w:hint="default" w:ascii="Times New Roman" w:hAnsi="Times New Roman" w:eastAsia="宋体" w:cs="宋体"/>
                <w:color w:val="auto"/>
                <w:kern w:val="2"/>
                <w:sz w:val="24"/>
                <w:szCs w:val="24"/>
                <w:lang w:val="en-US" w:eastAsia="zh-CN" w:bidi="ar-SA"/>
              </w:rPr>
              <w:t>根据风险识别，本项目主要存在的事故类型有：</w:t>
            </w:r>
          </w:p>
          <w:p w14:paraId="218053BB">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（1）</w:t>
            </w:r>
            <w:r>
              <w:rPr>
                <w:rFonts w:hint="eastAsia" w:ascii="Times New Roman" w:hAnsi="Times New Roman" w:eastAsia="宋体" w:cs="宋体"/>
                <w:color w:val="auto"/>
                <w:kern w:val="2"/>
                <w:sz w:val="24"/>
                <w:szCs w:val="24"/>
                <w:lang w:val="en-US" w:eastAsia="zh-CN" w:bidi="ar-SA"/>
              </w:rPr>
              <w:t>易燃易爆化学品泄漏</w:t>
            </w:r>
            <w:r>
              <w:rPr>
                <w:rFonts w:hint="default" w:ascii="Times New Roman" w:hAnsi="Times New Roman" w:eastAsia="宋体" w:cs="宋体"/>
                <w:color w:val="auto"/>
                <w:kern w:val="2"/>
                <w:sz w:val="24"/>
                <w:szCs w:val="24"/>
                <w:lang w:val="en-US" w:eastAsia="zh-CN" w:bidi="ar-SA"/>
              </w:rPr>
              <w:t>后遇明火发生火灾、爆炸事故</w:t>
            </w:r>
            <w:r>
              <w:rPr>
                <w:rFonts w:hint="eastAsia" w:ascii="Times New Roman" w:hAnsi="Times New Roman" w:eastAsia="宋体" w:cs="宋体"/>
                <w:color w:val="auto"/>
                <w:kern w:val="2"/>
                <w:sz w:val="24"/>
                <w:szCs w:val="24"/>
                <w:lang w:val="en-US" w:eastAsia="zh-CN" w:bidi="ar-SA"/>
              </w:rPr>
              <w:t>。</w:t>
            </w:r>
          </w:p>
          <w:p w14:paraId="3FB20460">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（2）生产废水事故性排放。</w:t>
            </w:r>
          </w:p>
          <w:p w14:paraId="3D239C6E">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88" w:name="_Toc24995"/>
            <w:r>
              <w:rPr>
                <w:rFonts w:hint="eastAsia" w:ascii="Times New Roman" w:hAnsi="Times New Roman" w:eastAsia="宋体" w:cs="Times New Roman"/>
                <w:b/>
                <w:color w:val="auto"/>
                <w:kern w:val="2"/>
                <w:sz w:val="24"/>
                <w:szCs w:val="24"/>
                <w:lang w:val="en-US" w:eastAsia="zh-CN" w:bidi="ar-SA"/>
              </w:rPr>
              <w:t>4.6.4环境风险分析</w:t>
            </w:r>
            <w:bookmarkEnd w:id="88"/>
          </w:p>
          <w:p w14:paraId="7FED9D81">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（1）</w:t>
            </w:r>
            <w:r>
              <w:rPr>
                <w:rFonts w:hint="eastAsia" w:ascii="Times New Roman" w:hAnsi="Times New Roman" w:eastAsia="宋体" w:cs="宋体"/>
                <w:color w:val="auto"/>
                <w:kern w:val="2"/>
                <w:sz w:val="24"/>
                <w:szCs w:val="24"/>
                <w:lang w:val="en-US" w:eastAsia="zh-CN" w:bidi="ar-SA"/>
              </w:rPr>
              <w:t>化学品</w:t>
            </w:r>
            <w:r>
              <w:rPr>
                <w:rFonts w:hint="default" w:ascii="Times New Roman" w:hAnsi="Times New Roman" w:eastAsia="宋体" w:cs="宋体"/>
                <w:color w:val="auto"/>
                <w:kern w:val="2"/>
                <w:sz w:val="24"/>
                <w:szCs w:val="24"/>
                <w:lang w:val="en-US" w:eastAsia="zh-CN" w:bidi="ar-SA"/>
              </w:rPr>
              <w:t>泄漏后果分析</w:t>
            </w:r>
          </w:p>
          <w:p w14:paraId="4F2758CC">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由于</w:t>
            </w:r>
            <w:r>
              <w:rPr>
                <w:rFonts w:hint="eastAsia" w:ascii="Times New Roman" w:hAnsi="Times New Roman" w:eastAsia="宋体" w:cs="宋体"/>
                <w:color w:val="auto"/>
                <w:kern w:val="2"/>
                <w:sz w:val="24"/>
                <w:szCs w:val="24"/>
                <w:lang w:val="en-US" w:eastAsia="zh-CN" w:bidi="ar-SA"/>
              </w:rPr>
              <w:t>设备</w:t>
            </w:r>
            <w:r>
              <w:rPr>
                <w:rFonts w:hint="default" w:ascii="Times New Roman" w:hAnsi="Times New Roman" w:eastAsia="宋体" w:cs="宋体"/>
                <w:color w:val="auto"/>
                <w:kern w:val="2"/>
                <w:sz w:val="24"/>
                <w:szCs w:val="24"/>
                <w:lang w:val="en-US" w:eastAsia="zh-CN" w:bidi="ar-SA"/>
              </w:rPr>
              <w:t>失灵</w:t>
            </w:r>
            <w:r>
              <w:rPr>
                <w:rFonts w:hint="eastAsia" w:ascii="Times New Roman" w:hAnsi="Times New Roman" w:eastAsia="宋体" w:cs="宋体"/>
                <w:color w:val="auto"/>
                <w:kern w:val="2"/>
                <w:sz w:val="24"/>
                <w:szCs w:val="24"/>
                <w:lang w:val="en-US" w:eastAsia="zh-CN" w:bidi="ar-SA"/>
              </w:rPr>
              <w:t>、原辅材料转运</w:t>
            </w:r>
            <w:r>
              <w:rPr>
                <w:rFonts w:hint="default" w:ascii="Times New Roman" w:hAnsi="Times New Roman" w:eastAsia="宋体" w:cs="宋体"/>
                <w:color w:val="auto"/>
                <w:kern w:val="2"/>
                <w:sz w:val="24"/>
                <w:szCs w:val="24"/>
                <w:lang w:val="en-US" w:eastAsia="zh-CN" w:bidi="ar-SA"/>
              </w:rPr>
              <w:t>操作失误等原因都可造成</w:t>
            </w:r>
            <w:r>
              <w:rPr>
                <w:rFonts w:hint="eastAsia" w:ascii="Times New Roman" w:hAnsi="Times New Roman" w:eastAsia="宋体" w:cs="宋体"/>
                <w:color w:val="auto"/>
                <w:kern w:val="2"/>
                <w:sz w:val="24"/>
                <w:szCs w:val="24"/>
                <w:lang w:val="en-US" w:eastAsia="zh-CN" w:bidi="ar-SA"/>
              </w:rPr>
              <w:t>化学品</w:t>
            </w:r>
            <w:r>
              <w:rPr>
                <w:rFonts w:hint="default" w:ascii="Times New Roman" w:hAnsi="Times New Roman" w:eastAsia="宋体" w:cs="宋体"/>
                <w:color w:val="auto"/>
                <w:kern w:val="2"/>
                <w:sz w:val="24"/>
                <w:szCs w:val="24"/>
                <w:lang w:val="en-US" w:eastAsia="zh-CN" w:bidi="ar-SA"/>
              </w:rPr>
              <w:t>泄漏事故，造成项目周围的大气烃类污染。发生</w:t>
            </w:r>
            <w:r>
              <w:rPr>
                <w:rFonts w:hint="eastAsia" w:ascii="Times New Roman" w:hAnsi="Times New Roman" w:eastAsia="宋体" w:cs="宋体"/>
                <w:color w:val="auto"/>
                <w:kern w:val="2"/>
                <w:sz w:val="24"/>
                <w:szCs w:val="24"/>
                <w:lang w:val="en-US" w:eastAsia="zh-CN" w:bidi="ar-SA"/>
              </w:rPr>
              <w:t>化学品</w:t>
            </w:r>
            <w:r>
              <w:rPr>
                <w:rFonts w:hint="default" w:ascii="Times New Roman" w:hAnsi="Times New Roman" w:eastAsia="宋体" w:cs="宋体"/>
                <w:color w:val="auto"/>
                <w:kern w:val="2"/>
                <w:sz w:val="24"/>
                <w:szCs w:val="24"/>
                <w:lang w:val="en-US" w:eastAsia="zh-CN" w:bidi="ar-SA"/>
              </w:rPr>
              <w:t>泄漏时，由于</w:t>
            </w:r>
            <w:r>
              <w:rPr>
                <w:rFonts w:hint="eastAsia" w:ascii="Times New Roman" w:hAnsi="Times New Roman" w:eastAsia="宋体" w:cs="宋体"/>
                <w:color w:val="auto"/>
                <w:kern w:val="2"/>
                <w:sz w:val="24"/>
                <w:szCs w:val="24"/>
                <w:lang w:val="en-US" w:eastAsia="zh-CN" w:bidi="ar-SA"/>
              </w:rPr>
              <w:t>味道</w:t>
            </w:r>
            <w:r>
              <w:rPr>
                <w:rFonts w:hint="default" w:ascii="Times New Roman" w:hAnsi="Times New Roman" w:eastAsia="宋体" w:cs="宋体"/>
                <w:color w:val="auto"/>
                <w:kern w:val="2"/>
                <w:sz w:val="24"/>
                <w:szCs w:val="24"/>
                <w:lang w:val="en-US" w:eastAsia="zh-CN" w:bidi="ar-SA"/>
              </w:rPr>
              <w:t>比较容易发现，若采取必要措施就可将污染控制在</w:t>
            </w:r>
            <w:r>
              <w:rPr>
                <w:rFonts w:hint="eastAsia" w:ascii="Times New Roman" w:hAnsi="Times New Roman" w:eastAsia="宋体" w:cs="宋体"/>
                <w:color w:val="auto"/>
                <w:kern w:val="2"/>
                <w:sz w:val="24"/>
                <w:szCs w:val="24"/>
                <w:lang w:val="en-US" w:eastAsia="zh-CN" w:bidi="ar-SA"/>
              </w:rPr>
              <w:t>泄漏的</w:t>
            </w:r>
            <w:r>
              <w:rPr>
                <w:rFonts w:hint="default" w:ascii="Times New Roman" w:hAnsi="Times New Roman" w:eastAsia="宋体" w:cs="宋体"/>
                <w:color w:val="auto"/>
                <w:kern w:val="2"/>
                <w:sz w:val="24"/>
                <w:szCs w:val="24"/>
                <w:lang w:val="en-US" w:eastAsia="zh-CN" w:bidi="ar-SA"/>
              </w:rPr>
              <w:t>局部区域，不致形成大面积的区域性污染。</w:t>
            </w:r>
          </w:p>
          <w:p w14:paraId="5B79E2ED">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（2）火灾、爆炸后果分析</w:t>
            </w:r>
          </w:p>
          <w:p w14:paraId="25EE6AB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化学品</w:t>
            </w:r>
            <w:r>
              <w:rPr>
                <w:rFonts w:hint="default" w:ascii="Times New Roman" w:hAnsi="Times New Roman" w:eastAsia="宋体" w:cs="宋体"/>
                <w:color w:val="auto"/>
                <w:kern w:val="2"/>
                <w:sz w:val="24"/>
                <w:szCs w:val="24"/>
                <w:lang w:val="en-US" w:eastAsia="zh-CN" w:bidi="ar-SA"/>
              </w:rPr>
              <w:t>泄漏后一旦发生火灾、爆炸事故，对</w:t>
            </w:r>
            <w:r>
              <w:rPr>
                <w:rFonts w:hint="eastAsia" w:ascii="Times New Roman" w:hAnsi="Times New Roman" w:eastAsia="宋体" w:cs="宋体"/>
                <w:color w:val="auto"/>
                <w:kern w:val="2"/>
                <w:sz w:val="24"/>
                <w:szCs w:val="24"/>
                <w:lang w:val="en-US" w:eastAsia="zh-CN" w:bidi="ar-SA"/>
              </w:rPr>
              <w:t>生产</w:t>
            </w:r>
            <w:r>
              <w:rPr>
                <w:rFonts w:hint="default" w:ascii="Times New Roman" w:hAnsi="Times New Roman" w:eastAsia="宋体" w:cs="宋体"/>
                <w:color w:val="auto"/>
                <w:kern w:val="2"/>
                <w:sz w:val="24"/>
                <w:szCs w:val="24"/>
                <w:lang w:val="en-US" w:eastAsia="zh-CN" w:bidi="ar-SA"/>
              </w:rPr>
              <w:t>区域、现场工作人员和过往车辆将产生较为严重的损害。通过类比分析，发生火灾爆炸后，其影响范围相对主要集中在</w:t>
            </w:r>
            <w:r>
              <w:rPr>
                <w:rFonts w:hint="eastAsia" w:ascii="Times New Roman" w:hAnsi="Times New Roman" w:eastAsia="宋体" w:cs="宋体"/>
                <w:color w:val="auto"/>
                <w:kern w:val="2"/>
                <w:sz w:val="24"/>
                <w:szCs w:val="24"/>
                <w:lang w:val="en-US" w:eastAsia="zh-CN" w:bidi="ar-SA"/>
              </w:rPr>
              <w:t>厂</w:t>
            </w:r>
            <w:r>
              <w:rPr>
                <w:rFonts w:hint="default" w:ascii="Times New Roman" w:hAnsi="Times New Roman" w:eastAsia="宋体" w:cs="宋体"/>
                <w:color w:val="auto"/>
                <w:kern w:val="2"/>
                <w:sz w:val="24"/>
                <w:szCs w:val="24"/>
                <w:lang w:val="en-US" w:eastAsia="zh-CN" w:bidi="ar-SA"/>
              </w:rPr>
              <w:t>内，也可能会危害周围的居民，应制定紧急预案，保证危害半径内的居民、重要设施得到迅速救助、撤离或保护。</w:t>
            </w:r>
          </w:p>
          <w:p w14:paraId="41E77AFA">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火灾热辐射影响主要在</w:t>
            </w:r>
            <w:r>
              <w:rPr>
                <w:rFonts w:hint="eastAsia" w:ascii="Times New Roman" w:hAnsi="Times New Roman" w:eastAsia="宋体" w:cs="宋体"/>
                <w:color w:val="auto"/>
                <w:kern w:val="2"/>
                <w:sz w:val="24"/>
                <w:szCs w:val="24"/>
                <w:lang w:val="en-US" w:eastAsia="zh-CN" w:bidi="ar-SA"/>
              </w:rPr>
              <w:t>厂</w:t>
            </w:r>
            <w:r>
              <w:rPr>
                <w:rFonts w:hint="default" w:ascii="Times New Roman" w:hAnsi="Times New Roman" w:eastAsia="宋体" w:cs="宋体"/>
                <w:color w:val="auto"/>
                <w:kern w:val="2"/>
                <w:sz w:val="24"/>
                <w:szCs w:val="24"/>
                <w:lang w:val="en-US" w:eastAsia="zh-CN" w:bidi="ar-SA"/>
              </w:rPr>
              <w:t>区范围，而火灾燃烧过程中同时会伴生大量的烟尘、CO、SO</w:t>
            </w:r>
            <w:r>
              <w:rPr>
                <w:rFonts w:hint="default" w:ascii="Times New Roman" w:hAnsi="Times New Roman" w:eastAsia="宋体" w:cs="宋体"/>
                <w:color w:val="auto"/>
                <w:kern w:val="2"/>
                <w:sz w:val="24"/>
                <w:szCs w:val="24"/>
                <w:vertAlign w:val="subscript"/>
                <w:lang w:val="en-US" w:eastAsia="zh-CN" w:bidi="ar-SA"/>
              </w:rPr>
              <w:t>2</w:t>
            </w:r>
            <w:r>
              <w:rPr>
                <w:rFonts w:hint="default" w:ascii="Times New Roman" w:hAnsi="Times New Roman" w:eastAsia="宋体" w:cs="宋体"/>
                <w:color w:val="auto"/>
                <w:kern w:val="2"/>
                <w:sz w:val="24"/>
                <w:szCs w:val="24"/>
                <w:lang w:val="en-US" w:eastAsia="zh-CN" w:bidi="ar-SA"/>
              </w:rPr>
              <w:t>和NO</w:t>
            </w:r>
            <w:r>
              <w:rPr>
                <w:rFonts w:hint="default" w:ascii="Times New Roman" w:hAnsi="Times New Roman" w:eastAsia="宋体" w:cs="宋体"/>
                <w:color w:val="auto"/>
                <w:kern w:val="2"/>
                <w:sz w:val="24"/>
                <w:szCs w:val="24"/>
                <w:vertAlign w:val="subscript"/>
                <w:lang w:val="en-US" w:eastAsia="zh-CN" w:bidi="ar-SA"/>
              </w:rPr>
              <w:t>2</w:t>
            </w:r>
            <w:r>
              <w:rPr>
                <w:rFonts w:hint="default" w:ascii="Times New Roman" w:hAnsi="Times New Roman" w:eastAsia="宋体" w:cs="宋体"/>
                <w:color w:val="auto"/>
                <w:kern w:val="2"/>
                <w:sz w:val="24"/>
                <w:szCs w:val="24"/>
                <w:lang w:val="en-US" w:eastAsia="zh-CN" w:bidi="ar-SA"/>
              </w:rPr>
              <w:t>等污染物，将对周围大气环境产生影响。由于</w:t>
            </w:r>
            <w:r>
              <w:rPr>
                <w:rFonts w:hint="eastAsia" w:ascii="Times New Roman" w:hAnsi="Times New Roman" w:eastAsia="宋体" w:cs="宋体"/>
                <w:color w:val="auto"/>
                <w:kern w:val="2"/>
                <w:sz w:val="24"/>
                <w:szCs w:val="24"/>
                <w:lang w:val="en-US" w:eastAsia="zh-CN" w:bidi="ar-SA"/>
              </w:rPr>
              <w:t>生产设备</w:t>
            </w:r>
            <w:r>
              <w:rPr>
                <w:rFonts w:hint="default" w:ascii="Times New Roman" w:hAnsi="Times New Roman" w:eastAsia="宋体" w:cs="宋体"/>
                <w:color w:val="auto"/>
                <w:kern w:val="2"/>
                <w:sz w:val="24"/>
                <w:szCs w:val="24"/>
                <w:lang w:val="en-US" w:eastAsia="zh-CN" w:bidi="ar-SA"/>
              </w:rPr>
              <w:t>发生火灾和爆炸后，急剧燃烧所需的供氧量不足，属于典型的不完全燃烧，燃烧过程中产生的CO量很大。污染物影响范围较大，一般都到了几百米以外，尤其是有风的条件下，污染范围更广。</w:t>
            </w:r>
          </w:p>
          <w:p w14:paraId="6D169780">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故在发生着火事故的情况下可能出现大面积的严重污染。本</w:t>
            </w:r>
            <w:r>
              <w:rPr>
                <w:rFonts w:hint="eastAsia" w:ascii="Times New Roman" w:hAnsi="Times New Roman" w:eastAsia="宋体" w:cs="宋体"/>
                <w:color w:val="auto"/>
                <w:kern w:val="2"/>
                <w:sz w:val="24"/>
                <w:szCs w:val="24"/>
                <w:lang w:val="en-US" w:eastAsia="zh-CN" w:bidi="ar-SA"/>
              </w:rPr>
              <w:t>厂区</w:t>
            </w:r>
            <w:r>
              <w:rPr>
                <w:rFonts w:hint="default" w:ascii="Times New Roman" w:hAnsi="Times New Roman" w:eastAsia="宋体" w:cs="宋体"/>
                <w:color w:val="auto"/>
                <w:kern w:val="2"/>
                <w:sz w:val="24"/>
                <w:szCs w:val="24"/>
                <w:lang w:val="en-US" w:eastAsia="zh-CN" w:bidi="ar-SA"/>
              </w:rPr>
              <w:t>的平面设计符合《城镇燃气设计规范》（GB50028-2006）等设计规范中的相关规定，建设方还应该采取严密的防范措施，严防事故的发生，同时应该制定详尽的事故应急预案，确保一旦发生事故可以行之有效的办法进行处理。则项目发生火灾、爆炸的危害程度可得到控制。</w:t>
            </w:r>
          </w:p>
          <w:p w14:paraId="2713F856">
            <w:pPr>
              <w:keepNext/>
              <w:keepLines/>
              <w:widowControl w:val="0"/>
              <w:bidi w:val="0"/>
              <w:spacing w:beforeLines="0" w:beforeAutospacing="0" w:afterLines="0" w:afterAutospacing="0" w:line="360" w:lineRule="auto"/>
              <w:jc w:val="left"/>
              <w:outlineLvl w:val="2"/>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 xml:space="preserve"> </w:t>
            </w:r>
            <w:bookmarkStart w:id="89" w:name="_Toc19228"/>
            <w:bookmarkStart w:id="90" w:name="_Toc9435"/>
            <w:bookmarkStart w:id="91" w:name="_Toc8122"/>
            <w:bookmarkStart w:id="92" w:name="_Toc25083"/>
            <w:bookmarkStart w:id="93" w:name="_Toc22839"/>
            <w:bookmarkStart w:id="94" w:name="_Toc10994"/>
            <w:r>
              <w:rPr>
                <w:rFonts w:hint="default" w:ascii="Times New Roman" w:hAnsi="Times New Roman" w:eastAsia="宋体" w:cs="Times New Roman"/>
                <w:b/>
                <w:color w:val="auto"/>
                <w:kern w:val="2"/>
                <w:sz w:val="24"/>
                <w:szCs w:val="24"/>
                <w:lang w:val="en-US" w:eastAsia="zh-CN" w:bidi="ar-SA"/>
              </w:rPr>
              <w:t>4.6.</w:t>
            </w:r>
            <w:r>
              <w:rPr>
                <w:rFonts w:hint="eastAsia" w:ascii="Times New Roman" w:hAnsi="Times New Roman" w:eastAsia="宋体" w:cs="Times New Roman"/>
                <w:b/>
                <w:color w:val="auto"/>
                <w:kern w:val="2"/>
                <w:sz w:val="24"/>
                <w:szCs w:val="24"/>
                <w:lang w:val="en-US" w:eastAsia="zh-CN" w:bidi="ar-SA"/>
              </w:rPr>
              <w:t>5</w:t>
            </w:r>
            <w:r>
              <w:rPr>
                <w:rFonts w:hint="default" w:ascii="Times New Roman" w:hAnsi="Times New Roman" w:eastAsia="宋体" w:cs="Times New Roman"/>
                <w:b/>
                <w:color w:val="auto"/>
                <w:kern w:val="2"/>
                <w:sz w:val="24"/>
                <w:szCs w:val="24"/>
                <w:lang w:val="en-US" w:eastAsia="zh-CN" w:bidi="ar-SA"/>
              </w:rPr>
              <w:t>环境风险防范措施和事故应急措施</w:t>
            </w:r>
            <w:bookmarkEnd w:id="89"/>
            <w:bookmarkEnd w:id="90"/>
            <w:bookmarkEnd w:id="91"/>
            <w:bookmarkEnd w:id="92"/>
            <w:bookmarkEnd w:id="93"/>
            <w:bookmarkEnd w:id="94"/>
          </w:p>
          <w:p w14:paraId="3BBFFC88">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（1）火灾、爆炸的防控措施</w:t>
            </w:r>
          </w:p>
          <w:p w14:paraId="264E399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①设置</w:t>
            </w:r>
            <w:r>
              <w:rPr>
                <w:rFonts w:hint="eastAsia" w:ascii="Times New Roman" w:hAnsi="Times New Roman" w:eastAsia="宋体" w:cs="宋体"/>
                <w:color w:val="auto"/>
                <w:kern w:val="2"/>
                <w:sz w:val="24"/>
                <w:szCs w:val="24"/>
                <w:lang w:val="en-US" w:eastAsia="zh-CN" w:bidi="ar-SA"/>
              </w:rPr>
              <w:t>应急物资储备</w:t>
            </w:r>
            <w:r>
              <w:rPr>
                <w:rFonts w:hint="default" w:ascii="Times New Roman" w:hAnsi="Times New Roman" w:eastAsia="宋体" w:cs="宋体"/>
                <w:color w:val="auto"/>
                <w:kern w:val="2"/>
                <w:sz w:val="24"/>
                <w:szCs w:val="24"/>
                <w:lang w:val="en-US" w:eastAsia="zh-CN" w:bidi="ar-SA"/>
              </w:rPr>
              <w:t>条件：如消防沙堆、干粉灭火器、灭火毯等消防器具，事故一旦发生可立即利用上述设备，将事故造成的影响降至最低。要定期对消防设施进行检查和维护保养，确保消防设施完好有效。</w:t>
            </w:r>
          </w:p>
          <w:p w14:paraId="1E877B8E">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②加强安全检查，实行以防火为中心的安全管理。</w:t>
            </w:r>
            <w:r>
              <w:rPr>
                <w:rFonts w:hint="eastAsia" w:ascii="Times New Roman" w:hAnsi="Times New Roman" w:eastAsia="宋体" w:cs="宋体"/>
                <w:color w:val="auto"/>
                <w:kern w:val="2"/>
                <w:sz w:val="24"/>
                <w:szCs w:val="24"/>
                <w:lang w:val="en-US" w:eastAsia="zh-CN" w:bidi="ar-SA"/>
              </w:rPr>
              <w:t>危险化学品仓库、生产设备</w:t>
            </w:r>
            <w:r>
              <w:rPr>
                <w:rFonts w:hint="default" w:ascii="Times New Roman" w:hAnsi="Times New Roman" w:eastAsia="宋体" w:cs="宋体"/>
                <w:color w:val="auto"/>
                <w:kern w:val="2"/>
                <w:sz w:val="24"/>
                <w:szCs w:val="24"/>
                <w:lang w:val="en-US" w:eastAsia="zh-CN" w:bidi="ar-SA"/>
              </w:rPr>
              <w:t>周围要坚决杜绝明火，及时清理厂区内可燃杂物，保持消防通道畅通。特别要注意防止电火花引起火灾及爆炸。同时做好检查记录，发现问题和隐患及时进行整改。</w:t>
            </w:r>
          </w:p>
          <w:p w14:paraId="06D1C4B2">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③加强预案制定和演练。为加强对事故的有效控制，降低事故危害程度，公司制定完备的应急救援预案。并针对跑冒、泄漏制定</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污染控制应急救援措施</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w:t>
            </w:r>
          </w:p>
          <w:p w14:paraId="335EDECB">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④加强对公司职工的教育培训，实行上岗证制度，增强职工风险意识，提高事故自救能力，制定和强化各种安全管理、安全运营的规程，减少人为风险事故（如误操作）的发生。</w:t>
            </w:r>
          </w:p>
          <w:p w14:paraId="6B9B6AAD">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（2）危化品储运安全防范措施</w:t>
            </w:r>
          </w:p>
          <w:p w14:paraId="2A0C425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本项目的危险化学品根据用途和类型不同，分别贮存。项目应严格按《危险化学品安全管理条例》的要求，加强对危险化学品的管理；制定危险化学品安全操作规程，要求操作人员严格按操作规程作业；对从事危险化</w:t>
            </w:r>
            <w:r>
              <w:rPr>
                <w:rFonts w:hint="eastAsia" w:ascii="Times New Roman" w:hAnsi="Times New Roman" w:eastAsia="宋体" w:cs="宋体"/>
                <w:color w:val="auto"/>
                <w:kern w:val="2"/>
                <w:sz w:val="24"/>
                <w:szCs w:val="24"/>
                <w:lang w:val="en-US" w:eastAsia="zh-CN" w:bidi="ar-SA"/>
              </w:rPr>
              <w:t>学品</w:t>
            </w:r>
            <w:r>
              <w:rPr>
                <w:rFonts w:hint="default" w:ascii="Times New Roman" w:hAnsi="Times New Roman" w:eastAsia="宋体" w:cs="宋体"/>
                <w:color w:val="auto"/>
                <w:kern w:val="2"/>
                <w:sz w:val="24"/>
                <w:szCs w:val="24"/>
                <w:lang w:val="en-US" w:eastAsia="zh-CN" w:bidi="ar-SA"/>
              </w:rPr>
              <w:t>作业人员定期进行安全培训教育；经常性对危险化学品作业场所进行安全检查。</w:t>
            </w:r>
          </w:p>
          <w:p w14:paraId="6C1348B7">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项目原料储存需符合储存危险化学品的相关条件（如防晒、防潮、通风、防雷、防静电等），实施危险化学品的储存和使用。建立健全安全规程及值勤制度设置通讯、报警装置，确保其处于完好状态；对储存危险化学品的容器，应经有关检验部门定期检验合格后，才能使用，并设置明显的标识及警示牌；对使用危险化学品的名称、数量进行严格登记：凡储存、使用危险化学品的岗位，都应配置合格的防毒器材、消防器材，并确保其处于完好状态</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所有进入储存、使用危险化学品的人员，都必须严格遵守《危险化学品管理制度》。采购危险化学品时，应到已获得危险化学品经营许可证的企业进行采购，并要求供应商提供技术说明书及相关技术资料；采购人员必须进行专业培训并取证：危险化学品的包装物、容器必须有专业检测机构检验合格才能使用：从事危险化学品运输、押运人员，应经有关培训并取证后才能从事危险化学品运输、押运工作；运输危险化学品的车、船应悬挂危险化学品标志不得在人口稠密地停留；危险化学品的运输、押运人员，应配置合格的防护器材。建设单位在储运过程中应小心谨慎，熟知每种物料的性质和储运注意事项。</w:t>
            </w:r>
          </w:p>
          <w:p w14:paraId="38CE609C">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（3）危险化学品间建设要求</w:t>
            </w:r>
          </w:p>
          <w:p w14:paraId="78CF9A7F">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本项目危险化学品仓库的建设应参考《危险化学品经营企业安全技术基本》（GB18265-2019）和《建筑设计防火规范》的建设要求，危险化学品仓库应防潮、平整、坚实、易于清扫，项目采用乙醇等易燃的有机溶剂，采用不发生火花的地面，采用防腐材料，减少火灾隐患。项目采用的胶水，根据建设单位提供的MSDS，具有毒性，因此危险化学品仓库需设置防液体流散措施和通风设备。</w:t>
            </w:r>
          </w:p>
          <w:p w14:paraId="4CCE10FC">
            <w:pPr>
              <w:keepNext/>
              <w:keepLines/>
              <w:widowControl w:val="0"/>
              <w:bidi w:val="0"/>
              <w:spacing w:beforeLines="0" w:beforeAutospacing="0" w:afterLines="0" w:afterAutospacing="0" w:line="360" w:lineRule="auto"/>
              <w:jc w:val="left"/>
              <w:outlineLvl w:val="1"/>
              <w:rPr>
                <w:rFonts w:hint="default" w:ascii="Times New Roman" w:hAnsi="Times New Roman" w:eastAsia="宋体" w:cs="Times New Roman"/>
                <w:b/>
                <w:color w:val="auto"/>
                <w:kern w:val="2"/>
                <w:sz w:val="28"/>
                <w:szCs w:val="24"/>
                <w:lang w:val="en-US" w:eastAsia="zh-CN" w:bidi="ar-SA"/>
              </w:rPr>
            </w:pPr>
            <w:bookmarkStart w:id="95" w:name="_Toc30057"/>
            <w:r>
              <w:rPr>
                <w:rFonts w:hint="eastAsia" w:ascii="Times New Roman" w:hAnsi="Times New Roman" w:eastAsia="宋体" w:cs="Times New Roman"/>
                <w:b/>
                <w:color w:val="auto"/>
                <w:kern w:val="2"/>
                <w:sz w:val="28"/>
                <w:szCs w:val="24"/>
                <w:lang w:val="en-US" w:eastAsia="zh-CN" w:bidi="ar-SA"/>
              </w:rPr>
              <w:t>4.7环保投资估算</w:t>
            </w:r>
            <w:bookmarkEnd w:id="95"/>
          </w:p>
          <w:p w14:paraId="4C8FDD65">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本项目环保措施包括废水、废气、噪声治理措施、固体废物收集场所等。具体见表4.7-1。</w:t>
            </w:r>
          </w:p>
          <w:p w14:paraId="0A2A86AD">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表4.7-1  环保投资估算</w:t>
            </w:r>
          </w:p>
          <w:tbl>
            <w:tblPr>
              <w:tblStyle w:val="18"/>
              <w:tblW w:w="8100" w:type="dxa"/>
              <w:tblInd w:w="-72"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0"/>
              <w:gridCol w:w="855"/>
              <w:gridCol w:w="5670"/>
              <w:gridCol w:w="915"/>
            </w:tblGrid>
            <w:tr w14:paraId="036D1E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0" w:type="dxa"/>
                  <w:tcBorders>
                    <w:tl2br w:val="nil"/>
                    <w:tr2bl w:val="nil"/>
                  </w:tcBorders>
                  <w:noWrap w:val="0"/>
                  <w:vAlign w:val="center"/>
                </w:tcPr>
                <w:p w14:paraId="6683326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序号</w:t>
                  </w:r>
                </w:p>
              </w:tc>
              <w:tc>
                <w:tcPr>
                  <w:tcW w:w="855" w:type="dxa"/>
                  <w:tcBorders>
                    <w:tl2br w:val="nil"/>
                    <w:tr2bl w:val="nil"/>
                  </w:tcBorders>
                  <w:noWrap w:val="0"/>
                  <w:vAlign w:val="center"/>
                </w:tcPr>
                <w:p w14:paraId="53DEF21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污染源</w:t>
                  </w:r>
                </w:p>
              </w:tc>
              <w:tc>
                <w:tcPr>
                  <w:tcW w:w="5670" w:type="dxa"/>
                  <w:tcBorders>
                    <w:tl2br w:val="nil"/>
                    <w:tr2bl w:val="nil"/>
                  </w:tcBorders>
                  <w:noWrap w:val="0"/>
                  <w:vAlign w:val="center"/>
                </w:tcPr>
                <w:p w14:paraId="10EB008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措施</w:t>
                  </w:r>
                </w:p>
              </w:tc>
              <w:tc>
                <w:tcPr>
                  <w:tcW w:w="915" w:type="dxa"/>
                  <w:tcBorders>
                    <w:tl2br w:val="nil"/>
                    <w:tr2bl w:val="nil"/>
                  </w:tcBorders>
                  <w:noWrap w:val="0"/>
                  <w:vAlign w:val="center"/>
                </w:tcPr>
                <w:p w14:paraId="32407F6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投资</w:t>
                  </w:r>
                </w:p>
              </w:tc>
            </w:tr>
            <w:tr w14:paraId="0ED0C6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0" w:type="dxa"/>
                  <w:tcBorders>
                    <w:tl2br w:val="nil"/>
                    <w:tr2bl w:val="nil"/>
                  </w:tcBorders>
                  <w:noWrap w:val="0"/>
                  <w:vAlign w:val="center"/>
                </w:tcPr>
                <w:p w14:paraId="4353FF8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w:t>
                  </w:r>
                </w:p>
              </w:tc>
              <w:tc>
                <w:tcPr>
                  <w:tcW w:w="855" w:type="dxa"/>
                  <w:tcBorders>
                    <w:tl2br w:val="nil"/>
                    <w:tr2bl w:val="nil"/>
                  </w:tcBorders>
                  <w:noWrap w:val="0"/>
                  <w:vAlign w:val="center"/>
                </w:tcPr>
                <w:p w14:paraId="065C109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废水</w:t>
                  </w:r>
                </w:p>
              </w:tc>
              <w:tc>
                <w:tcPr>
                  <w:tcW w:w="5670" w:type="dxa"/>
                  <w:tcBorders>
                    <w:tl2br w:val="nil"/>
                    <w:tr2bl w:val="nil"/>
                  </w:tcBorders>
                  <w:noWrap w:val="0"/>
                  <w:vAlign w:val="center"/>
                </w:tcPr>
                <w:p w14:paraId="50C729BB">
                  <w:pPr>
                    <w:pStyle w:val="28"/>
                    <w:bidi w:val="0"/>
                    <w:rPr>
                      <w:rFonts w:hint="default" w:ascii="Times New Roman" w:hAnsi="Times New Roman" w:eastAsia="宋体"/>
                      <w:color w:val="auto"/>
                      <w:lang w:val="en-US" w:eastAsia="zh-CN"/>
                    </w:rPr>
                  </w:pPr>
                  <w:r>
                    <w:rPr>
                      <w:rFonts w:hint="eastAsia" w:ascii="Times New Roman" w:hAnsi="Times New Roman" w:eastAsia="宋体" w:cs="Times New Roman"/>
                      <w:color w:val="auto"/>
                      <w:kern w:val="2"/>
                      <w:sz w:val="24"/>
                      <w:szCs w:val="24"/>
                      <w:lang w:val="en-US" w:eastAsia="zh-CN" w:bidi="ar-SA"/>
                    </w:rPr>
                    <w:t>铣磨、倒边</w:t>
                  </w:r>
                  <w:r>
                    <w:rPr>
                      <w:rFonts w:hint="default" w:ascii="Times New Roman" w:hAnsi="Times New Roman" w:eastAsia="宋体"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研磨、</w:t>
                  </w:r>
                  <w:r>
                    <w:rPr>
                      <w:rFonts w:hint="default" w:ascii="Times New Roman" w:hAnsi="Times New Roman" w:eastAsia="宋体" w:cs="Times New Roman"/>
                      <w:color w:val="auto"/>
                      <w:kern w:val="2"/>
                      <w:sz w:val="24"/>
                      <w:szCs w:val="24"/>
                      <w:lang w:val="en-US" w:eastAsia="zh-CN" w:bidi="ar-SA"/>
                    </w:rPr>
                    <w:t>抛光</w:t>
                  </w:r>
                  <w:r>
                    <w:rPr>
                      <w:rFonts w:hint="eastAsia" w:ascii="Times New Roman" w:hAnsi="Times New Roman" w:eastAsia="宋体" w:cs="Times New Roman"/>
                      <w:color w:val="auto"/>
                      <w:kern w:val="2"/>
                      <w:sz w:val="24"/>
                      <w:szCs w:val="24"/>
                      <w:lang w:val="en-US" w:eastAsia="zh-CN" w:bidi="ar-SA"/>
                    </w:rPr>
                    <w:t>、喷淋塔</w:t>
                  </w:r>
                  <w:r>
                    <w:rPr>
                      <w:rFonts w:hint="default" w:ascii="Times New Roman" w:hAnsi="Times New Roman" w:eastAsia="宋体" w:cs="Times New Roman"/>
                      <w:color w:val="auto"/>
                      <w:kern w:val="2"/>
                      <w:sz w:val="24"/>
                      <w:szCs w:val="24"/>
                      <w:lang w:val="en-US" w:eastAsia="zh-CN" w:bidi="ar-SA"/>
                    </w:rPr>
                    <w:t>废水经过</w:t>
                  </w:r>
                  <w:r>
                    <w:rPr>
                      <w:rFonts w:hint="eastAsia" w:ascii="Times New Roman" w:hAnsi="Times New Roman" w:eastAsia="宋体" w:cs="Times New Roman"/>
                      <w:color w:val="auto"/>
                      <w:kern w:val="2"/>
                      <w:sz w:val="24"/>
                      <w:szCs w:val="24"/>
                      <w:lang w:val="en-US" w:eastAsia="zh-CN" w:bidi="ar-SA"/>
                    </w:rPr>
                    <w:t>三格</w:t>
                  </w:r>
                  <w:r>
                    <w:rPr>
                      <w:rFonts w:hint="default" w:ascii="Times New Roman" w:hAnsi="Times New Roman" w:eastAsia="宋体" w:cs="Times New Roman"/>
                      <w:color w:val="auto"/>
                      <w:kern w:val="2"/>
                      <w:sz w:val="24"/>
                      <w:szCs w:val="24"/>
                      <w:lang w:val="en-US" w:eastAsia="zh-CN" w:bidi="ar-SA"/>
                    </w:rPr>
                    <w:t>沉淀</w:t>
                  </w:r>
                  <w:r>
                    <w:rPr>
                      <w:rFonts w:hint="eastAsia" w:ascii="Times New Roman" w:hAnsi="Times New Roman" w:eastAsia="宋体" w:cs="Times New Roman"/>
                      <w:color w:val="auto"/>
                      <w:kern w:val="2"/>
                      <w:sz w:val="24"/>
                      <w:szCs w:val="24"/>
                      <w:lang w:val="en-US" w:eastAsia="zh-CN" w:bidi="ar-SA"/>
                    </w:rPr>
                    <w:t>处理</w:t>
                  </w:r>
                  <w:r>
                    <w:rPr>
                      <w:rFonts w:hint="default" w:ascii="Times New Roman" w:hAnsi="Times New Roman" w:eastAsia="宋体" w:cs="Times New Roman"/>
                      <w:color w:val="auto"/>
                      <w:kern w:val="2"/>
                      <w:sz w:val="24"/>
                      <w:szCs w:val="24"/>
                      <w:lang w:val="en-US" w:eastAsia="zh-CN" w:bidi="ar-SA"/>
                    </w:rPr>
                    <w:t>后进入调节池，再经过</w:t>
                  </w:r>
                  <w:r>
                    <w:rPr>
                      <w:rFonts w:hint="eastAsia" w:ascii="Times New Roman" w:hAnsi="Times New Roman" w:eastAsia="宋体" w:cs="Times New Roman"/>
                      <w:color w:val="auto"/>
                      <w:kern w:val="2"/>
                      <w:sz w:val="24"/>
                      <w:szCs w:val="24"/>
                      <w:lang w:val="en-US" w:eastAsia="zh-CN" w:bidi="ar-SA"/>
                    </w:rPr>
                    <w:t>混凝沉淀</w:t>
                  </w:r>
                  <w:r>
                    <w:rPr>
                      <w:rFonts w:hint="default" w:ascii="Times New Roman" w:hAnsi="Times New Roman" w:eastAsia="宋体" w:cs="Times New Roman"/>
                      <w:color w:val="auto"/>
                      <w:kern w:val="2"/>
                      <w:sz w:val="24"/>
                      <w:szCs w:val="24"/>
                      <w:lang w:val="en-US" w:eastAsia="zh-CN" w:bidi="ar-SA"/>
                    </w:rPr>
                    <w:t>废水处理设施处理达标后排入市政管网，纳入大学城污水处理厂；药水槽</w:t>
                  </w:r>
                  <w:r>
                    <w:rPr>
                      <w:rFonts w:hint="eastAsia" w:ascii="Times New Roman" w:hAnsi="Times New Roman" w:eastAsia="宋体" w:cs="Times New Roman"/>
                      <w:color w:val="auto"/>
                      <w:kern w:val="2"/>
                      <w:sz w:val="24"/>
                      <w:szCs w:val="24"/>
                      <w:lang w:val="en-US" w:eastAsia="zh-CN" w:bidi="ar-SA"/>
                    </w:rPr>
                    <w:t>中的清洗剂</w:t>
                  </w:r>
                  <w:r>
                    <w:rPr>
                      <w:rFonts w:hint="default" w:ascii="Times New Roman" w:hAnsi="Times New Roman" w:eastAsia="宋体" w:cs="Times New Roman"/>
                      <w:color w:val="auto"/>
                      <w:kern w:val="2"/>
                      <w:sz w:val="24"/>
                      <w:szCs w:val="24"/>
                      <w:lang w:val="en-US" w:eastAsia="zh-CN" w:bidi="ar-SA"/>
                    </w:rPr>
                    <w:t>废水进入</w:t>
                  </w:r>
                  <w:r>
                    <w:rPr>
                      <w:rFonts w:hint="eastAsia" w:ascii="Times New Roman" w:hAnsi="Times New Roman" w:eastAsia="宋体" w:cs="Times New Roman"/>
                      <w:color w:val="auto"/>
                      <w:kern w:val="2"/>
                      <w:sz w:val="24"/>
                      <w:szCs w:val="24"/>
                      <w:lang w:val="en-US" w:eastAsia="zh-CN" w:bidi="ar-SA"/>
                    </w:rPr>
                    <w:t>集水</w:t>
                  </w:r>
                  <w:r>
                    <w:rPr>
                      <w:rFonts w:hint="default" w:ascii="Times New Roman" w:hAnsi="Times New Roman" w:eastAsia="宋体" w:cs="Times New Roman"/>
                      <w:color w:val="auto"/>
                      <w:kern w:val="2"/>
                      <w:sz w:val="24"/>
                      <w:szCs w:val="24"/>
                      <w:lang w:val="en-US" w:eastAsia="zh-CN" w:bidi="ar-SA"/>
                    </w:rPr>
                    <w:t>调节池，再经过</w:t>
                  </w:r>
                  <w:r>
                    <w:rPr>
                      <w:rFonts w:hint="eastAsia" w:ascii="Times New Roman" w:hAnsi="Times New Roman" w:eastAsia="宋体" w:cs="Times New Roman"/>
                      <w:color w:val="auto"/>
                      <w:kern w:val="2"/>
                      <w:sz w:val="24"/>
                      <w:szCs w:val="24"/>
                      <w:lang w:val="en-US" w:eastAsia="zh-CN" w:bidi="ar-SA"/>
                    </w:rPr>
                    <w:t>混凝沉淀</w:t>
                  </w:r>
                  <w:r>
                    <w:rPr>
                      <w:rFonts w:hint="default" w:ascii="Times New Roman" w:hAnsi="Times New Roman" w:eastAsia="宋体" w:cs="Times New Roman"/>
                      <w:color w:val="auto"/>
                      <w:kern w:val="2"/>
                      <w:sz w:val="24"/>
                      <w:szCs w:val="24"/>
                      <w:lang w:val="en-US" w:eastAsia="zh-CN" w:bidi="ar-SA"/>
                    </w:rPr>
                    <w:t>废水处理设施处理达标后排入市政管网，纳入大学城污水处理厂</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纯水槽的纯</w:t>
                  </w:r>
                  <w:r>
                    <w:rPr>
                      <w:rFonts w:hint="eastAsia" w:ascii="Times New Roman" w:hAnsi="Times New Roman" w:eastAsia="宋体" w:cs="Times New Roman"/>
                      <w:color w:val="auto"/>
                      <w:kern w:val="2"/>
                      <w:sz w:val="24"/>
                      <w:szCs w:val="24"/>
                      <w:lang w:val="en-US" w:eastAsia="zh-CN" w:bidi="ar-SA"/>
                    </w:rPr>
                    <w:t>净废</w:t>
                  </w:r>
                  <w:r>
                    <w:rPr>
                      <w:rFonts w:hint="default" w:ascii="Times New Roman" w:hAnsi="Times New Roman" w:eastAsia="宋体" w:cs="Times New Roman"/>
                      <w:color w:val="auto"/>
                      <w:kern w:val="2"/>
                      <w:sz w:val="24"/>
                      <w:szCs w:val="24"/>
                      <w:lang w:val="en-US" w:eastAsia="zh-CN" w:bidi="ar-SA"/>
                    </w:rPr>
                    <w:t>水与</w:t>
                  </w:r>
                  <w:r>
                    <w:rPr>
                      <w:rFonts w:hint="eastAsia" w:ascii="Times New Roman" w:hAnsi="Times New Roman" w:eastAsia="宋体" w:cs="Times New Roman"/>
                      <w:color w:val="auto"/>
                      <w:kern w:val="2"/>
                      <w:sz w:val="24"/>
                      <w:szCs w:val="24"/>
                      <w:lang w:val="en-US" w:eastAsia="zh-CN" w:bidi="ar-SA"/>
                    </w:rPr>
                    <w:t>纯水制备的</w:t>
                  </w:r>
                  <w:r>
                    <w:rPr>
                      <w:rFonts w:hint="default" w:ascii="Times New Roman" w:hAnsi="Times New Roman" w:eastAsia="宋体" w:cs="Times New Roman"/>
                      <w:color w:val="auto"/>
                      <w:kern w:val="2"/>
                      <w:sz w:val="24"/>
                      <w:szCs w:val="24"/>
                      <w:lang w:val="en-US" w:eastAsia="zh-CN" w:bidi="ar-SA"/>
                    </w:rPr>
                    <w:t>非纯净废水排入市政管网，纳入大学城污水处理厂</w:t>
                  </w:r>
                  <w:r>
                    <w:rPr>
                      <w:rFonts w:hint="eastAsia" w:ascii="Times New Roman" w:hAnsi="Times New Roman" w:eastAsia="宋体" w:cs="Times New Roman"/>
                      <w:color w:val="auto"/>
                      <w:kern w:val="2"/>
                      <w:sz w:val="24"/>
                      <w:szCs w:val="24"/>
                      <w:lang w:val="en-US" w:eastAsia="zh-CN" w:bidi="ar-SA"/>
                    </w:rPr>
                    <w:t>；生活污水经化粪池处理达标后排入市政管网，纳入大学城污水处理厂</w:t>
                  </w:r>
                </w:p>
              </w:tc>
              <w:tc>
                <w:tcPr>
                  <w:tcW w:w="915" w:type="dxa"/>
                  <w:tcBorders>
                    <w:tl2br w:val="nil"/>
                    <w:tr2bl w:val="nil"/>
                  </w:tcBorders>
                  <w:noWrap w:val="0"/>
                  <w:vAlign w:val="center"/>
                </w:tcPr>
                <w:p w14:paraId="6BE7F9E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10万元</w:t>
                  </w:r>
                </w:p>
              </w:tc>
            </w:tr>
            <w:tr w14:paraId="3DB35B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60" w:type="dxa"/>
                  <w:tcBorders>
                    <w:tl2br w:val="nil"/>
                    <w:tr2bl w:val="nil"/>
                  </w:tcBorders>
                  <w:noWrap w:val="0"/>
                  <w:vAlign w:val="center"/>
                </w:tcPr>
                <w:p w14:paraId="74E10E5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2</w:t>
                  </w:r>
                </w:p>
              </w:tc>
              <w:tc>
                <w:tcPr>
                  <w:tcW w:w="855" w:type="dxa"/>
                  <w:tcBorders>
                    <w:tl2br w:val="nil"/>
                    <w:tr2bl w:val="nil"/>
                  </w:tcBorders>
                  <w:noWrap w:val="0"/>
                  <w:vAlign w:val="center"/>
                </w:tcPr>
                <w:p w14:paraId="7CB3AC2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废气</w:t>
                  </w:r>
                </w:p>
              </w:tc>
              <w:tc>
                <w:tcPr>
                  <w:tcW w:w="5670" w:type="dxa"/>
                  <w:tcBorders>
                    <w:tl2br w:val="nil"/>
                    <w:tr2bl w:val="nil"/>
                  </w:tcBorders>
                  <w:noWrap w:val="0"/>
                  <w:vAlign w:val="center"/>
                </w:tcPr>
                <w:p w14:paraId="698145D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sz w:val="24"/>
                      <w:szCs w:val="24"/>
                      <w:lang w:val="en-US" w:eastAsia="zh-CN"/>
                    </w:rPr>
                    <w:t>倒边废气通过设备密闭管道收集，擦拭检测车间、超声波清洗车间密闭负压收集废气，通过二级活性炭吸附装置处理达标后由40m高排气筒排放；晶体生长车间密闭负压收集废气通过碱液喷淋吸收塔处理达标后由40m高排气筒排放</w:t>
                  </w:r>
                </w:p>
              </w:tc>
              <w:tc>
                <w:tcPr>
                  <w:tcW w:w="915" w:type="dxa"/>
                  <w:tcBorders>
                    <w:tl2br w:val="nil"/>
                    <w:tr2bl w:val="nil"/>
                  </w:tcBorders>
                  <w:noWrap w:val="0"/>
                  <w:vAlign w:val="center"/>
                </w:tcPr>
                <w:p w14:paraId="6C72B64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10万元</w:t>
                  </w:r>
                </w:p>
              </w:tc>
            </w:tr>
            <w:tr w14:paraId="77470F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0" w:type="dxa"/>
                  <w:tcBorders>
                    <w:tl2br w:val="nil"/>
                    <w:tr2bl w:val="nil"/>
                  </w:tcBorders>
                  <w:noWrap w:val="0"/>
                  <w:vAlign w:val="center"/>
                </w:tcPr>
                <w:p w14:paraId="6108B40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3</w:t>
                  </w:r>
                </w:p>
              </w:tc>
              <w:tc>
                <w:tcPr>
                  <w:tcW w:w="855" w:type="dxa"/>
                  <w:tcBorders>
                    <w:tl2br w:val="nil"/>
                    <w:tr2bl w:val="nil"/>
                  </w:tcBorders>
                  <w:noWrap w:val="0"/>
                  <w:vAlign w:val="center"/>
                </w:tcPr>
                <w:p w14:paraId="292196F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噪声</w:t>
                  </w:r>
                </w:p>
              </w:tc>
              <w:tc>
                <w:tcPr>
                  <w:tcW w:w="5670" w:type="dxa"/>
                  <w:tcBorders>
                    <w:tl2br w:val="nil"/>
                    <w:tr2bl w:val="nil"/>
                  </w:tcBorders>
                  <w:noWrap w:val="0"/>
                  <w:vAlign w:val="center"/>
                </w:tcPr>
                <w:p w14:paraId="2AAC7DB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olor w:val="auto"/>
                      <w:sz w:val="24"/>
                      <w:szCs w:val="24"/>
                    </w:rPr>
                    <w:t>优先选用先进、低噪声设备；对高噪声设备采取减振基础、安装减振垫圈等减震措施；对各类机械设备定期检修、维护，防止设备异常噪声产生；优化平面布局，合理布置高噪声设备于远离声环境敏感点位置</w:t>
                  </w:r>
                  <w:r>
                    <w:rPr>
                      <w:rFonts w:hint="eastAsia" w:ascii="Times New Roman" w:hAnsi="Times New Roman" w:eastAsia="宋体"/>
                      <w:color w:val="auto"/>
                      <w:sz w:val="24"/>
                      <w:szCs w:val="24"/>
                      <w:lang w:eastAsia="zh-CN"/>
                    </w:rPr>
                    <w:t>，</w:t>
                  </w:r>
                  <w:r>
                    <w:rPr>
                      <w:rFonts w:hint="eastAsia" w:ascii="Times New Roman" w:hAnsi="Times New Roman" w:eastAsia="宋体"/>
                      <w:color w:val="auto"/>
                      <w:sz w:val="24"/>
                      <w:szCs w:val="24"/>
                      <w:lang w:val="en-US" w:eastAsia="zh-CN"/>
                    </w:rPr>
                    <w:t>夜间不生产</w:t>
                  </w:r>
                </w:p>
              </w:tc>
              <w:tc>
                <w:tcPr>
                  <w:tcW w:w="915" w:type="dxa"/>
                  <w:tcBorders>
                    <w:tl2br w:val="nil"/>
                    <w:tr2bl w:val="nil"/>
                  </w:tcBorders>
                  <w:noWrap w:val="0"/>
                  <w:vAlign w:val="center"/>
                </w:tcPr>
                <w:p w14:paraId="40CF5B2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3万元</w:t>
                  </w:r>
                </w:p>
              </w:tc>
            </w:tr>
            <w:tr w14:paraId="16DB0F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0" w:type="dxa"/>
                  <w:tcBorders>
                    <w:tl2br w:val="nil"/>
                    <w:tr2bl w:val="nil"/>
                  </w:tcBorders>
                  <w:noWrap w:val="0"/>
                  <w:vAlign w:val="center"/>
                </w:tcPr>
                <w:p w14:paraId="3379A8F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4</w:t>
                  </w:r>
                </w:p>
              </w:tc>
              <w:tc>
                <w:tcPr>
                  <w:tcW w:w="855" w:type="dxa"/>
                  <w:tcBorders>
                    <w:tl2br w:val="nil"/>
                    <w:tr2bl w:val="nil"/>
                  </w:tcBorders>
                  <w:noWrap w:val="0"/>
                  <w:vAlign w:val="center"/>
                </w:tcPr>
                <w:p w14:paraId="0771B83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固体废物</w:t>
                  </w:r>
                </w:p>
              </w:tc>
              <w:tc>
                <w:tcPr>
                  <w:tcW w:w="5670" w:type="dxa"/>
                  <w:tcBorders>
                    <w:tl2br w:val="nil"/>
                    <w:tr2bl w:val="nil"/>
                  </w:tcBorders>
                  <w:noWrap w:val="0"/>
                  <w:vAlign w:val="center"/>
                </w:tcPr>
                <w:p w14:paraId="0287850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一般工业固体废物定期外售给其他企业综合利用；设置垃圾桶存放生活垃圾，并委托环卫部门定期清运；危险废物存放于危险废物暂存间，定期委托有处置危险废物资质的单位处置</w:t>
                  </w:r>
                </w:p>
              </w:tc>
              <w:tc>
                <w:tcPr>
                  <w:tcW w:w="915" w:type="dxa"/>
                  <w:tcBorders>
                    <w:tl2br w:val="nil"/>
                    <w:tr2bl w:val="nil"/>
                  </w:tcBorders>
                  <w:noWrap w:val="0"/>
                  <w:vAlign w:val="center"/>
                </w:tcPr>
                <w:p w14:paraId="572C882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2万元</w:t>
                  </w:r>
                </w:p>
              </w:tc>
            </w:tr>
            <w:tr w14:paraId="4DEF5F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85" w:type="dxa"/>
                  <w:gridSpan w:val="3"/>
                  <w:tcBorders>
                    <w:tl2br w:val="nil"/>
                    <w:tr2bl w:val="nil"/>
                  </w:tcBorders>
                  <w:noWrap w:val="0"/>
                  <w:vAlign w:val="center"/>
                </w:tcPr>
                <w:p w14:paraId="3A3A3CA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合计</w:t>
                  </w:r>
                </w:p>
              </w:tc>
              <w:tc>
                <w:tcPr>
                  <w:tcW w:w="915" w:type="dxa"/>
                  <w:tcBorders>
                    <w:tl2br w:val="nil"/>
                    <w:tr2bl w:val="nil"/>
                  </w:tcBorders>
                  <w:noWrap w:val="0"/>
                  <w:vAlign w:val="center"/>
                </w:tcPr>
                <w:p w14:paraId="12B00AE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25万元</w:t>
                  </w:r>
                </w:p>
              </w:tc>
            </w:tr>
          </w:tbl>
          <w:p w14:paraId="5ACCF5FA">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p>
        </w:tc>
      </w:tr>
    </w:tbl>
    <w:p w14:paraId="3B772BE6">
      <w:pPr>
        <w:pStyle w:val="5"/>
        <w:bidi w:val="0"/>
        <w:rPr>
          <w:rFonts w:hint="eastAsia"/>
          <w:color w:val="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3E24A131">
      <w:pPr>
        <w:pStyle w:val="5"/>
        <w:bidi w:val="0"/>
        <w:rPr>
          <w:rFonts w:ascii="黑体" w:hAnsi="黑体" w:eastAsia="黑体"/>
          <w:snapToGrid w:val="0"/>
          <w:color w:val="auto"/>
          <w:szCs w:val="30"/>
        </w:rPr>
      </w:pPr>
      <w:r>
        <w:rPr>
          <w:rFonts w:hint="eastAsia"/>
          <w:color w:val="auto"/>
        </w:rPr>
        <w:t>五、</w:t>
      </w:r>
      <w:bookmarkStart w:id="96" w:name="_Hlk54167917"/>
      <w:r>
        <w:rPr>
          <w:rFonts w:hint="eastAsia"/>
          <w:color w:val="auto"/>
        </w:rPr>
        <w:t>环境保护措施监督检查清单</w:t>
      </w:r>
      <w:bookmarkEnd w:id="96"/>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8"/>
        <w:gridCol w:w="1030"/>
        <w:gridCol w:w="1755"/>
        <w:gridCol w:w="1755"/>
        <w:gridCol w:w="1755"/>
        <w:gridCol w:w="1757"/>
        <w:gridCol w:w="112"/>
      </w:tblGrid>
      <w:tr w14:paraId="763443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12" w:type="dxa"/>
          <w:trHeight w:val="425" w:hRule="atLeast"/>
          <w:jc w:val="center"/>
        </w:trPr>
        <w:tc>
          <w:tcPr>
            <w:tcW w:w="1778" w:type="dxa"/>
            <w:gridSpan w:val="2"/>
            <w:tcBorders>
              <w:tl2br w:val="single" w:color="auto" w:sz="4" w:space="0"/>
            </w:tcBorders>
            <w:noWrap w:val="0"/>
            <w:vAlign w:val="top"/>
          </w:tcPr>
          <w:p w14:paraId="2E7F29C7">
            <w:pPr>
              <w:adjustRightInd w:val="0"/>
              <w:snapToGrid w:val="0"/>
              <w:ind w:firstLine="840"/>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rPr>
              <w:t>内容</w:t>
            </w:r>
          </w:p>
          <w:p w14:paraId="78614623">
            <w:pPr>
              <w:adjustRightInd w:val="0"/>
              <w:snapToGrid w:val="0"/>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rPr>
              <w:t>要素</w:t>
            </w:r>
          </w:p>
        </w:tc>
        <w:tc>
          <w:tcPr>
            <w:tcW w:w="1755" w:type="dxa"/>
            <w:noWrap w:val="0"/>
            <w:vAlign w:val="center"/>
          </w:tcPr>
          <w:p w14:paraId="394C10D3">
            <w:pPr>
              <w:adjustRightInd w:val="0"/>
              <w:snapToGrid w:val="0"/>
              <w:jc w:val="center"/>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rPr>
              <w:t>排放口</w:t>
            </w:r>
            <w:r>
              <w:rPr>
                <w:rFonts w:hint="eastAsia" w:ascii="Times New Roman" w:hAnsi="Times New Roman" w:eastAsia="宋体" w:cs="宋体"/>
                <w:color w:val="auto"/>
                <w:sz w:val="24"/>
                <w:szCs w:val="24"/>
                <w:lang w:eastAsia="zh-CN"/>
              </w:rPr>
              <w:t>（</w:t>
            </w:r>
            <w:r>
              <w:rPr>
                <w:rFonts w:hint="eastAsia" w:ascii="Times New Roman" w:hAnsi="Times New Roman" w:eastAsia="宋体" w:cs="宋体"/>
                <w:color w:val="auto"/>
                <w:sz w:val="24"/>
                <w:szCs w:val="24"/>
              </w:rPr>
              <w:t>编号、</w:t>
            </w:r>
          </w:p>
          <w:p w14:paraId="7F125BE6">
            <w:pPr>
              <w:adjustRightInd w:val="0"/>
              <w:snapToGrid w:val="0"/>
              <w:jc w:val="center"/>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rPr>
              <w:t>名称</w:t>
            </w:r>
            <w:r>
              <w:rPr>
                <w:rFonts w:hint="eastAsia" w:ascii="Times New Roman" w:hAnsi="Times New Roman" w:eastAsia="宋体" w:cs="宋体"/>
                <w:color w:val="auto"/>
                <w:sz w:val="24"/>
                <w:szCs w:val="24"/>
                <w:lang w:eastAsia="zh-CN"/>
              </w:rPr>
              <w:t>）</w:t>
            </w:r>
            <w:r>
              <w:rPr>
                <w:rFonts w:hint="eastAsia" w:ascii="Times New Roman" w:hAnsi="Times New Roman" w:eastAsia="宋体" w:cs="宋体"/>
                <w:color w:val="auto"/>
                <w:sz w:val="24"/>
                <w:szCs w:val="24"/>
              </w:rPr>
              <w:t>/污染源</w:t>
            </w:r>
          </w:p>
        </w:tc>
        <w:tc>
          <w:tcPr>
            <w:tcW w:w="1755" w:type="dxa"/>
            <w:noWrap w:val="0"/>
            <w:vAlign w:val="center"/>
          </w:tcPr>
          <w:p w14:paraId="1D1A4958">
            <w:pPr>
              <w:adjustRightInd w:val="0"/>
              <w:snapToGrid w:val="0"/>
              <w:jc w:val="center"/>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rPr>
              <w:t>污染物项目</w:t>
            </w:r>
          </w:p>
        </w:tc>
        <w:tc>
          <w:tcPr>
            <w:tcW w:w="1755" w:type="dxa"/>
            <w:noWrap w:val="0"/>
            <w:vAlign w:val="center"/>
          </w:tcPr>
          <w:p w14:paraId="4261B204">
            <w:pPr>
              <w:adjustRightInd w:val="0"/>
              <w:snapToGrid w:val="0"/>
              <w:jc w:val="center"/>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rPr>
              <w:t>环境保护措施</w:t>
            </w:r>
          </w:p>
        </w:tc>
        <w:tc>
          <w:tcPr>
            <w:tcW w:w="1757" w:type="dxa"/>
            <w:noWrap w:val="0"/>
            <w:vAlign w:val="center"/>
          </w:tcPr>
          <w:p w14:paraId="4E4E9E3F">
            <w:pPr>
              <w:adjustRightInd w:val="0"/>
              <w:snapToGrid w:val="0"/>
              <w:jc w:val="center"/>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rPr>
              <w:t>执行标准</w:t>
            </w:r>
          </w:p>
        </w:tc>
      </w:tr>
      <w:tr w14:paraId="422465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12" w:type="dxa"/>
          <w:trHeight w:val="425" w:hRule="atLeast"/>
          <w:jc w:val="center"/>
        </w:trPr>
        <w:tc>
          <w:tcPr>
            <w:tcW w:w="1778" w:type="dxa"/>
            <w:gridSpan w:val="2"/>
            <w:vMerge w:val="restart"/>
            <w:noWrap w:val="0"/>
            <w:vAlign w:val="center"/>
          </w:tcPr>
          <w:p w14:paraId="2E99F3E3">
            <w:pPr>
              <w:adjustRightInd w:val="0"/>
              <w:snapToGrid w:val="0"/>
              <w:jc w:val="center"/>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rPr>
              <w:t>大气环境</w:t>
            </w:r>
          </w:p>
        </w:tc>
        <w:tc>
          <w:tcPr>
            <w:tcW w:w="1755" w:type="dxa"/>
            <w:noWrap w:val="0"/>
            <w:vAlign w:val="center"/>
          </w:tcPr>
          <w:p w14:paraId="7234E0F8">
            <w:pPr>
              <w:pStyle w:val="28"/>
              <w:bidi w:val="0"/>
              <w:rPr>
                <w:rFonts w:hint="default" w:ascii="Times New Roman" w:hAnsi="Times New Roman" w:eastAsia="宋体"/>
                <w:color w:val="auto"/>
                <w:kern w:val="0"/>
                <w:sz w:val="24"/>
                <w:szCs w:val="24"/>
                <w:lang w:val="en-US" w:eastAsia="zh-CN" w:bidi="ar-SA"/>
              </w:rPr>
            </w:pPr>
            <w:r>
              <w:rPr>
                <w:rFonts w:hint="eastAsia" w:ascii="Times New Roman" w:hAnsi="Times New Roman" w:eastAsia="宋体"/>
                <w:color w:val="auto"/>
                <w:sz w:val="24"/>
                <w:szCs w:val="24"/>
                <w:lang w:val="en-US" w:eastAsia="zh-CN"/>
              </w:rPr>
              <w:t>有机废气排放口（DA001）/铣磨废气、擦拭废气、超洗废气</w:t>
            </w:r>
          </w:p>
        </w:tc>
        <w:tc>
          <w:tcPr>
            <w:tcW w:w="1755" w:type="dxa"/>
            <w:noWrap w:val="0"/>
            <w:vAlign w:val="center"/>
          </w:tcPr>
          <w:p w14:paraId="42BA4A76">
            <w:pPr>
              <w:pStyle w:val="28"/>
              <w:bidi w:val="0"/>
              <w:rPr>
                <w:rFonts w:hint="eastAsia" w:ascii="Times New Roman" w:hAnsi="Times New Roman" w:eastAsia="宋体"/>
                <w:color w:val="auto"/>
                <w:kern w:val="0"/>
                <w:sz w:val="24"/>
                <w:szCs w:val="24"/>
                <w:lang w:val="en-US" w:eastAsia="zh-CN" w:bidi="ar-SA"/>
              </w:rPr>
            </w:pPr>
            <w:r>
              <w:rPr>
                <w:rFonts w:hint="eastAsia" w:ascii="Times New Roman" w:hAnsi="Times New Roman" w:eastAsia="宋体"/>
                <w:color w:val="auto"/>
                <w:sz w:val="24"/>
                <w:szCs w:val="24"/>
                <w:lang w:val="en-US" w:eastAsia="zh-CN"/>
              </w:rPr>
              <w:t>VOCs（以非甲烷总烃计）</w:t>
            </w:r>
          </w:p>
        </w:tc>
        <w:tc>
          <w:tcPr>
            <w:tcW w:w="1755" w:type="dxa"/>
            <w:noWrap w:val="0"/>
            <w:vAlign w:val="center"/>
          </w:tcPr>
          <w:p w14:paraId="3E4EE5AF">
            <w:pPr>
              <w:pStyle w:val="28"/>
              <w:bidi w:val="0"/>
              <w:rPr>
                <w:rFonts w:hint="eastAsia" w:ascii="Times New Roman" w:hAnsi="Times New Roman" w:eastAsia="宋体"/>
                <w:color w:val="auto"/>
                <w:kern w:val="0"/>
                <w:sz w:val="24"/>
                <w:szCs w:val="24"/>
                <w:lang w:val="en-US" w:eastAsia="zh-CN" w:bidi="ar-SA"/>
              </w:rPr>
            </w:pPr>
            <w:r>
              <w:rPr>
                <w:rFonts w:hint="eastAsia"/>
                <w:color w:val="auto"/>
                <w:sz w:val="24"/>
                <w:szCs w:val="24"/>
                <w:lang w:val="en-US" w:eastAsia="zh-CN"/>
              </w:rPr>
              <w:t>铣磨</w:t>
            </w:r>
            <w:r>
              <w:rPr>
                <w:rFonts w:hint="eastAsia" w:ascii="Times New Roman" w:hAnsi="Times New Roman" w:eastAsia="宋体"/>
                <w:color w:val="auto"/>
                <w:sz w:val="24"/>
                <w:szCs w:val="24"/>
                <w:lang w:val="en-US" w:eastAsia="zh-CN"/>
              </w:rPr>
              <w:t>废气通过设备密闭管道收集，擦拭检测车间、超声波清洗车间密闭负压收集废气，通过二级活性炭吸附装置处理达标后由40m高排气筒排放；</w:t>
            </w:r>
          </w:p>
        </w:tc>
        <w:tc>
          <w:tcPr>
            <w:tcW w:w="1757" w:type="dxa"/>
            <w:noWrap w:val="0"/>
            <w:vAlign w:val="center"/>
          </w:tcPr>
          <w:p w14:paraId="3AE5813E">
            <w:pPr>
              <w:pStyle w:val="28"/>
              <w:bidi w:val="0"/>
              <w:rPr>
                <w:rFonts w:hint="eastAsia" w:ascii="Times New Roman" w:hAnsi="Times New Roman" w:eastAsia="宋体"/>
                <w:color w:val="auto"/>
                <w:kern w:val="0"/>
                <w:sz w:val="24"/>
                <w:szCs w:val="24"/>
                <w:lang w:val="en-US" w:eastAsia="zh-CN" w:bidi="ar-SA"/>
              </w:rPr>
            </w:pPr>
            <w:r>
              <w:rPr>
                <w:rFonts w:hint="eastAsia" w:ascii="Times New Roman" w:hAnsi="Times New Roman" w:eastAsia="宋体"/>
                <w:color w:val="auto"/>
                <w:sz w:val="24"/>
                <w:szCs w:val="24"/>
                <w:lang w:val="en-US" w:eastAsia="zh-CN"/>
              </w:rPr>
              <w:t>《工业企业挥发性有机物排放标准》（DB35/1782-2018）表1中标准（非甲烷总烃最高允许排放浓度≤100mg/m</w:t>
            </w:r>
            <w:r>
              <w:rPr>
                <w:rFonts w:hint="eastAsia" w:ascii="Times New Roman" w:hAnsi="Times New Roman" w:eastAsia="宋体"/>
                <w:color w:val="auto"/>
                <w:sz w:val="24"/>
                <w:szCs w:val="24"/>
                <w:vertAlign w:val="superscript"/>
                <w:lang w:val="en-US" w:eastAsia="zh-CN"/>
              </w:rPr>
              <w:t>3</w:t>
            </w:r>
            <w:r>
              <w:rPr>
                <w:rFonts w:hint="eastAsia" w:ascii="Times New Roman" w:hAnsi="Times New Roman" w:eastAsia="宋体"/>
                <w:color w:val="auto"/>
                <w:sz w:val="24"/>
                <w:szCs w:val="24"/>
                <w:vertAlign w:val="baseline"/>
                <w:lang w:val="en-US" w:eastAsia="zh-CN"/>
              </w:rPr>
              <w:t>，排放速率≤17.4kg/h</w:t>
            </w:r>
            <w:r>
              <w:rPr>
                <w:rFonts w:hint="eastAsia" w:ascii="Times New Roman" w:hAnsi="Times New Roman" w:eastAsia="宋体"/>
                <w:color w:val="auto"/>
                <w:sz w:val="24"/>
                <w:szCs w:val="24"/>
                <w:lang w:val="en-US" w:eastAsia="zh-CN"/>
              </w:rPr>
              <w:t>）</w:t>
            </w:r>
          </w:p>
        </w:tc>
      </w:tr>
      <w:tr w14:paraId="10BA6D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12" w:type="dxa"/>
          <w:trHeight w:val="425" w:hRule="atLeast"/>
          <w:jc w:val="center"/>
        </w:trPr>
        <w:tc>
          <w:tcPr>
            <w:tcW w:w="1778" w:type="dxa"/>
            <w:gridSpan w:val="2"/>
            <w:vMerge w:val="continue"/>
            <w:noWrap w:val="0"/>
            <w:vAlign w:val="center"/>
          </w:tcPr>
          <w:p w14:paraId="0B9B1B53">
            <w:pPr>
              <w:adjustRightInd w:val="0"/>
              <w:snapToGrid w:val="0"/>
              <w:jc w:val="center"/>
              <w:rPr>
                <w:rFonts w:hint="eastAsia" w:ascii="Times New Roman" w:hAnsi="Times New Roman" w:eastAsia="宋体" w:cs="宋体"/>
                <w:color w:val="auto"/>
                <w:sz w:val="24"/>
                <w:szCs w:val="24"/>
              </w:rPr>
            </w:pPr>
          </w:p>
        </w:tc>
        <w:tc>
          <w:tcPr>
            <w:tcW w:w="1755" w:type="dxa"/>
            <w:noWrap w:val="0"/>
            <w:vAlign w:val="center"/>
          </w:tcPr>
          <w:p w14:paraId="7359E603">
            <w:pPr>
              <w:pStyle w:val="28"/>
              <w:bidi w:val="0"/>
              <w:rPr>
                <w:rFonts w:hint="default"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有机废气排放口（DA001）/喷淋塔废气</w:t>
            </w:r>
          </w:p>
        </w:tc>
        <w:tc>
          <w:tcPr>
            <w:tcW w:w="1755" w:type="dxa"/>
            <w:noWrap w:val="0"/>
            <w:vAlign w:val="center"/>
          </w:tcPr>
          <w:p w14:paraId="4AB826CA">
            <w:pPr>
              <w:pStyle w:val="28"/>
              <w:bidi w:val="0"/>
              <w:rPr>
                <w:rFonts w:hint="default"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硝酸雾（以氮氧化物计）</w:t>
            </w:r>
          </w:p>
        </w:tc>
        <w:tc>
          <w:tcPr>
            <w:tcW w:w="1755" w:type="dxa"/>
            <w:noWrap w:val="0"/>
            <w:vAlign w:val="center"/>
          </w:tcPr>
          <w:p w14:paraId="535131C8">
            <w:pPr>
              <w:pStyle w:val="28"/>
              <w:bidi w:val="0"/>
              <w:rPr>
                <w:rFonts w:hint="eastAsia" w:ascii="Times New Roman" w:hAnsi="Times New Roman" w:eastAsia="宋体"/>
                <w:color w:val="auto"/>
                <w:sz w:val="24"/>
                <w:szCs w:val="24"/>
                <w:lang w:val="en-US" w:eastAsia="zh-CN"/>
              </w:rPr>
            </w:pPr>
            <w:r>
              <w:rPr>
                <w:rFonts w:hint="eastAsia"/>
                <w:color w:val="auto"/>
                <w:sz w:val="24"/>
                <w:szCs w:val="24"/>
                <w:lang w:val="en-US" w:eastAsia="zh-CN"/>
              </w:rPr>
              <w:t>晶体生长</w:t>
            </w:r>
            <w:r>
              <w:rPr>
                <w:rFonts w:hint="eastAsia" w:ascii="Times New Roman" w:hAnsi="Times New Roman" w:eastAsia="宋体"/>
                <w:color w:val="auto"/>
                <w:sz w:val="24"/>
                <w:szCs w:val="24"/>
                <w:lang w:val="en-US" w:eastAsia="zh-CN"/>
              </w:rPr>
              <w:t>车间密闭负压收集废气通</w:t>
            </w:r>
            <w:r>
              <w:rPr>
                <w:rFonts w:hint="eastAsia" w:ascii="Times New Roman" w:hAnsi="Times New Roman" w:eastAsia="宋体" w:cs="Times New Roman"/>
                <w:color w:val="auto"/>
                <w:sz w:val="24"/>
                <w:szCs w:val="24"/>
                <w:lang w:val="en-US" w:eastAsia="zh-CN"/>
              </w:rPr>
              <w:t>过碱液喷淋吸收塔处理达标后由40m高排气筒排放</w:t>
            </w:r>
          </w:p>
        </w:tc>
        <w:tc>
          <w:tcPr>
            <w:tcW w:w="1757" w:type="dxa"/>
            <w:noWrap w:val="0"/>
            <w:vAlign w:val="center"/>
          </w:tcPr>
          <w:p w14:paraId="1F083814">
            <w:pPr>
              <w:pStyle w:val="28"/>
              <w:bidi w:val="0"/>
              <w:rPr>
                <w:rFonts w:hint="eastAsia" w:ascii="Times New Roman" w:hAnsi="Times New Roman" w:eastAsia="宋体"/>
                <w:color w:val="auto"/>
                <w:sz w:val="24"/>
                <w:szCs w:val="24"/>
                <w:lang w:val="en-US" w:eastAsia="zh-CN"/>
              </w:rPr>
            </w:pPr>
            <w:r>
              <w:rPr>
                <w:rFonts w:hint="eastAsia" w:ascii="Times New Roman" w:hAnsi="Times New Roman" w:eastAsia="宋体" w:cs="Times New Roman"/>
                <w:color w:val="auto"/>
                <w:sz w:val="24"/>
                <w:szCs w:val="24"/>
                <w:lang w:val="en-US" w:eastAsia="zh-CN"/>
              </w:rPr>
              <w:t>硝酸雾执行《大气污染物综合排放标准》（GB 16297-1996）表1限值</w:t>
            </w:r>
            <w:r>
              <w:rPr>
                <w:rFonts w:hint="eastAsia" w:ascii="Times New Roman" w:hAnsi="Times New Roman" w:eastAsia="宋体"/>
                <w:color w:val="auto"/>
                <w:sz w:val="24"/>
                <w:szCs w:val="24"/>
                <w:lang w:val="en-US" w:eastAsia="zh-CN"/>
              </w:rPr>
              <w:t>（硝酸雾（以氮氧化物计）最高允许排放浓度≤240mg/m</w:t>
            </w:r>
            <w:r>
              <w:rPr>
                <w:rFonts w:hint="eastAsia" w:ascii="Times New Roman" w:hAnsi="Times New Roman" w:eastAsia="宋体"/>
                <w:color w:val="auto"/>
                <w:sz w:val="24"/>
                <w:szCs w:val="24"/>
                <w:vertAlign w:val="superscript"/>
                <w:lang w:val="en-US" w:eastAsia="zh-CN"/>
              </w:rPr>
              <w:t>3</w:t>
            </w:r>
            <w:r>
              <w:rPr>
                <w:rFonts w:hint="eastAsia" w:ascii="Times New Roman" w:hAnsi="Times New Roman" w:eastAsia="宋体"/>
                <w:color w:val="auto"/>
                <w:sz w:val="24"/>
                <w:szCs w:val="24"/>
                <w:vertAlign w:val="baseline"/>
                <w:lang w:val="en-US" w:eastAsia="zh-CN"/>
              </w:rPr>
              <w:t>，排放速率≤7.5kg/h</w:t>
            </w:r>
            <w:r>
              <w:rPr>
                <w:rFonts w:hint="eastAsia" w:ascii="Times New Roman" w:hAnsi="Times New Roman" w:eastAsia="宋体"/>
                <w:color w:val="auto"/>
                <w:sz w:val="24"/>
                <w:szCs w:val="24"/>
                <w:lang w:val="en-US" w:eastAsia="zh-CN"/>
              </w:rPr>
              <w:t>）</w:t>
            </w:r>
          </w:p>
        </w:tc>
      </w:tr>
      <w:tr w14:paraId="732A86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12" w:type="dxa"/>
          <w:trHeight w:val="1108" w:hRule="atLeast"/>
          <w:jc w:val="center"/>
        </w:trPr>
        <w:tc>
          <w:tcPr>
            <w:tcW w:w="1778" w:type="dxa"/>
            <w:gridSpan w:val="2"/>
            <w:vMerge w:val="continue"/>
            <w:noWrap w:val="0"/>
            <w:vAlign w:val="center"/>
          </w:tcPr>
          <w:p w14:paraId="1517D8D5">
            <w:pPr>
              <w:adjustRightInd w:val="0"/>
              <w:snapToGrid w:val="0"/>
              <w:jc w:val="center"/>
              <w:rPr>
                <w:rFonts w:hint="eastAsia" w:ascii="Times New Roman" w:hAnsi="Times New Roman" w:eastAsia="宋体" w:cs="宋体"/>
                <w:color w:val="auto"/>
                <w:sz w:val="24"/>
                <w:szCs w:val="24"/>
              </w:rPr>
            </w:pPr>
          </w:p>
        </w:tc>
        <w:tc>
          <w:tcPr>
            <w:tcW w:w="1755" w:type="dxa"/>
            <w:vMerge w:val="restart"/>
            <w:noWrap w:val="0"/>
            <w:vAlign w:val="center"/>
          </w:tcPr>
          <w:p w14:paraId="7A181EC3">
            <w:pPr>
              <w:pStyle w:val="28"/>
              <w:bidi w:val="0"/>
              <w:rPr>
                <w:rFonts w:hint="eastAsia" w:ascii="Times New Roman" w:hAnsi="Times New Roman" w:eastAsia="宋体"/>
                <w:color w:val="auto"/>
                <w:kern w:val="0"/>
                <w:sz w:val="24"/>
                <w:szCs w:val="24"/>
                <w:lang w:val="en-US" w:eastAsia="zh-CN" w:bidi="ar-SA"/>
              </w:rPr>
            </w:pPr>
            <w:r>
              <w:rPr>
                <w:rFonts w:hint="eastAsia" w:ascii="Times New Roman" w:hAnsi="Times New Roman" w:eastAsia="宋体"/>
                <w:color w:val="auto"/>
                <w:sz w:val="24"/>
                <w:szCs w:val="24"/>
                <w:lang w:val="en-US" w:eastAsia="zh-CN"/>
              </w:rPr>
              <w:t>厂界/生产车间</w:t>
            </w:r>
          </w:p>
        </w:tc>
        <w:tc>
          <w:tcPr>
            <w:tcW w:w="1755" w:type="dxa"/>
            <w:noWrap w:val="0"/>
            <w:vAlign w:val="center"/>
          </w:tcPr>
          <w:p w14:paraId="7EF9CBF6">
            <w:pPr>
              <w:pStyle w:val="28"/>
              <w:bidi w:val="0"/>
              <w:rPr>
                <w:rFonts w:hint="eastAsia" w:ascii="Times New Roman" w:hAnsi="Times New Roman" w:eastAsia="宋体"/>
                <w:color w:val="auto"/>
                <w:kern w:val="0"/>
                <w:sz w:val="24"/>
                <w:szCs w:val="24"/>
                <w:lang w:val="en-US" w:eastAsia="zh-CN" w:bidi="ar-SA"/>
              </w:rPr>
            </w:pPr>
            <w:r>
              <w:rPr>
                <w:rFonts w:hint="eastAsia" w:ascii="Times New Roman" w:hAnsi="Times New Roman" w:eastAsia="宋体"/>
                <w:color w:val="auto"/>
                <w:sz w:val="24"/>
                <w:szCs w:val="24"/>
                <w:lang w:val="en-US" w:eastAsia="zh-CN"/>
              </w:rPr>
              <w:t>VOCs（以非甲烷总烃计）</w:t>
            </w:r>
          </w:p>
        </w:tc>
        <w:tc>
          <w:tcPr>
            <w:tcW w:w="1755" w:type="dxa"/>
            <w:vMerge w:val="restart"/>
            <w:noWrap w:val="0"/>
            <w:vAlign w:val="center"/>
          </w:tcPr>
          <w:p w14:paraId="1A477BD2">
            <w:pPr>
              <w:pStyle w:val="28"/>
              <w:bidi w:val="0"/>
              <w:rPr>
                <w:rFonts w:hint="eastAsia" w:ascii="Times New Roman" w:hAnsi="Times New Roman" w:eastAsia="宋体"/>
                <w:color w:val="auto"/>
                <w:kern w:val="0"/>
                <w:sz w:val="24"/>
                <w:szCs w:val="24"/>
                <w:lang w:val="en-US" w:eastAsia="zh-CN" w:bidi="ar-SA"/>
              </w:rPr>
            </w:pPr>
            <w:r>
              <w:rPr>
                <w:rFonts w:hint="eastAsia" w:ascii="Times New Roman" w:hAnsi="Times New Roman" w:eastAsia="宋体"/>
                <w:color w:val="auto"/>
                <w:sz w:val="24"/>
                <w:szCs w:val="24"/>
                <w:lang w:val="en-US" w:eastAsia="zh-CN"/>
              </w:rPr>
              <w:t>车间密闭，减少对外界大气环境造成影响</w:t>
            </w:r>
          </w:p>
        </w:tc>
        <w:tc>
          <w:tcPr>
            <w:tcW w:w="1757" w:type="dxa"/>
            <w:noWrap w:val="0"/>
            <w:vAlign w:val="center"/>
          </w:tcPr>
          <w:p w14:paraId="08C3346C">
            <w:pPr>
              <w:pStyle w:val="28"/>
              <w:bidi w:val="0"/>
              <w:rPr>
                <w:rFonts w:hint="eastAsia" w:ascii="Times New Roman" w:hAnsi="Times New Roman" w:eastAsia="宋体"/>
                <w:color w:val="auto"/>
                <w:kern w:val="0"/>
                <w:sz w:val="24"/>
                <w:szCs w:val="24"/>
                <w:lang w:val="en-US" w:eastAsia="zh-CN" w:bidi="ar-SA"/>
              </w:rPr>
            </w:pPr>
            <w:r>
              <w:rPr>
                <w:rFonts w:hint="eastAsia" w:ascii="Times New Roman" w:hAnsi="Times New Roman" w:eastAsia="宋体"/>
                <w:color w:val="auto"/>
                <w:sz w:val="24"/>
                <w:szCs w:val="24"/>
                <w:lang w:val="en-US" w:eastAsia="zh-CN"/>
              </w:rPr>
              <w:t>《工业企业挥发性有机物排放标准》（DB35/1782-2018）表3标准（非甲烷总烃企业边界监控点浓度限值2.0mg/m</w:t>
            </w:r>
            <w:r>
              <w:rPr>
                <w:rFonts w:hint="eastAsia" w:ascii="Times New Roman" w:hAnsi="Times New Roman" w:eastAsia="宋体"/>
                <w:color w:val="auto"/>
                <w:sz w:val="24"/>
                <w:szCs w:val="24"/>
                <w:vertAlign w:val="superscript"/>
                <w:lang w:val="en-US" w:eastAsia="zh-CN"/>
              </w:rPr>
              <w:t>3</w:t>
            </w:r>
            <w:r>
              <w:rPr>
                <w:rFonts w:hint="eastAsia" w:ascii="Times New Roman" w:hAnsi="Times New Roman" w:eastAsia="宋体"/>
                <w:color w:val="auto"/>
                <w:sz w:val="24"/>
                <w:szCs w:val="24"/>
                <w:lang w:val="en-US" w:eastAsia="zh-CN"/>
              </w:rPr>
              <w:t>）</w:t>
            </w:r>
          </w:p>
        </w:tc>
      </w:tr>
      <w:tr w14:paraId="3AC5AD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12" w:type="dxa"/>
          <w:trHeight w:val="1108" w:hRule="atLeast"/>
          <w:jc w:val="center"/>
        </w:trPr>
        <w:tc>
          <w:tcPr>
            <w:tcW w:w="1778" w:type="dxa"/>
            <w:gridSpan w:val="2"/>
            <w:vMerge w:val="continue"/>
            <w:noWrap w:val="0"/>
            <w:vAlign w:val="center"/>
          </w:tcPr>
          <w:p w14:paraId="2912BF4F">
            <w:pPr>
              <w:adjustRightInd w:val="0"/>
              <w:snapToGrid w:val="0"/>
              <w:jc w:val="center"/>
              <w:rPr>
                <w:rFonts w:hint="eastAsia" w:ascii="Times New Roman" w:hAnsi="Times New Roman" w:eastAsia="宋体" w:cs="宋体"/>
                <w:color w:val="auto"/>
                <w:sz w:val="24"/>
                <w:szCs w:val="24"/>
              </w:rPr>
            </w:pPr>
          </w:p>
        </w:tc>
        <w:tc>
          <w:tcPr>
            <w:tcW w:w="1755" w:type="dxa"/>
            <w:vMerge w:val="continue"/>
            <w:noWrap w:val="0"/>
            <w:vAlign w:val="center"/>
          </w:tcPr>
          <w:p w14:paraId="26367FE9">
            <w:pPr>
              <w:pStyle w:val="28"/>
              <w:bidi w:val="0"/>
              <w:rPr>
                <w:rFonts w:hint="eastAsia" w:ascii="Times New Roman" w:hAnsi="Times New Roman" w:eastAsia="宋体"/>
                <w:color w:val="auto"/>
                <w:sz w:val="24"/>
                <w:szCs w:val="24"/>
                <w:lang w:val="en-US" w:eastAsia="zh-CN"/>
              </w:rPr>
            </w:pPr>
          </w:p>
        </w:tc>
        <w:tc>
          <w:tcPr>
            <w:tcW w:w="1755" w:type="dxa"/>
            <w:noWrap w:val="0"/>
            <w:vAlign w:val="center"/>
          </w:tcPr>
          <w:p w14:paraId="29797BFC">
            <w:pPr>
              <w:pStyle w:val="28"/>
              <w:bidi w:val="0"/>
              <w:rPr>
                <w:rFonts w:hint="eastAsia" w:ascii="Times New Roman" w:hAnsi="Times New Roman" w:eastAsia="宋体"/>
                <w:color w:val="auto"/>
                <w:sz w:val="24"/>
                <w:szCs w:val="24"/>
                <w:lang w:val="en-US" w:eastAsia="zh-CN"/>
              </w:rPr>
            </w:pPr>
            <w:r>
              <w:rPr>
                <w:rFonts w:ascii="宋体" w:hAnsi="宋体" w:eastAsia="宋体" w:cs="宋体"/>
                <w:color w:val="auto"/>
                <w:sz w:val="24"/>
                <w:szCs w:val="24"/>
              </w:rPr>
              <w:t>硝酸雾（以氮氧化物计）</w:t>
            </w:r>
          </w:p>
        </w:tc>
        <w:tc>
          <w:tcPr>
            <w:tcW w:w="1755" w:type="dxa"/>
            <w:vMerge w:val="continue"/>
            <w:noWrap w:val="0"/>
            <w:vAlign w:val="center"/>
          </w:tcPr>
          <w:p w14:paraId="1C3537E4">
            <w:pPr>
              <w:pStyle w:val="28"/>
              <w:bidi w:val="0"/>
              <w:rPr>
                <w:rFonts w:hint="eastAsia" w:ascii="Times New Roman" w:hAnsi="Times New Roman" w:eastAsia="宋体"/>
                <w:color w:val="auto"/>
                <w:sz w:val="24"/>
                <w:szCs w:val="24"/>
                <w:lang w:val="en-US" w:eastAsia="zh-CN"/>
              </w:rPr>
            </w:pPr>
          </w:p>
        </w:tc>
        <w:tc>
          <w:tcPr>
            <w:tcW w:w="1757" w:type="dxa"/>
            <w:noWrap w:val="0"/>
            <w:vAlign w:val="center"/>
          </w:tcPr>
          <w:p w14:paraId="3CA4C870">
            <w:pPr>
              <w:pStyle w:val="28"/>
              <w:bidi w:val="0"/>
              <w:rPr>
                <w:rFonts w:hint="default" w:ascii="Times New Roman" w:hAnsi="Times New Roman" w:eastAsia="宋体"/>
                <w:color w:val="auto"/>
                <w:sz w:val="24"/>
                <w:szCs w:val="24"/>
                <w:lang w:val="en-US" w:eastAsia="zh-CN"/>
              </w:rPr>
            </w:pPr>
            <w:r>
              <w:rPr>
                <w:rFonts w:hint="eastAsia" w:ascii="Times New Roman" w:hAnsi="Times New Roman" w:eastAsia="宋体" w:cs="宋体"/>
                <w:color w:val="auto"/>
                <w:kern w:val="2"/>
                <w:sz w:val="24"/>
                <w:szCs w:val="24"/>
                <w:highlight w:val="none"/>
                <w:lang w:val="en-US" w:eastAsia="zh-CN" w:bidi="ar-SA"/>
              </w:rPr>
              <w:t>无组织排放执行</w:t>
            </w:r>
            <w:r>
              <w:rPr>
                <w:rFonts w:ascii="Times New Roman" w:hAnsi="Times New Roman" w:eastAsia="宋体" w:cs="宋体"/>
                <w:i w:val="0"/>
                <w:iCs w:val="0"/>
                <w:caps w:val="0"/>
                <w:color w:val="auto"/>
                <w:spacing w:val="0"/>
                <w:sz w:val="24"/>
                <w:szCs w:val="24"/>
                <w:shd w:val="clear" w:color="auto" w:fill="FFFFFF"/>
              </w:rPr>
              <w:t>《大气污染物综合排放标准》（GB 16297-1996）表2中无组织排放监控浓度限值</w:t>
            </w:r>
            <w:r>
              <w:rPr>
                <w:rFonts w:hint="eastAsia" w:ascii="Times New Roman" w:hAnsi="Times New Roman" w:eastAsia="宋体" w:cs="宋体"/>
                <w:i w:val="0"/>
                <w:iCs w:val="0"/>
                <w:caps w:val="0"/>
                <w:color w:val="auto"/>
                <w:spacing w:val="0"/>
                <w:sz w:val="24"/>
                <w:szCs w:val="24"/>
                <w:shd w:val="clear" w:color="auto" w:fill="FFFFFF"/>
                <w:lang w:val="en-US" w:eastAsia="zh-CN"/>
              </w:rPr>
              <w:t>0.12</w:t>
            </w:r>
            <w:r>
              <w:rPr>
                <w:rFonts w:hint="eastAsia" w:ascii="Times New Roman" w:hAnsi="Times New Roman" w:eastAsia="宋体"/>
                <w:color w:val="auto"/>
                <w:sz w:val="24"/>
                <w:szCs w:val="24"/>
                <w:highlight w:val="none"/>
                <w:lang w:val="en-US" w:eastAsia="zh-CN"/>
              </w:rPr>
              <w:t>mg/m</w:t>
            </w:r>
            <w:r>
              <w:rPr>
                <w:rFonts w:hint="eastAsia" w:ascii="Times New Roman" w:hAnsi="Times New Roman" w:eastAsia="宋体"/>
                <w:color w:val="auto"/>
                <w:sz w:val="24"/>
                <w:szCs w:val="24"/>
                <w:highlight w:val="none"/>
                <w:vertAlign w:val="superscript"/>
                <w:lang w:val="en-US" w:eastAsia="zh-CN"/>
              </w:rPr>
              <w:t>3</w:t>
            </w:r>
          </w:p>
        </w:tc>
      </w:tr>
      <w:tr w14:paraId="405D02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12" w:type="dxa"/>
          <w:trHeight w:val="1108" w:hRule="atLeast"/>
          <w:jc w:val="center"/>
        </w:trPr>
        <w:tc>
          <w:tcPr>
            <w:tcW w:w="1778" w:type="dxa"/>
            <w:gridSpan w:val="2"/>
            <w:vMerge w:val="continue"/>
            <w:noWrap w:val="0"/>
            <w:vAlign w:val="center"/>
          </w:tcPr>
          <w:p w14:paraId="6834BBCE">
            <w:pPr>
              <w:pStyle w:val="28"/>
              <w:bidi w:val="0"/>
              <w:rPr>
                <w:rFonts w:ascii="Times New Roman" w:hAnsi="Times New Roman" w:eastAsia="宋体"/>
                <w:color w:val="auto"/>
                <w:sz w:val="24"/>
                <w:szCs w:val="24"/>
              </w:rPr>
            </w:pPr>
          </w:p>
        </w:tc>
        <w:tc>
          <w:tcPr>
            <w:tcW w:w="1755" w:type="dxa"/>
            <w:vMerge w:val="continue"/>
            <w:noWrap w:val="0"/>
            <w:vAlign w:val="center"/>
          </w:tcPr>
          <w:p w14:paraId="6B279BAB">
            <w:pPr>
              <w:pStyle w:val="28"/>
              <w:bidi w:val="0"/>
              <w:rPr>
                <w:rFonts w:ascii="Times New Roman" w:hAnsi="Times New Roman" w:eastAsia="宋体"/>
                <w:color w:val="auto"/>
                <w:sz w:val="24"/>
                <w:szCs w:val="24"/>
              </w:rPr>
            </w:pPr>
          </w:p>
        </w:tc>
        <w:tc>
          <w:tcPr>
            <w:tcW w:w="1755" w:type="dxa"/>
            <w:noWrap w:val="0"/>
            <w:vAlign w:val="center"/>
          </w:tcPr>
          <w:p w14:paraId="7A29BF62">
            <w:pPr>
              <w:pStyle w:val="28"/>
              <w:bidi w:val="0"/>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highlight w:val="none"/>
                <w:lang w:val="en-US" w:eastAsia="zh-CN"/>
              </w:rPr>
              <w:t>颗粒物</w:t>
            </w:r>
          </w:p>
        </w:tc>
        <w:tc>
          <w:tcPr>
            <w:tcW w:w="1755" w:type="dxa"/>
            <w:vMerge w:val="continue"/>
            <w:noWrap w:val="0"/>
            <w:vAlign w:val="center"/>
          </w:tcPr>
          <w:p w14:paraId="23ECBA11">
            <w:pPr>
              <w:pStyle w:val="28"/>
              <w:bidi w:val="0"/>
              <w:rPr>
                <w:rFonts w:hint="eastAsia" w:ascii="Times New Roman" w:hAnsi="Times New Roman" w:eastAsia="宋体"/>
                <w:color w:val="auto"/>
                <w:sz w:val="24"/>
                <w:szCs w:val="24"/>
                <w:lang w:val="en-US" w:eastAsia="zh-CN"/>
              </w:rPr>
            </w:pPr>
          </w:p>
        </w:tc>
        <w:tc>
          <w:tcPr>
            <w:tcW w:w="1757" w:type="dxa"/>
            <w:noWrap w:val="0"/>
            <w:vAlign w:val="center"/>
          </w:tcPr>
          <w:p w14:paraId="25C21A7E">
            <w:pPr>
              <w:pStyle w:val="28"/>
              <w:bidi w:val="0"/>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highlight w:val="none"/>
                <w:lang w:val="en-US" w:eastAsia="zh-CN"/>
              </w:rPr>
              <w:t>《大气污染物综合排放标准》（GB 16297-1996）表2中无组织排放监控浓度限值1.0mg/m</w:t>
            </w:r>
            <w:r>
              <w:rPr>
                <w:rFonts w:hint="eastAsia" w:ascii="Times New Roman" w:hAnsi="Times New Roman" w:eastAsia="宋体"/>
                <w:color w:val="auto"/>
                <w:sz w:val="24"/>
                <w:szCs w:val="24"/>
                <w:highlight w:val="none"/>
                <w:vertAlign w:val="superscript"/>
                <w:lang w:val="en-US" w:eastAsia="zh-CN"/>
              </w:rPr>
              <w:t>3</w:t>
            </w:r>
          </w:p>
        </w:tc>
      </w:tr>
      <w:tr w14:paraId="24A4A5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12" w:type="dxa"/>
          <w:trHeight w:val="1108" w:hRule="atLeast"/>
          <w:jc w:val="center"/>
        </w:trPr>
        <w:tc>
          <w:tcPr>
            <w:tcW w:w="1778" w:type="dxa"/>
            <w:gridSpan w:val="2"/>
            <w:vMerge w:val="continue"/>
            <w:noWrap w:val="0"/>
            <w:vAlign w:val="center"/>
          </w:tcPr>
          <w:p w14:paraId="0606D4EC">
            <w:pPr>
              <w:pStyle w:val="28"/>
              <w:bidi w:val="0"/>
              <w:rPr>
                <w:rFonts w:ascii="Times New Roman" w:hAnsi="Times New Roman" w:eastAsia="宋体"/>
                <w:color w:val="auto"/>
                <w:sz w:val="24"/>
                <w:szCs w:val="24"/>
              </w:rPr>
            </w:pPr>
          </w:p>
        </w:tc>
        <w:tc>
          <w:tcPr>
            <w:tcW w:w="1755" w:type="dxa"/>
            <w:vMerge w:val="continue"/>
            <w:noWrap w:val="0"/>
            <w:vAlign w:val="center"/>
          </w:tcPr>
          <w:p w14:paraId="4C8F5566">
            <w:pPr>
              <w:pStyle w:val="28"/>
              <w:bidi w:val="0"/>
              <w:rPr>
                <w:rFonts w:ascii="Times New Roman" w:hAnsi="Times New Roman" w:eastAsia="宋体"/>
                <w:color w:val="auto"/>
                <w:sz w:val="24"/>
                <w:szCs w:val="24"/>
              </w:rPr>
            </w:pPr>
          </w:p>
        </w:tc>
        <w:tc>
          <w:tcPr>
            <w:tcW w:w="1755" w:type="dxa"/>
            <w:noWrap w:val="0"/>
            <w:vAlign w:val="center"/>
          </w:tcPr>
          <w:p w14:paraId="201081F2">
            <w:pPr>
              <w:pStyle w:val="28"/>
              <w:bidi w:val="0"/>
              <w:rPr>
                <w:rFonts w:hint="eastAsia" w:ascii="Times New Roman" w:hAnsi="Times New Roman" w:eastAsia="宋体"/>
                <w:color w:val="auto"/>
                <w:sz w:val="24"/>
                <w:szCs w:val="24"/>
                <w:highlight w:val="none"/>
                <w:lang w:val="en-US" w:eastAsia="zh-CN"/>
              </w:rPr>
            </w:pPr>
            <w:r>
              <w:rPr>
                <w:rFonts w:hint="eastAsia" w:ascii="Times New Roman" w:hAnsi="Times New Roman" w:eastAsia="宋体" w:cs="宋体"/>
                <w:i w:val="0"/>
                <w:iCs w:val="0"/>
                <w:caps w:val="0"/>
                <w:color w:val="auto"/>
                <w:spacing w:val="0"/>
                <w:sz w:val="24"/>
                <w:szCs w:val="24"/>
                <w:shd w:val="clear" w:color="auto" w:fill="FFFFFF"/>
                <w:lang w:val="en-US" w:eastAsia="zh-CN"/>
              </w:rPr>
              <w:t>氨</w:t>
            </w:r>
          </w:p>
        </w:tc>
        <w:tc>
          <w:tcPr>
            <w:tcW w:w="1755" w:type="dxa"/>
            <w:vMerge w:val="restart"/>
            <w:noWrap w:val="0"/>
            <w:vAlign w:val="center"/>
          </w:tcPr>
          <w:p w14:paraId="4003D170">
            <w:pPr>
              <w:pStyle w:val="28"/>
              <w:bidi w:val="0"/>
              <w:rPr>
                <w:rFonts w:hint="eastAsia" w:ascii="Times New Roman" w:hAnsi="Times New Roman" w:eastAsia="宋体"/>
                <w:color w:val="auto"/>
                <w:sz w:val="24"/>
                <w:szCs w:val="24"/>
                <w:lang w:val="en-US" w:eastAsia="zh-CN"/>
              </w:rPr>
            </w:pPr>
            <w:r>
              <w:rPr>
                <w:rFonts w:hint="eastAsia" w:cs="宋体"/>
                <w:i w:val="0"/>
                <w:iCs w:val="0"/>
                <w:caps w:val="0"/>
                <w:color w:val="auto"/>
                <w:spacing w:val="0"/>
                <w:sz w:val="24"/>
                <w:szCs w:val="24"/>
                <w:shd w:val="clear" w:color="auto" w:fill="FFFFFF"/>
                <w:lang w:val="en-US" w:eastAsia="zh-CN"/>
              </w:rPr>
              <w:t>通风橱收集，</w:t>
            </w:r>
            <w:r>
              <w:rPr>
                <w:rFonts w:hint="eastAsia" w:ascii="Times New Roman" w:hAnsi="Times New Roman" w:eastAsia="宋体" w:cs="宋体"/>
                <w:i w:val="0"/>
                <w:iCs w:val="0"/>
                <w:caps w:val="0"/>
                <w:color w:val="auto"/>
                <w:spacing w:val="0"/>
                <w:sz w:val="24"/>
                <w:szCs w:val="24"/>
                <w:shd w:val="clear" w:color="auto" w:fill="FFFFFF"/>
                <w:lang w:val="en-US" w:eastAsia="zh-CN"/>
              </w:rPr>
              <w:t>厂界设置绿化隔离带阻隔臭气扩散。加强设备密封巡检，定期维护排风收集系统</w:t>
            </w:r>
          </w:p>
        </w:tc>
        <w:tc>
          <w:tcPr>
            <w:tcW w:w="1757" w:type="dxa"/>
            <w:noWrap w:val="0"/>
            <w:vAlign w:val="center"/>
          </w:tcPr>
          <w:p w14:paraId="3757094A">
            <w:pPr>
              <w:pStyle w:val="28"/>
              <w:bidi w:val="0"/>
              <w:rPr>
                <w:rFonts w:hint="default" w:ascii="Times New Roman" w:hAnsi="Times New Roman" w:eastAsia="宋体"/>
                <w:color w:val="auto"/>
                <w:sz w:val="24"/>
                <w:szCs w:val="24"/>
                <w:highlight w:val="none"/>
                <w:lang w:val="en-US" w:eastAsia="zh-CN"/>
              </w:rPr>
            </w:pPr>
            <w:r>
              <w:rPr>
                <w:rFonts w:hint="eastAsia" w:ascii="Times New Roman" w:hAnsi="Times New Roman" w:eastAsia="宋体" w:cs="宋体"/>
                <w:i w:val="0"/>
                <w:iCs w:val="0"/>
                <w:caps w:val="0"/>
                <w:color w:val="auto"/>
                <w:spacing w:val="0"/>
                <w:sz w:val="24"/>
                <w:szCs w:val="24"/>
                <w:shd w:val="clear" w:color="auto" w:fill="FFFFFF"/>
                <w:lang w:val="en-US" w:eastAsia="zh-CN"/>
              </w:rPr>
              <w:t>无组织排放执行</w:t>
            </w:r>
            <w:r>
              <w:rPr>
                <w:rFonts w:ascii="Times New Roman" w:hAnsi="Times New Roman" w:eastAsia="宋体" w:cs="宋体"/>
                <w:i w:val="0"/>
                <w:iCs w:val="0"/>
                <w:caps w:val="0"/>
                <w:color w:val="auto"/>
                <w:spacing w:val="0"/>
                <w:sz w:val="24"/>
                <w:szCs w:val="24"/>
                <w:shd w:val="clear" w:color="auto" w:fill="FFFFFF"/>
              </w:rPr>
              <w:t>《恶臭污染物排放标准》（GB14554-93）表1二级新扩</w:t>
            </w:r>
            <w:r>
              <w:rPr>
                <w:rFonts w:ascii="Times New Roman" w:hAnsi="Times New Roman" w:eastAsia="宋体" w:cs="宋体"/>
                <w:color w:val="auto"/>
                <w:sz w:val="24"/>
                <w:szCs w:val="24"/>
              </w:rPr>
              <w:t>改建标准</w:t>
            </w:r>
            <w:r>
              <w:rPr>
                <w:rFonts w:hint="eastAsia" w:ascii="Times New Roman" w:hAnsi="Times New Roman" w:cs="宋体"/>
                <w:color w:val="auto"/>
                <w:sz w:val="24"/>
                <w:szCs w:val="24"/>
                <w:lang w:eastAsia="zh-CN"/>
              </w:rPr>
              <w:t>（</w:t>
            </w:r>
            <w:r>
              <w:rPr>
                <w:rFonts w:hint="eastAsia" w:ascii="Times New Roman" w:hAnsi="Times New Roman" w:cs="宋体"/>
                <w:color w:val="auto"/>
                <w:sz w:val="24"/>
                <w:szCs w:val="24"/>
                <w:lang w:val="en-US" w:eastAsia="zh-CN"/>
              </w:rPr>
              <w:t>氨</w:t>
            </w:r>
            <w:r>
              <w:rPr>
                <w:rFonts w:hint="eastAsia" w:ascii="Times New Roman" w:hAnsi="Times New Roman" w:eastAsia="宋体"/>
                <w:color w:val="auto"/>
                <w:sz w:val="24"/>
                <w:szCs w:val="24"/>
                <w:lang w:val="en-US" w:eastAsia="zh-CN"/>
              </w:rPr>
              <w:t>≤</w:t>
            </w:r>
            <w:r>
              <w:rPr>
                <w:rFonts w:hint="eastAsia" w:ascii="Times New Roman" w:hAnsi="Times New Roman" w:cs="宋体"/>
                <w:color w:val="auto"/>
                <w:sz w:val="24"/>
                <w:szCs w:val="24"/>
                <w:lang w:val="en-US" w:eastAsia="zh-CN"/>
              </w:rPr>
              <w:t>1.5</w:t>
            </w:r>
            <w:r>
              <w:rPr>
                <w:rFonts w:hint="eastAsia" w:ascii="Times New Roman" w:hAnsi="Times New Roman" w:eastAsia="宋体"/>
                <w:color w:val="auto"/>
                <w:sz w:val="24"/>
                <w:szCs w:val="24"/>
                <w:highlight w:val="none"/>
                <w:lang w:val="en-US" w:eastAsia="zh-CN"/>
              </w:rPr>
              <w:t>mg/m</w:t>
            </w:r>
            <w:r>
              <w:rPr>
                <w:rFonts w:hint="eastAsia" w:ascii="Times New Roman" w:hAnsi="Times New Roman" w:eastAsia="宋体"/>
                <w:color w:val="auto"/>
                <w:sz w:val="24"/>
                <w:szCs w:val="24"/>
                <w:highlight w:val="none"/>
                <w:vertAlign w:val="superscript"/>
                <w:lang w:val="en-US" w:eastAsia="zh-CN"/>
              </w:rPr>
              <w:t>3</w:t>
            </w:r>
            <w:r>
              <w:rPr>
                <w:rFonts w:hint="eastAsia" w:ascii="Times New Roman" w:hAnsi="Times New Roman" w:cs="宋体"/>
                <w:color w:val="auto"/>
                <w:sz w:val="24"/>
                <w:szCs w:val="24"/>
                <w:lang w:eastAsia="zh-CN"/>
              </w:rPr>
              <w:t>）</w:t>
            </w:r>
          </w:p>
        </w:tc>
      </w:tr>
      <w:tr w14:paraId="69041C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12" w:type="dxa"/>
          <w:trHeight w:val="1108" w:hRule="atLeast"/>
          <w:jc w:val="center"/>
        </w:trPr>
        <w:tc>
          <w:tcPr>
            <w:tcW w:w="1778" w:type="dxa"/>
            <w:gridSpan w:val="2"/>
            <w:vMerge w:val="continue"/>
            <w:noWrap w:val="0"/>
            <w:vAlign w:val="center"/>
          </w:tcPr>
          <w:p w14:paraId="52362BE0">
            <w:pPr>
              <w:pStyle w:val="28"/>
              <w:bidi w:val="0"/>
              <w:rPr>
                <w:rFonts w:ascii="Times New Roman" w:hAnsi="Times New Roman" w:eastAsia="宋体"/>
                <w:color w:val="auto"/>
                <w:sz w:val="24"/>
                <w:szCs w:val="24"/>
              </w:rPr>
            </w:pPr>
          </w:p>
        </w:tc>
        <w:tc>
          <w:tcPr>
            <w:tcW w:w="1755" w:type="dxa"/>
            <w:vMerge w:val="continue"/>
            <w:noWrap w:val="0"/>
            <w:vAlign w:val="center"/>
          </w:tcPr>
          <w:p w14:paraId="7316D634">
            <w:pPr>
              <w:pStyle w:val="28"/>
              <w:bidi w:val="0"/>
              <w:rPr>
                <w:rFonts w:ascii="Times New Roman" w:hAnsi="Times New Roman" w:eastAsia="宋体"/>
                <w:color w:val="auto"/>
                <w:sz w:val="24"/>
                <w:szCs w:val="24"/>
              </w:rPr>
            </w:pPr>
          </w:p>
        </w:tc>
        <w:tc>
          <w:tcPr>
            <w:tcW w:w="1755" w:type="dxa"/>
            <w:noWrap w:val="0"/>
            <w:vAlign w:val="center"/>
          </w:tcPr>
          <w:p w14:paraId="45B96907">
            <w:pPr>
              <w:pStyle w:val="28"/>
              <w:bidi w:val="0"/>
              <w:rPr>
                <w:rFonts w:hint="eastAsia" w:ascii="Times New Roman" w:hAnsi="Times New Roman" w:eastAsia="宋体"/>
                <w:color w:val="auto"/>
                <w:sz w:val="24"/>
                <w:szCs w:val="24"/>
                <w:highlight w:val="none"/>
                <w:lang w:val="en-US" w:eastAsia="zh-CN"/>
              </w:rPr>
            </w:pPr>
            <w:r>
              <w:rPr>
                <w:rFonts w:hint="eastAsia" w:ascii="Times New Roman" w:hAnsi="Times New Roman" w:eastAsia="宋体" w:cs="宋体"/>
                <w:i w:val="0"/>
                <w:iCs w:val="0"/>
                <w:caps w:val="0"/>
                <w:color w:val="auto"/>
                <w:spacing w:val="0"/>
                <w:sz w:val="24"/>
                <w:szCs w:val="24"/>
                <w:shd w:val="clear" w:color="auto" w:fill="FFFFFF"/>
                <w:lang w:val="en-US" w:eastAsia="zh-CN"/>
              </w:rPr>
              <w:t>臭气浓度</w:t>
            </w:r>
          </w:p>
        </w:tc>
        <w:tc>
          <w:tcPr>
            <w:tcW w:w="1755" w:type="dxa"/>
            <w:vMerge w:val="continue"/>
            <w:noWrap w:val="0"/>
            <w:vAlign w:val="center"/>
          </w:tcPr>
          <w:p w14:paraId="0A5BDC40">
            <w:pPr>
              <w:pStyle w:val="28"/>
              <w:bidi w:val="0"/>
              <w:rPr>
                <w:rFonts w:hint="eastAsia" w:ascii="Times New Roman" w:hAnsi="Times New Roman" w:eastAsia="宋体"/>
                <w:color w:val="auto"/>
                <w:sz w:val="24"/>
                <w:szCs w:val="24"/>
                <w:lang w:val="en-US" w:eastAsia="zh-CN"/>
              </w:rPr>
            </w:pPr>
          </w:p>
        </w:tc>
        <w:tc>
          <w:tcPr>
            <w:tcW w:w="1757" w:type="dxa"/>
            <w:noWrap w:val="0"/>
            <w:vAlign w:val="center"/>
          </w:tcPr>
          <w:p w14:paraId="4D1F3A64">
            <w:pPr>
              <w:pStyle w:val="28"/>
              <w:bidi w:val="0"/>
              <w:rPr>
                <w:rFonts w:hint="eastAsia" w:ascii="Times New Roman" w:hAnsi="Times New Roman" w:eastAsia="宋体" w:cs="宋体"/>
                <w:color w:val="auto"/>
                <w:sz w:val="24"/>
                <w:szCs w:val="24"/>
                <w:lang w:val="en-US" w:eastAsia="zh-CN"/>
              </w:rPr>
            </w:pPr>
            <w:r>
              <w:rPr>
                <w:rFonts w:hint="eastAsia" w:ascii="Times New Roman" w:hAnsi="Times New Roman" w:eastAsia="宋体" w:cs="宋体"/>
                <w:color w:val="auto"/>
                <w:sz w:val="24"/>
                <w:szCs w:val="24"/>
                <w:lang w:val="en-US" w:eastAsia="zh-CN"/>
              </w:rPr>
              <w:t>无组织排放执行</w:t>
            </w:r>
            <w:r>
              <w:rPr>
                <w:rFonts w:ascii="Times New Roman" w:hAnsi="Times New Roman" w:eastAsia="宋体" w:cs="宋体"/>
                <w:color w:val="auto"/>
                <w:sz w:val="24"/>
                <w:szCs w:val="24"/>
              </w:rPr>
              <w:t>《恶臭污染物排放标准》（GB14554-93）表1二级新扩改建标准</w:t>
            </w:r>
            <w:r>
              <w:rPr>
                <w:rFonts w:hint="eastAsia" w:ascii="Times New Roman" w:hAnsi="Times New Roman" w:eastAsia="宋体" w:cs="宋体"/>
                <w:color w:val="auto"/>
                <w:sz w:val="24"/>
                <w:szCs w:val="24"/>
                <w:lang w:eastAsia="zh-CN"/>
              </w:rPr>
              <w:t>（</w:t>
            </w:r>
            <w:r>
              <w:rPr>
                <w:rFonts w:hint="eastAsia" w:ascii="Times New Roman" w:hAnsi="Times New Roman" w:eastAsia="宋体" w:cs="宋体"/>
                <w:color w:val="auto"/>
                <w:sz w:val="24"/>
                <w:szCs w:val="24"/>
                <w:lang w:val="en-US" w:eastAsia="zh-CN"/>
              </w:rPr>
              <w:t>臭气浓度≤</w:t>
            </w:r>
            <w:r>
              <w:rPr>
                <w:rFonts w:ascii="Times New Roman" w:hAnsi="Times New Roman" w:eastAsia="宋体" w:cs="宋体"/>
                <w:color w:val="auto"/>
                <w:sz w:val="24"/>
                <w:szCs w:val="24"/>
              </w:rPr>
              <w:t>20（无量纲）</w:t>
            </w:r>
            <w:r>
              <w:rPr>
                <w:rFonts w:hint="eastAsia" w:ascii="Times New Roman" w:hAnsi="Times New Roman" w:eastAsia="宋体" w:cs="宋体"/>
                <w:color w:val="auto"/>
                <w:sz w:val="24"/>
                <w:szCs w:val="24"/>
                <w:lang w:eastAsia="zh-CN"/>
              </w:rPr>
              <w:t>）</w:t>
            </w:r>
          </w:p>
        </w:tc>
      </w:tr>
      <w:tr w14:paraId="5DD06E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12" w:type="dxa"/>
          <w:trHeight w:val="425" w:hRule="atLeast"/>
          <w:jc w:val="center"/>
        </w:trPr>
        <w:tc>
          <w:tcPr>
            <w:tcW w:w="1778" w:type="dxa"/>
            <w:gridSpan w:val="2"/>
            <w:vMerge w:val="continue"/>
            <w:noWrap w:val="0"/>
            <w:vAlign w:val="center"/>
          </w:tcPr>
          <w:p w14:paraId="14CB08B2">
            <w:pPr>
              <w:adjustRightInd w:val="0"/>
              <w:snapToGrid w:val="0"/>
              <w:jc w:val="center"/>
              <w:rPr>
                <w:rFonts w:hint="eastAsia" w:ascii="Times New Roman" w:hAnsi="Times New Roman" w:eastAsia="宋体" w:cs="宋体"/>
                <w:color w:val="auto"/>
                <w:sz w:val="24"/>
                <w:szCs w:val="24"/>
              </w:rPr>
            </w:pPr>
          </w:p>
        </w:tc>
        <w:tc>
          <w:tcPr>
            <w:tcW w:w="1755" w:type="dxa"/>
            <w:noWrap w:val="0"/>
            <w:vAlign w:val="center"/>
          </w:tcPr>
          <w:p w14:paraId="133494B7">
            <w:pPr>
              <w:pStyle w:val="28"/>
              <w:bidi w:val="0"/>
              <w:rPr>
                <w:rFonts w:hint="default"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厂区内/生产车间</w:t>
            </w:r>
          </w:p>
        </w:tc>
        <w:tc>
          <w:tcPr>
            <w:tcW w:w="1755" w:type="dxa"/>
            <w:noWrap w:val="0"/>
            <w:vAlign w:val="center"/>
          </w:tcPr>
          <w:p w14:paraId="2EB3EC0D">
            <w:pPr>
              <w:pStyle w:val="28"/>
              <w:bidi w:val="0"/>
              <w:rPr>
                <w:rFonts w:hint="eastAsia" w:ascii="Times New Roman" w:hAnsi="Times New Roman" w:eastAsia="宋体"/>
                <w:color w:val="auto"/>
                <w:kern w:val="0"/>
                <w:sz w:val="24"/>
                <w:szCs w:val="24"/>
                <w:lang w:val="en-US" w:eastAsia="zh-CN" w:bidi="ar-SA"/>
              </w:rPr>
            </w:pPr>
            <w:r>
              <w:rPr>
                <w:rFonts w:hint="eastAsia" w:ascii="Times New Roman" w:hAnsi="Times New Roman" w:eastAsia="宋体"/>
                <w:color w:val="auto"/>
                <w:sz w:val="24"/>
                <w:szCs w:val="24"/>
                <w:lang w:val="en-US" w:eastAsia="zh-CN"/>
              </w:rPr>
              <w:t>VOCs（以非甲烷总烃计）</w:t>
            </w:r>
          </w:p>
        </w:tc>
        <w:tc>
          <w:tcPr>
            <w:tcW w:w="1755" w:type="dxa"/>
            <w:noWrap w:val="0"/>
            <w:vAlign w:val="center"/>
          </w:tcPr>
          <w:p w14:paraId="27BE3C2B">
            <w:pPr>
              <w:pStyle w:val="28"/>
              <w:bidi w:val="0"/>
              <w:rPr>
                <w:rFonts w:hint="eastAsia" w:ascii="Times New Roman" w:hAnsi="Times New Roman" w:eastAsia="宋体"/>
                <w:color w:val="auto"/>
                <w:kern w:val="0"/>
                <w:sz w:val="24"/>
                <w:szCs w:val="24"/>
                <w:lang w:val="en-US" w:eastAsia="zh-CN" w:bidi="ar-SA"/>
              </w:rPr>
            </w:pPr>
            <w:r>
              <w:rPr>
                <w:rFonts w:hint="eastAsia" w:ascii="Times New Roman" w:hAnsi="Times New Roman" w:eastAsia="宋体"/>
                <w:color w:val="auto"/>
                <w:sz w:val="24"/>
                <w:szCs w:val="24"/>
                <w:lang w:val="en-US" w:eastAsia="zh-CN"/>
              </w:rPr>
              <w:t>车间密闭，减少对外界大气环境造成影响</w:t>
            </w:r>
          </w:p>
        </w:tc>
        <w:tc>
          <w:tcPr>
            <w:tcW w:w="1757" w:type="dxa"/>
            <w:noWrap w:val="0"/>
            <w:vAlign w:val="center"/>
          </w:tcPr>
          <w:p w14:paraId="7F7C3D5F">
            <w:pPr>
              <w:pStyle w:val="28"/>
              <w:bidi w:val="0"/>
              <w:rPr>
                <w:rFonts w:hint="default"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项目VOCs（以非甲烷总烃计）厂区内无组织排放执行《挥发性有机物无组织排放控制标准》（GB37822-2019）中附录A表A.1无组织排放限值，</w:t>
            </w:r>
          </w:p>
          <w:p w14:paraId="736DF3C2">
            <w:pPr>
              <w:pStyle w:val="28"/>
              <w:bidi w:val="0"/>
              <w:rPr>
                <w:rFonts w:hint="default" w:ascii="Times New Roman" w:hAnsi="Times New Roman" w:eastAsia="宋体"/>
                <w:color w:val="auto"/>
                <w:sz w:val="24"/>
                <w:szCs w:val="24"/>
                <w:vertAlign w:val="baseline"/>
                <w:lang w:val="en-US" w:eastAsia="zh-CN"/>
              </w:rPr>
            </w:pPr>
            <w:r>
              <w:rPr>
                <w:rFonts w:hint="eastAsia" w:ascii="Times New Roman" w:hAnsi="Times New Roman" w:eastAsia="宋体"/>
                <w:color w:val="auto"/>
                <w:sz w:val="24"/>
                <w:szCs w:val="24"/>
                <w:lang w:val="en-US" w:eastAsia="zh-CN"/>
              </w:rPr>
              <w:t>监控点处任意一次浓度值≤30mg/m</w:t>
            </w:r>
            <w:r>
              <w:rPr>
                <w:rFonts w:hint="eastAsia" w:ascii="Times New Roman" w:hAnsi="Times New Roman" w:eastAsia="宋体"/>
                <w:color w:val="auto"/>
                <w:sz w:val="24"/>
                <w:szCs w:val="24"/>
                <w:vertAlign w:val="superscript"/>
                <w:lang w:val="en-US" w:eastAsia="zh-CN"/>
              </w:rPr>
              <w:t>3</w:t>
            </w:r>
            <w:r>
              <w:rPr>
                <w:rFonts w:hint="eastAsia" w:ascii="Times New Roman" w:hAnsi="Times New Roman" w:eastAsia="宋体"/>
                <w:color w:val="auto"/>
                <w:sz w:val="24"/>
                <w:szCs w:val="24"/>
                <w:vertAlign w:val="baseline"/>
                <w:lang w:val="en-US" w:eastAsia="zh-CN"/>
              </w:rPr>
              <w:t>，《工业企业挥发性有机物排放标准》（DB35/1782-2018）表2中厂区内监控点浓度限值，浓度限值为8.0mg/m</w:t>
            </w:r>
            <w:r>
              <w:rPr>
                <w:rFonts w:hint="eastAsia" w:ascii="Times New Roman" w:hAnsi="Times New Roman" w:eastAsia="宋体"/>
                <w:color w:val="auto"/>
                <w:sz w:val="24"/>
                <w:szCs w:val="24"/>
                <w:vertAlign w:val="superscript"/>
                <w:lang w:val="en-US" w:eastAsia="zh-CN"/>
              </w:rPr>
              <w:t>3</w:t>
            </w:r>
          </w:p>
        </w:tc>
      </w:tr>
      <w:tr w14:paraId="48FA5C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12" w:type="dxa"/>
          <w:trHeight w:val="425" w:hRule="atLeast"/>
          <w:jc w:val="center"/>
        </w:trPr>
        <w:tc>
          <w:tcPr>
            <w:tcW w:w="1778" w:type="dxa"/>
            <w:gridSpan w:val="2"/>
            <w:vMerge w:val="restart"/>
            <w:noWrap w:val="0"/>
            <w:vAlign w:val="center"/>
          </w:tcPr>
          <w:p w14:paraId="06425667">
            <w:pPr>
              <w:adjustRightInd w:val="0"/>
              <w:snapToGrid w:val="0"/>
              <w:jc w:val="center"/>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rPr>
              <w:t>地表水环境</w:t>
            </w:r>
          </w:p>
        </w:tc>
        <w:tc>
          <w:tcPr>
            <w:tcW w:w="1755" w:type="dxa"/>
            <w:noWrap w:val="0"/>
            <w:vAlign w:val="center"/>
          </w:tcPr>
          <w:p w14:paraId="629367DE">
            <w:pPr>
              <w:pStyle w:val="28"/>
              <w:bidi w:val="0"/>
              <w:rPr>
                <w:rFonts w:hint="eastAsia" w:ascii="Times New Roman" w:hAnsi="Times New Roman" w:eastAsia="宋体"/>
                <w:color w:val="auto"/>
                <w:kern w:val="0"/>
                <w:sz w:val="24"/>
                <w:szCs w:val="24"/>
                <w:lang w:val="en-US" w:eastAsia="zh-CN" w:bidi="ar-SA"/>
              </w:rPr>
            </w:pPr>
            <w:r>
              <w:rPr>
                <w:rFonts w:hint="eastAsia" w:ascii="Times New Roman" w:hAnsi="Times New Roman" w:eastAsia="宋体"/>
                <w:color w:val="auto"/>
                <w:sz w:val="24"/>
                <w:szCs w:val="24"/>
                <w:lang w:val="en-US" w:eastAsia="zh-CN"/>
              </w:rPr>
              <w:t>生产废水排放口（DW001）/生产废水</w:t>
            </w:r>
          </w:p>
        </w:tc>
        <w:tc>
          <w:tcPr>
            <w:tcW w:w="1755" w:type="dxa"/>
            <w:noWrap w:val="0"/>
            <w:vAlign w:val="center"/>
          </w:tcPr>
          <w:p w14:paraId="128BA3D3">
            <w:pPr>
              <w:pStyle w:val="28"/>
              <w:bidi w:val="0"/>
              <w:rPr>
                <w:rFonts w:hint="eastAsia" w:ascii="Times New Roman" w:hAnsi="Times New Roman" w:eastAsia="宋体"/>
                <w:color w:val="auto"/>
                <w:kern w:val="0"/>
                <w:sz w:val="24"/>
                <w:szCs w:val="24"/>
                <w:lang w:val="en-US" w:eastAsia="zh-CN" w:bidi="ar-SA"/>
              </w:rPr>
            </w:pPr>
            <w:r>
              <w:rPr>
                <w:rFonts w:hint="eastAsia" w:ascii="Times New Roman" w:hAnsi="Times New Roman" w:eastAsia="宋体"/>
                <w:color w:val="auto"/>
                <w:sz w:val="24"/>
                <w:szCs w:val="24"/>
                <w:lang w:val="en-US" w:eastAsia="zh-CN"/>
              </w:rPr>
              <w:t>pH值、COD、SS、BOD</w:t>
            </w:r>
            <w:r>
              <w:rPr>
                <w:rFonts w:hint="eastAsia" w:ascii="Times New Roman" w:hAnsi="Times New Roman" w:eastAsia="宋体"/>
                <w:color w:val="auto"/>
                <w:sz w:val="24"/>
                <w:szCs w:val="24"/>
                <w:vertAlign w:val="subscript"/>
                <w:lang w:val="en-US" w:eastAsia="zh-CN"/>
              </w:rPr>
              <w:t>5</w:t>
            </w:r>
            <w:r>
              <w:rPr>
                <w:rFonts w:hint="eastAsia" w:ascii="Times New Roman" w:hAnsi="Times New Roman" w:eastAsia="宋体"/>
                <w:color w:val="auto"/>
                <w:sz w:val="24"/>
                <w:szCs w:val="24"/>
                <w:lang w:val="en-US" w:eastAsia="zh-CN"/>
              </w:rPr>
              <w:t>、NH</w:t>
            </w:r>
            <w:r>
              <w:rPr>
                <w:rFonts w:hint="eastAsia" w:ascii="Times New Roman" w:hAnsi="Times New Roman" w:eastAsia="宋体"/>
                <w:color w:val="auto"/>
                <w:sz w:val="24"/>
                <w:szCs w:val="24"/>
                <w:vertAlign w:val="subscript"/>
                <w:lang w:val="en-US" w:eastAsia="zh-CN"/>
              </w:rPr>
              <w:t>3</w:t>
            </w:r>
            <w:r>
              <w:rPr>
                <w:rFonts w:hint="eastAsia" w:ascii="Times New Roman" w:hAnsi="Times New Roman" w:eastAsia="宋体"/>
                <w:color w:val="auto"/>
                <w:sz w:val="24"/>
                <w:szCs w:val="24"/>
                <w:lang w:val="en-US" w:eastAsia="zh-CN"/>
              </w:rPr>
              <w:t>-N</w:t>
            </w:r>
          </w:p>
        </w:tc>
        <w:tc>
          <w:tcPr>
            <w:tcW w:w="1755" w:type="dxa"/>
            <w:noWrap w:val="0"/>
            <w:vAlign w:val="center"/>
          </w:tcPr>
          <w:p w14:paraId="60346DBD">
            <w:pPr>
              <w:pStyle w:val="28"/>
              <w:bidi w:val="0"/>
              <w:rPr>
                <w:rFonts w:hint="eastAsia" w:ascii="Times New Roman" w:hAnsi="Times New Roman" w:eastAsia="宋体"/>
                <w:color w:val="auto"/>
                <w:kern w:val="0"/>
                <w:sz w:val="24"/>
                <w:szCs w:val="24"/>
                <w:lang w:val="en-US" w:eastAsia="zh-CN" w:bidi="ar-SA"/>
              </w:rPr>
            </w:pPr>
            <w:r>
              <w:rPr>
                <w:rFonts w:hint="eastAsia" w:ascii="Times New Roman" w:hAnsi="Times New Roman" w:eastAsia="宋体"/>
                <w:color w:val="auto"/>
                <w:sz w:val="24"/>
                <w:szCs w:val="24"/>
                <w:lang w:val="en-US" w:eastAsia="zh-CN"/>
              </w:rPr>
              <w:t>铣磨、</w:t>
            </w:r>
            <w:r>
              <w:rPr>
                <w:rFonts w:hint="eastAsia"/>
                <w:color w:val="auto"/>
                <w:sz w:val="24"/>
                <w:szCs w:val="24"/>
                <w:lang w:val="en-US" w:eastAsia="zh-CN"/>
              </w:rPr>
              <w:t>倒边</w:t>
            </w:r>
            <w:r>
              <w:rPr>
                <w:rFonts w:hint="default" w:ascii="Times New Roman" w:hAnsi="Times New Roman" w:eastAsia="宋体"/>
                <w:color w:val="auto"/>
                <w:sz w:val="24"/>
                <w:szCs w:val="24"/>
                <w:lang w:val="en-US" w:eastAsia="zh-CN"/>
              </w:rPr>
              <w:t>、</w:t>
            </w:r>
            <w:r>
              <w:rPr>
                <w:rFonts w:hint="eastAsia"/>
                <w:color w:val="auto"/>
                <w:sz w:val="24"/>
                <w:szCs w:val="24"/>
                <w:lang w:val="en-US" w:eastAsia="zh-CN"/>
              </w:rPr>
              <w:t>研磨、</w:t>
            </w:r>
            <w:r>
              <w:rPr>
                <w:rFonts w:hint="default" w:ascii="Times New Roman" w:hAnsi="Times New Roman" w:eastAsia="宋体"/>
                <w:color w:val="auto"/>
                <w:sz w:val="24"/>
                <w:szCs w:val="24"/>
                <w:lang w:val="en-US" w:eastAsia="zh-CN"/>
              </w:rPr>
              <w:t>抛光</w:t>
            </w:r>
            <w:r>
              <w:rPr>
                <w:rFonts w:hint="eastAsia" w:ascii="Times New Roman" w:hAnsi="Times New Roman" w:eastAsia="宋体"/>
                <w:color w:val="auto"/>
                <w:sz w:val="24"/>
                <w:szCs w:val="24"/>
                <w:lang w:val="en-US" w:eastAsia="zh-CN"/>
              </w:rPr>
              <w:t>、喷淋塔</w:t>
            </w:r>
            <w:r>
              <w:rPr>
                <w:rFonts w:hint="eastAsia"/>
                <w:color w:val="auto"/>
                <w:sz w:val="24"/>
                <w:szCs w:val="24"/>
                <w:lang w:val="en-US" w:eastAsia="zh-CN"/>
              </w:rPr>
              <w:t>、晶体生长</w:t>
            </w:r>
            <w:r>
              <w:rPr>
                <w:rFonts w:hint="default" w:ascii="Times New Roman" w:hAnsi="Times New Roman" w:eastAsia="宋体"/>
                <w:color w:val="auto"/>
                <w:sz w:val="24"/>
                <w:szCs w:val="24"/>
                <w:lang w:val="en-US" w:eastAsia="zh-CN"/>
              </w:rPr>
              <w:t>废水经过</w:t>
            </w:r>
            <w:r>
              <w:rPr>
                <w:rFonts w:hint="eastAsia" w:ascii="Times New Roman" w:hAnsi="Times New Roman" w:eastAsia="宋体"/>
                <w:color w:val="auto"/>
                <w:sz w:val="24"/>
                <w:szCs w:val="24"/>
                <w:lang w:val="en-US" w:eastAsia="zh-CN"/>
              </w:rPr>
              <w:t>三格</w:t>
            </w:r>
            <w:r>
              <w:rPr>
                <w:rFonts w:hint="default" w:ascii="Times New Roman" w:hAnsi="Times New Roman" w:eastAsia="宋体"/>
                <w:color w:val="auto"/>
                <w:sz w:val="24"/>
                <w:szCs w:val="24"/>
                <w:lang w:val="en-US" w:eastAsia="zh-CN"/>
              </w:rPr>
              <w:t>沉淀</w:t>
            </w:r>
            <w:r>
              <w:rPr>
                <w:rFonts w:hint="eastAsia" w:ascii="Times New Roman" w:hAnsi="Times New Roman" w:eastAsia="宋体"/>
                <w:color w:val="auto"/>
                <w:sz w:val="24"/>
                <w:szCs w:val="24"/>
                <w:lang w:val="en-US" w:eastAsia="zh-CN"/>
              </w:rPr>
              <w:t>处理</w:t>
            </w:r>
            <w:r>
              <w:rPr>
                <w:rFonts w:hint="default" w:ascii="Times New Roman" w:hAnsi="Times New Roman" w:eastAsia="宋体"/>
                <w:color w:val="auto"/>
                <w:sz w:val="24"/>
                <w:szCs w:val="24"/>
                <w:lang w:val="en-US" w:eastAsia="zh-CN"/>
              </w:rPr>
              <w:t>后进入调节池，再经过</w:t>
            </w:r>
            <w:r>
              <w:rPr>
                <w:rFonts w:hint="eastAsia" w:ascii="Times New Roman" w:hAnsi="Times New Roman" w:eastAsia="宋体"/>
                <w:color w:val="auto"/>
                <w:sz w:val="24"/>
                <w:szCs w:val="24"/>
                <w:lang w:val="en-US" w:eastAsia="zh-CN"/>
              </w:rPr>
              <w:t>混凝沉淀</w:t>
            </w:r>
            <w:r>
              <w:rPr>
                <w:rFonts w:hint="default" w:ascii="Times New Roman" w:hAnsi="Times New Roman" w:eastAsia="宋体"/>
                <w:color w:val="auto"/>
                <w:sz w:val="24"/>
                <w:szCs w:val="24"/>
                <w:lang w:val="en-US" w:eastAsia="zh-CN"/>
              </w:rPr>
              <w:t>废水处理设施处理达标后排入市政管网，纳入大学城污水处理厂；药水槽</w:t>
            </w:r>
            <w:r>
              <w:rPr>
                <w:rFonts w:hint="eastAsia" w:ascii="Times New Roman" w:hAnsi="Times New Roman" w:eastAsia="宋体" w:cs="Times New Roman"/>
                <w:color w:val="auto"/>
                <w:sz w:val="24"/>
                <w:szCs w:val="24"/>
                <w:lang w:val="en-US" w:eastAsia="zh-CN"/>
              </w:rPr>
              <w:t>中的清洗剂</w:t>
            </w:r>
            <w:r>
              <w:rPr>
                <w:rFonts w:hint="default" w:ascii="Times New Roman" w:hAnsi="Times New Roman" w:eastAsia="宋体" w:cs="Times New Roman"/>
                <w:color w:val="auto"/>
                <w:sz w:val="24"/>
                <w:szCs w:val="24"/>
                <w:lang w:val="en-US" w:eastAsia="zh-CN"/>
              </w:rPr>
              <w:t>废水进</w:t>
            </w:r>
            <w:r>
              <w:rPr>
                <w:rFonts w:hint="default" w:ascii="Times New Roman" w:hAnsi="Times New Roman" w:eastAsia="宋体"/>
                <w:color w:val="auto"/>
                <w:sz w:val="24"/>
                <w:szCs w:val="24"/>
                <w:lang w:val="en-US" w:eastAsia="zh-CN"/>
              </w:rPr>
              <w:t>入</w:t>
            </w:r>
            <w:r>
              <w:rPr>
                <w:rFonts w:hint="eastAsia" w:ascii="Times New Roman" w:hAnsi="Times New Roman" w:eastAsia="宋体"/>
                <w:color w:val="auto"/>
                <w:sz w:val="24"/>
                <w:szCs w:val="24"/>
                <w:lang w:val="en-US" w:eastAsia="zh-CN"/>
              </w:rPr>
              <w:t>集水</w:t>
            </w:r>
            <w:r>
              <w:rPr>
                <w:rFonts w:hint="default" w:ascii="Times New Roman" w:hAnsi="Times New Roman" w:eastAsia="宋体"/>
                <w:color w:val="auto"/>
                <w:sz w:val="24"/>
                <w:szCs w:val="24"/>
                <w:lang w:val="en-US" w:eastAsia="zh-CN"/>
              </w:rPr>
              <w:t>调节池，再经过</w:t>
            </w:r>
            <w:r>
              <w:rPr>
                <w:rFonts w:hint="eastAsia" w:ascii="Times New Roman" w:hAnsi="Times New Roman" w:eastAsia="宋体"/>
                <w:color w:val="auto"/>
                <w:sz w:val="24"/>
                <w:szCs w:val="24"/>
                <w:lang w:val="en-US" w:eastAsia="zh-CN"/>
              </w:rPr>
              <w:t>混凝沉淀</w:t>
            </w:r>
            <w:r>
              <w:rPr>
                <w:rFonts w:hint="default" w:ascii="Times New Roman" w:hAnsi="Times New Roman" w:eastAsia="宋体"/>
                <w:color w:val="auto"/>
                <w:sz w:val="24"/>
                <w:szCs w:val="24"/>
                <w:lang w:val="en-US" w:eastAsia="zh-CN"/>
              </w:rPr>
              <w:t>废水处理设施处理达标后排入市政管网，纳入大学城污水处理厂</w:t>
            </w:r>
            <w:r>
              <w:rPr>
                <w:rFonts w:hint="eastAsia" w:ascii="Times New Roman" w:hAnsi="Times New Roman" w:eastAsia="宋体"/>
                <w:color w:val="auto"/>
                <w:sz w:val="24"/>
                <w:szCs w:val="24"/>
                <w:lang w:val="en-US" w:eastAsia="zh-CN"/>
              </w:rPr>
              <w:t>；</w:t>
            </w:r>
            <w:r>
              <w:rPr>
                <w:rFonts w:hint="default" w:ascii="Times New Roman" w:hAnsi="Times New Roman" w:eastAsia="宋体"/>
                <w:color w:val="auto"/>
                <w:sz w:val="24"/>
                <w:szCs w:val="24"/>
                <w:highlight w:val="none"/>
                <w:lang w:val="en-US" w:eastAsia="zh-CN"/>
              </w:rPr>
              <w:t>纯水槽的纯</w:t>
            </w:r>
            <w:r>
              <w:rPr>
                <w:rFonts w:hint="eastAsia"/>
                <w:color w:val="auto"/>
                <w:sz w:val="24"/>
                <w:szCs w:val="24"/>
                <w:highlight w:val="none"/>
                <w:lang w:val="en-US" w:eastAsia="zh-CN"/>
              </w:rPr>
              <w:t>净废</w:t>
            </w:r>
            <w:r>
              <w:rPr>
                <w:rFonts w:hint="default" w:ascii="Times New Roman" w:hAnsi="Times New Roman" w:eastAsia="宋体"/>
                <w:color w:val="auto"/>
                <w:sz w:val="24"/>
                <w:szCs w:val="24"/>
                <w:highlight w:val="none"/>
                <w:lang w:val="en-US" w:eastAsia="zh-CN"/>
              </w:rPr>
              <w:t>水与</w:t>
            </w:r>
            <w:r>
              <w:rPr>
                <w:rFonts w:hint="eastAsia"/>
                <w:color w:val="auto"/>
                <w:sz w:val="24"/>
                <w:szCs w:val="24"/>
                <w:highlight w:val="none"/>
                <w:lang w:val="en-US" w:eastAsia="zh-CN"/>
              </w:rPr>
              <w:t>纯水制备的</w:t>
            </w:r>
            <w:r>
              <w:rPr>
                <w:rFonts w:hint="default" w:ascii="Times New Roman" w:hAnsi="Times New Roman" w:eastAsia="宋体"/>
                <w:color w:val="auto"/>
                <w:sz w:val="24"/>
                <w:szCs w:val="24"/>
                <w:highlight w:val="none"/>
                <w:lang w:val="en-US" w:eastAsia="zh-CN"/>
              </w:rPr>
              <w:t>非纯净废水排入市政管网，纳入大学城污水处理厂</w:t>
            </w:r>
            <w:r>
              <w:rPr>
                <w:rFonts w:hint="eastAsia" w:ascii="Times New Roman" w:hAnsi="Times New Roman" w:eastAsia="宋体"/>
                <w:color w:val="auto"/>
                <w:sz w:val="24"/>
                <w:szCs w:val="24"/>
                <w:highlight w:val="none"/>
                <w:lang w:val="en-US" w:eastAsia="zh-CN"/>
              </w:rPr>
              <w:t>；</w:t>
            </w:r>
          </w:p>
        </w:tc>
        <w:tc>
          <w:tcPr>
            <w:tcW w:w="1757" w:type="dxa"/>
            <w:noWrap w:val="0"/>
            <w:vAlign w:val="center"/>
          </w:tcPr>
          <w:p w14:paraId="1B6D6018">
            <w:pPr>
              <w:pStyle w:val="28"/>
              <w:bidi w:val="0"/>
              <w:rPr>
                <w:rFonts w:hint="eastAsia" w:ascii="Times New Roman" w:hAnsi="Times New Roman" w:eastAsia="宋体"/>
                <w:color w:val="auto"/>
                <w:kern w:val="0"/>
                <w:sz w:val="24"/>
                <w:szCs w:val="24"/>
                <w:lang w:val="en-US" w:eastAsia="zh-CN" w:bidi="ar-SA"/>
              </w:rPr>
            </w:pPr>
            <w:r>
              <w:rPr>
                <w:rFonts w:ascii="宋体" w:hAnsi="宋体" w:eastAsia="宋体" w:cs="宋体"/>
                <w:color w:val="auto"/>
                <w:sz w:val="24"/>
                <w:szCs w:val="24"/>
              </w:rPr>
              <w:t>《电子工业水污染物排放标准》</w:t>
            </w:r>
            <w:r>
              <w:rPr>
                <w:rFonts w:hint="eastAsia" w:ascii="Times New Roman" w:hAnsi="Times New Roman" w:eastAsia="宋体" w:cs="宋体"/>
                <w:color w:val="auto"/>
                <w:kern w:val="2"/>
                <w:sz w:val="24"/>
                <w:szCs w:val="24"/>
                <w:lang w:val="en-US" w:eastAsia="zh-CN" w:bidi="ar-SA"/>
              </w:rPr>
              <w:t>（GB 39731-2020）表1规定的水污染物排放限值</w:t>
            </w:r>
            <w:r>
              <w:rPr>
                <w:rFonts w:hint="eastAsia" w:ascii="Times New Roman" w:hAnsi="Times New Roman" w:eastAsia="宋体"/>
                <w:color w:val="auto"/>
                <w:sz w:val="24"/>
                <w:szCs w:val="24"/>
                <w:lang w:val="en-US" w:eastAsia="zh-CN"/>
              </w:rPr>
              <w:t>（（pH值在6-9之间，COD≤500mg/L、SS≤400mg/L</w:t>
            </w:r>
            <w:r>
              <w:rPr>
                <w:rFonts w:hint="eastAsia"/>
                <w:color w:val="auto"/>
                <w:sz w:val="24"/>
                <w:szCs w:val="24"/>
                <w:lang w:val="en-US" w:eastAsia="zh-CN"/>
              </w:rPr>
              <w:t>、</w:t>
            </w:r>
            <w:r>
              <w:rPr>
                <w:rFonts w:hint="eastAsia" w:ascii="Times New Roman" w:hAnsi="Times New Roman" w:eastAsia="宋体"/>
                <w:color w:val="auto"/>
                <w:sz w:val="24"/>
                <w:szCs w:val="24"/>
                <w:lang w:val="en-US" w:eastAsia="zh-CN"/>
              </w:rPr>
              <w:t>NH</w:t>
            </w:r>
            <w:r>
              <w:rPr>
                <w:rFonts w:hint="eastAsia" w:ascii="Times New Roman" w:hAnsi="Times New Roman" w:eastAsia="宋体"/>
                <w:color w:val="auto"/>
                <w:sz w:val="24"/>
                <w:szCs w:val="24"/>
                <w:vertAlign w:val="subscript"/>
                <w:lang w:val="en-US" w:eastAsia="zh-CN"/>
              </w:rPr>
              <w:t>3</w:t>
            </w:r>
            <w:r>
              <w:rPr>
                <w:rFonts w:hint="eastAsia" w:ascii="Times New Roman" w:hAnsi="Times New Roman" w:eastAsia="宋体"/>
                <w:color w:val="auto"/>
                <w:sz w:val="24"/>
                <w:szCs w:val="24"/>
                <w:lang w:val="en-US" w:eastAsia="zh-CN"/>
              </w:rPr>
              <w:t>-N≤45mg/L））</w:t>
            </w:r>
          </w:p>
        </w:tc>
      </w:tr>
      <w:tr w14:paraId="2BAE21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12" w:type="dxa"/>
          <w:trHeight w:val="4810" w:hRule="atLeast"/>
          <w:jc w:val="center"/>
        </w:trPr>
        <w:tc>
          <w:tcPr>
            <w:tcW w:w="1778" w:type="dxa"/>
            <w:gridSpan w:val="2"/>
            <w:vMerge w:val="continue"/>
            <w:noWrap w:val="0"/>
            <w:vAlign w:val="center"/>
          </w:tcPr>
          <w:p w14:paraId="441CBCFD">
            <w:pPr>
              <w:adjustRightInd w:val="0"/>
              <w:snapToGrid w:val="0"/>
              <w:jc w:val="center"/>
              <w:rPr>
                <w:rFonts w:hint="eastAsia" w:ascii="Times New Roman" w:hAnsi="Times New Roman" w:eastAsia="宋体" w:cs="宋体"/>
                <w:color w:val="auto"/>
                <w:sz w:val="24"/>
                <w:szCs w:val="24"/>
              </w:rPr>
            </w:pPr>
          </w:p>
        </w:tc>
        <w:tc>
          <w:tcPr>
            <w:tcW w:w="1755" w:type="dxa"/>
            <w:noWrap w:val="0"/>
            <w:vAlign w:val="center"/>
          </w:tcPr>
          <w:p w14:paraId="34FAE39D">
            <w:pPr>
              <w:pStyle w:val="28"/>
              <w:bidi w:val="0"/>
              <w:rPr>
                <w:rFonts w:hint="eastAsia" w:ascii="Times New Roman" w:hAnsi="Times New Roman" w:eastAsia="宋体"/>
                <w:color w:val="auto"/>
                <w:kern w:val="0"/>
                <w:sz w:val="24"/>
                <w:szCs w:val="24"/>
                <w:lang w:val="en-US" w:eastAsia="zh-CN" w:bidi="ar-SA"/>
              </w:rPr>
            </w:pPr>
            <w:r>
              <w:rPr>
                <w:rFonts w:hint="eastAsia" w:ascii="Times New Roman" w:hAnsi="Times New Roman" w:eastAsia="宋体"/>
                <w:color w:val="auto"/>
                <w:sz w:val="24"/>
                <w:szCs w:val="24"/>
                <w:lang w:val="en-US" w:eastAsia="zh-CN"/>
              </w:rPr>
              <w:t>生活污水排放口（DW002）/生活污水</w:t>
            </w:r>
          </w:p>
        </w:tc>
        <w:tc>
          <w:tcPr>
            <w:tcW w:w="1755" w:type="dxa"/>
            <w:noWrap w:val="0"/>
            <w:vAlign w:val="center"/>
          </w:tcPr>
          <w:p w14:paraId="2E36781C">
            <w:pPr>
              <w:pStyle w:val="28"/>
              <w:bidi w:val="0"/>
              <w:rPr>
                <w:rFonts w:hint="default" w:ascii="Times New Roman" w:hAnsi="Times New Roman" w:eastAsia="宋体"/>
                <w:color w:val="auto"/>
                <w:kern w:val="0"/>
                <w:sz w:val="24"/>
                <w:szCs w:val="24"/>
                <w:lang w:val="en-US" w:eastAsia="zh-CN" w:bidi="ar-SA"/>
              </w:rPr>
            </w:pPr>
            <w:r>
              <w:rPr>
                <w:rFonts w:hint="eastAsia" w:ascii="Times New Roman" w:hAnsi="Times New Roman" w:eastAsia="宋体"/>
                <w:color w:val="auto"/>
                <w:sz w:val="24"/>
                <w:szCs w:val="24"/>
                <w:lang w:val="en-US" w:eastAsia="zh-CN"/>
              </w:rPr>
              <w:t>pH值、COD、SS、BOD</w:t>
            </w:r>
            <w:r>
              <w:rPr>
                <w:rFonts w:hint="eastAsia" w:ascii="Times New Roman" w:hAnsi="Times New Roman" w:eastAsia="宋体"/>
                <w:color w:val="auto"/>
                <w:sz w:val="24"/>
                <w:szCs w:val="24"/>
                <w:vertAlign w:val="subscript"/>
                <w:lang w:val="en-US" w:eastAsia="zh-CN"/>
              </w:rPr>
              <w:t>5</w:t>
            </w:r>
            <w:r>
              <w:rPr>
                <w:rFonts w:hint="eastAsia" w:ascii="Times New Roman" w:hAnsi="Times New Roman" w:eastAsia="宋体"/>
                <w:color w:val="auto"/>
                <w:sz w:val="24"/>
                <w:szCs w:val="24"/>
                <w:lang w:val="en-US" w:eastAsia="zh-CN"/>
              </w:rPr>
              <w:t>、NH</w:t>
            </w:r>
            <w:r>
              <w:rPr>
                <w:rFonts w:hint="eastAsia" w:ascii="Times New Roman" w:hAnsi="Times New Roman" w:eastAsia="宋体"/>
                <w:color w:val="auto"/>
                <w:sz w:val="24"/>
                <w:szCs w:val="24"/>
                <w:vertAlign w:val="subscript"/>
                <w:lang w:val="en-US" w:eastAsia="zh-CN"/>
              </w:rPr>
              <w:t>3</w:t>
            </w:r>
            <w:r>
              <w:rPr>
                <w:rFonts w:hint="eastAsia" w:ascii="Times New Roman" w:hAnsi="Times New Roman" w:eastAsia="宋体"/>
                <w:color w:val="auto"/>
                <w:sz w:val="24"/>
                <w:szCs w:val="24"/>
                <w:lang w:val="en-US" w:eastAsia="zh-CN"/>
              </w:rPr>
              <w:t>-N</w:t>
            </w:r>
          </w:p>
        </w:tc>
        <w:tc>
          <w:tcPr>
            <w:tcW w:w="1755" w:type="dxa"/>
            <w:noWrap w:val="0"/>
            <w:vAlign w:val="center"/>
          </w:tcPr>
          <w:p w14:paraId="6DD147C9">
            <w:pPr>
              <w:pStyle w:val="28"/>
              <w:bidi w:val="0"/>
              <w:rPr>
                <w:rFonts w:hint="eastAsia" w:ascii="Times New Roman" w:hAnsi="Times New Roman" w:eastAsia="宋体"/>
                <w:color w:val="auto"/>
                <w:kern w:val="0"/>
                <w:sz w:val="24"/>
                <w:szCs w:val="24"/>
                <w:lang w:val="en-US" w:eastAsia="zh-CN" w:bidi="ar-SA"/>
              </w:rPr>
            </w:pPr>
            <w:r>
              <w:rPr>
                <w:rFonts w:hint="eastAsia" w:ascii="Times New Roman" w:hAnsi="Times New Roman" w:eastAsia="宋体"/>
                <w:color w:val="auto"/>
                <w:kern w:val="0"/>
                <w:sz w:val="24"/>
                <w:szCs w:val="24"/>
                <w:lang w:val="en-US" w:eastAsia="zh-CN" w:bidi="ar-SA"/>
              </w:rPr>
              <w:t>生活污水经化粪池处理达标后排入市政管网，纳入大学城污水处理厂</w:t>
            </w:r>
          </w:p>
        </w:tc>
        <w:tc>
          <w:tcPr>
            <w:tcW w:w="1757" w:type="dxa"/>
            <w:noWrap w:val="0"/>
            <w:vAlign w:val="center"/>
          </w:tcPr>
          <w:p w14:paraId="5F233032">
            <w:pPr>
              <w:pStyle w:val="28"/>
              <w:bidi w:val="0"/>
              <w:rPr>
                <w:rFonts w:hint="eastAsia" w:ascii="Times New Roman" w:hAnsi="Times New Roman" w:eastAsia="宋体"/>
                <w:color w:val="auto"/>
                <w:kern w:val="0"/>
                <w:sz w:val="24"/>
                <w:szCs w:val="24"/>
                <w:lang w:val="en-US" w:eastAsia="zh-CN" w:bidi="ar-SA"/>
              </w:rPr>
            </w:pPr>
            <w:r>
              <w:rPr>
                <w:rFonts w:hint="eastAsia" w:ascii="Times New Roman" w:hAnsi="Times New Roman" w:eastAsia="宋体"/>
                <w:color w:val="auto"/>
                <w:sz w:val="24"/>
                <w:szCs w:val="24"/>
                <w:lang w:eastAsia="zh-CN"/>
              </w:rPr>
              <w:t>《</w:t>
            </w:r>
            <w:r>
              <w:rPr>
                <w:rFonts w:hint="eastAsia" w:ascii="Times New Roman" w:hAnsi="Times New Roman" w:eastAsia="宋体"/>
                <w:color w:val="auto"/>
                <w:sz w:val="24"/>
                <w:szCs w:val="24"/>
                <w:lang w:val="en-US" w:eastAsia="zh-CN"/>
              </w:rPr>
              <w:t>污水综合排放标准</w:t>
            </w:r>
            <w:r>
              <w:rPr>
                <w:rFonts w:hint="eastAsia" w:ascii="Times New Roman" w:hAnsi="Times New Roman" w:eastAsia="宋体"/>
                <w:color w:val="auto"/>
                <w:sz w:val="24"/>
                <w:szCs w:val="24"/>
                <w:lang w:eastAsia="zh-CN"/>
              </w:rPr>
              <w:t>》（</w:t>
            </w:r>
            <w:r>
              <w:rPr>
                <w:rFonts w:hint="eastAsia" w:ascii="Times New Roman" w:hAnsi="Times New Roman" w:eastAsia="宋体"/>
                <w:color w:val="auto"/>
                <w:sz w:val="24"/>
                <w:szCs w:val="24"/>
                <w:lang w:val="en-US" w:eastAsia="zh-CN"/>
              </w:rPr>
              <w:t>GB8978-1996</w:t>
            </w:r>
            <w:r>
              <w:rPr>
                <w:rFonts w:hint="eastAsia" w:ascii="Times New Roman" w:hAnsi="Times New Roman" w:eastAsia="宋体"/>
                <w:color w:val="auto"/>
                <w:sz w:val="24"/>
                <w:szCs w:val="24"/>
                <w:lang w:eastAsia="zh-CN"/>
              </w:rPr>
              <w:t>）</w:t>
            </w:r>
            <w:r>
              <w:rPr>
                <w:rFonts w:hint="eastAsia" w:ascii="Times New Roman" w:hAnsi="Times New Roman" w:eastAsia="宋体"/>
                <w:color w:val="auto"/>
                <w:sz w:val="24"/>
                <w:szCs w:val="24"/>
                <w:lang w:val="en-US" w:eastAsia="zh-CN"/>
              </w:rPr>
              <w:t>表4三级标准（（pH值在6-9之间，BOD</w:t>
            </w:r>
            <w:r>
              <w:rPr>
                <w:rFonts w:hint="eastAsia" w:ascii="Times New Roman" w:hAnsi="Times New Roman" w:eastAsia="宋体"/>
                <w:color w:val="auto"/>
                <w:sz w:val="24"/>
                <w:szCs w:val="24"/>
                <w:vertAlign w:val="subscript"/>
                <w:lang w:val="en-US" w:eastAsia="zh-CN"/>
              </w:rPr>
              <w:t>5</w:t>
            </w:r>
            <w:r>
              <w:rPr>
                <w:rFonts w:hint="eastAsia" w:ascii="Times New Roman" w:hAnsi="Times New Roman" w:eastAsia="宋体"/>
                <w:color w:val="auto"/>
                <w:sz w:val="24"/>
                <w:szCs w:val="24"/>
                <w:lang w:val="en-US" w:eastAsia="zh-CN"/>
              </w:rPr>
              <w:t>≤300mg/L，COD≤500mg/L、SS≤400mg/L），氨氮执行《污水排入城镇下水道水质标准》（GB/T31962-2015）一级B标准（NH</w:t>
            </w:r>
            <w:r>
              <w:rPr>
                <w:rFonts w:hint="eastAsia" w:ascii="Times New Roman" w:hAnsi="Times New Roman" w:eastAsia="宋体"/>
                <w:color w:val="auto"/>
                <w:sz w:val="24"/>
                <w:szCs w:val="24"/>
                <w:vertAlign w:val="subscript"/>
                <w:lang w:val="en-US" w:eastAsia="zh-CN"/>
              </w:rPr>
              <w:t>3</w:t>
            </w:r>
            <w:r>
              <w:rPr>
                <w:rFonts w:hint="eastAsia" w:ascii="Times New Roman" w:hAnsi="Times New Roman" w:eastAsia="宋体"/>
                <w:color w:val="auto"/>
                <w:sz w:val="24"/>
                <w:szCs w:val="24"/>
                <w:lang w:val="en-US" w:eastAsia="zh-CN"/>
              </w:rPr>
              <w:t>-N≤45mg/L））</w:t>
            </w:r>
          </w:p>
        </w:tc>
      </w:tr>
      <w:tr w14:paraId="6C81CF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12" w:type="dxa"/>
          <w:trHeight w:val="425" w:hRule="atLeast"/>
          <w:jc w:val="center"/>
        </w:trPr>
        <w:tc>
          <w:tcPr>
            <w:tcW w:w="1778" w:type="dxa"/>
            <w:gridSpan w:val="2"/>
            <w:noWrap w:val="0"/>
            <w:vAlign w:val="center"/>
          </w:tcPr>
          <w:p w14:paraId="50BA2931">
            <w:pPr>
              <w:adjustRightInd w:val="0"/>
              <w:snapToGrid w:val="0"/>
              <w:jc w:val="center"/>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rPr>
              <w:t>声环境</w:t>
            </w:r>
          </w:p>
        </w:tc>
        <w:tc>
          <w:tcPr>
            <w:tcW w:w="1755" w:type="dxa"/>
            <w:noWrap w:val="0"/>
            <w:vAlign w:val="center"/>
          </w:tcPr>
          <w:p w14:paraId="6A44DAED">
            <w:pPr>
              <w:pStyle w:val="28"/>
              <w:bidi w:val="0"/>
              <w:jc w:val="center"/>
              <w:rPr>
                <w:rFonts w:hint="eastAsia" w:ascii="Times New Roman" w:hAnsi="Times New Roman" w:eastAsia="宋体"/>
                <w:color w:val="auto"/>
                <w:kern w:val="0"/>
                <w:sz w:val="24"/>
                <w:szCs w:val="24"/>
                <w:lang w:val="en-US" w:eastAsia="zh-CN" w:bidi="ar-SA"/>
              </w:rPr>
            </w:pPr>
            <w:r>
              <w:rPr>
                <w:rFonts w:hint="eastAsia" w:ascii="Times New Roman" w:hAnsi="Times New Roman" w:eastAsia="宋体"/>
                <w:color w:val="auto"/>
                <w:sz w:val="24"/>
                <w:szCs w:val="24"/>
              </w:rPr>
              <w:t>厂界噪声/生产设备</w:t>
            </w:r>
          </w:p>
        </w:tc>
        <w:tc>
          <w:tcPr>
            <w:tcW w:w="1755" w:type="dxa"/>
            <w:noWrap w:val="0"/>
            <w:vAlign w:val="center"/>
          </w:tcPr>
          <w:p w14:paraId="4FEE7549">
            <w:pPr>
              <w:pStyle w:val="28"/>
              <w:bidi w:val="0"/>
              <w:jc w:val="center"/>
              <w:rPr>
                <w:rFonts w:hint="eastAsia" w:ascii="Times New Roman" w:hAnsi="Times New Roman" w:eastAsia="宋体"/>
                <w:color w:val="auto"/>
                <w:kern w:val="0"/>
                <w:sz w:val="24"/>
                <w:szCs w:val="24"/>
                <w:lang w:val="en-US" w:eastAsia="zh-CN" w:bidi="ar-SA"/>
              </w:rPr>
            </w:pPr>
            <w:r>
              <w:rPr>
                <w:rFonts w:hint="eastAsia" w:ascii="Times New Roman" w:hAnsi="Times New Roman" w:eastAsia="宋体"/>
                <w:color w:val="auto"/>
                <w:sz w:val="24"/>
                <w:szCs w:val="24"/>
                <w:lang w:val="en-US" w:eastAsia="zh-CN"/>
              </w:rPr>
              <w:t>连续</w:t>
            </w:r>
            <w:r>
              <w:rPr>
                <w:rFonts w:hint="eastAsia" w:ascii="Times New Roman" w:hAnsi="Times New Roman" w:eastAsia="宋体"/>
                <w:color w:val="auto"/>
                <w:sz w:val="24"/>
                <w:szCs w:val="24"/>
              </w:rPr>
              <w:t>等效A声级Leq</w:t>
            </w:r>
          </w:p>
        </w:tc>
        <w:tc>
          <w:tcPr>
            <w:tcW w:w="1755" w:type="dxa"/>
            <w:noWrap w:val="0"/>
            <w:vAlign w:val="center"/>
          </w:tcPr>
          <w:p w14:paraId="4DD3E607">
            <w:pPr>
              <w:pStyle w:val="28"/>
              <w:bidi w:val="0"/>
              <w:jc w:val="center"/>
              <w:rPr>
                <w:rFonts w:hint="eastAsia" w:ascii="Times New Roman" w:hAnsi="Times New Roman" w:eastAsia="宋体"/>
                <w:color w:val="auto"/>
                <w:kern w:val="0"/>
                <w:sz w:val="24"/>
                <w:szCs w:val="24"/>
                <w:lang w:val="en-US" w:eastAsia="zh-CN" w:bidi="ar-SA"/>
              </w:rPr>
            </w:pPr>
            <w:r>
              <w:rPr>
                <w:rFonts w:hint="eastAsia" w:ascii="Times New Roman" w:hAnsi="Times New Roman" w:eastAsia="宋体"/>
                <w:color w:val="auto"/>
                <w:sz w:val="24"/>
                <w:szCs w:val="24"/>
              </w:rPr>
              <w:t>优先选用先进、低噪声设备；对高噪声设备采取减振基础、安装减振垫圈等减震措施；对各类机械设备定期检修、维护，防止设备异常噪声产生；优化平面布局，合理布置高噪声设备于远离声环境敏感点位置</w:t>
            </w:r>
            <w:r>
              <w:rPr>
                <w:rFonts w:hint="eastAsia" w:ascii="Times New Roman" w:hAnsi="Times New Roman" w:eastAsia="宋体"/>
                <w:color w:val="auto"/>
                <w:sz w:val="24"/>
                <w:szCs w:val="24"/>
                <w:lang w:eastAsia="zh-CN"/>
              </w:rPr>
              <w:t>，</w:t>
            </w:r>
            <w:r>
              <w:rPr>
                <w:rFonts w:hint="eastAsia" w:ascii="Times New Roman" w:hAnsi="Times New Roman" w:eastAsia="宋体"/>
                <w:color w:val="auto"/>
                <w:sz w:val="24"/>
                <w:szCs w:val="24"/>
                <w:lang w:val="en-US" w:eastAsia="zh-CN"/>
              </w:rPr>
              <w:t>夜间不生产</w:t>
            </w:r>
          </w:p>
        </w:tc>
        <w:tc>
          <w:tcPr>
            <w:tcW w:w="1757" w:type="dxa"/>
            <w:noWrap w:val="0"/>
            <w:vAlign w:val="center"/>
          </w:tcPr>
          <w:p w14:paraId="240B3896">
            <w:pPr>
              <w:pStyle w:val="28"/>
              <w:bidi w:val="0"/>
              <w:jc w:val="center"/>
              <w:rPr>
                <w:rFonts w:hint="eastAsia" w:ascii="Times New Roman" w:hAnsi="Times New Roman" w:eastAsia="宋体"/>
                <w:color w:val="auto"/>
                <w:kern w:val="0"/>
                <w:sz w:val="24"/>
                <w:szCs w:val="24"/>
                <w:lang w:val="en-US" w:eastAsia="zh-CN" w:bidi="ar-SA"/>
              </w:rPr>
            </w:pPr>
            <w:r>
              <w:rPr>
                <w:rFonts w:hint="eastAsia" w:ascii="Times New Roman" w:hAnsi="Times New Roman" w:eastAsia="宋体"/>
                <w:color w:val="auto"/>
                <w:sz w:val="24"/>
                <w:szCs w:val="24"/>
              </w:rPr>
              <w:t>厂界</w:t>
            </w:r>
            <w:r>
              <w:rPr>
                <w:rFonts w:hint="eastAsia" w:ascii="Times New Roman" w:hAnsi="Times New Roman" w:eastAsia="宋体"/>
                <w:color w:val="auto"/>
                <w:sz w:val="24"/>
                <w:szCs w:val="24"/>
                <w:lang w:val="en-US" w:eastAsia="zh-CN"/>
              </w:rPr>
              <w:t>四周</w:t>
            </w:r>
            <w:r>
              <w:rPr>
                <w:rFonts w:hint="eastAsia" w:ascii="Times New Roman" w:hAnsi="Times New Roman" w:eastAsia="宋体"/>
                <w:color w:val="auto"/>
                <w:sz w:val="24"/>
                <w:szCs w:val="24"/>
              </w:rPr>
              <w:t>噪声执行《工业企业厂界环境噪声排放标准》（GB12348-2008）中</w:t>
            </w:r>
            <w:r>
              <w:rPr>
                <w:rFonts w:hint="eastAsia" w:ascii="Times New Roman" w:hAnsi="Times New Roman" w:eastAsia="宋体"/>
                <w:color w:val="auto"/>
                <w:sz w:val="24"/>
                <w:szCs w:val="24"/>
                <w:lang w:val="en-US" w:eastAsia="zh-CN"/>
              </w:rPr>
              <w:t>3</w:t>
            </w:r>
            <w:r>
              <w:rPr>
                <w:rFonts w:hint="eastAsia" w:ascii="Times New Roman" w:hAnsi="Times New Roman" w:eastAsia="宋体"/>
                <w:color w:val="auto"/>
                <w:sz w:val="24"/>
                <w:szCs w:val="24"/>
              </w:rPr>
              <w:t>类标准</w:t>
            </w:r>
            <w:r>
              <w:rPr>
                <w:rFonts w:hint="eastAsia" w:ascii="Times New Roman" w:hAnsi="Times New Roman" w:eastAsia="宋体"/>
                <w:color w:val="auto"/>
                <w:sz w:val="24"/>
                <w:szCs w:val="24"/>
                <w:lang w:eastAsia="zh-CN"/>
              </w:rPr>
              <w:t>，（</w:t>
            </w:r>
            <w:r>
              <w:rPr>
                <w:rFonts w:hint="eastAsia" w:ascii="Times New Roman" w:hAnsi="Times New Roman" w:eastAsia="宋体"/>
                <w:color w:val="auto"/>
                <w:sz w:val="24"/>
                <w:szCs w:val="24"/>
                <w:lang w:val="en-US" w:eastAsia="zh-CN"/>
              </w:rPr>
              <w:t>噪声昼间值Leq≤65dB</w:t>
            </w:r>
            <w:r>
              <w:rPr>
                <w:rFonts w:hint="eastAsia" w:ascii="Times New Roman" w:hAnsi="Times New Roman" w:eastAsia="宋体"/>
                <w:color w:val="auto"/>
                <w:sz w:val="24"/>
                <w:szCs w:val="24"/>
                <w:lang w:eastAsia="zh-CN"/>
              </w:rPr>
              <w:t>）</w:t>
            </w:r>
          </w:p>
        </w:tc>
      </w:tr>
      <w:tr w14:paraId="1682F5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12" w:type="dxa"/>
          <w:trHeight w:val="425" w:hRule="atLeast"/>
          <w:jc w:val="center"/>
        </w:trPr>
        <w:tc>
          <w:tcPr>
            <w:tcW w:w="1778" w:type="dxa"/>
            <w:gridSpan w:val="2"/>
            <w:noWrap w:val="0"/>
            <w:vAlign w:val="center"/>
          </w:tcPr>
          <w:p w14:paraId="0F24F2FD">
            <w:pPr>
              <w:adjustRightInd w:val="0"/>
              <w:snapToGrid w:val="0"/>
              <w:jc w:val="center"/>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rPr>
              <w:t>电磁辐射</w:t>
            </w:r>
          </w:p>
        </w:tc>
        <w:tc>
          <w:tcPr>
            <w:tcW w:w="1755" w:type="dxa"/>
            <w:noWrap w:val="0"/>
            <w:vAlign w:val="center"/>
          </w:tcPr>
          <w:p w14:paraId="14BCBC0E">
            <w:pPr>
              <w:adjustRightInd w:val="0"/>
              <w:snapToGrid w:val="0"/>
              <w:jc w:val="center"/>
              <w:rPr>
                <w:rFonts w:hint="eastAsia" w:ascii="Times New Roman" w:hAnsi="Times New Roman" w:eastAsia="宋体" w:cs="宋体"/>
                <w:color w:val="auto"/>
                <w:sz w:val="24"/>
                <w:szCs w:val="24"/>
                <w:lang w:val="en-US" w:eastAsia="zh-CN"/>
              </w:rPr>
            </w:pPr>
            <w:r>
              <w:rPr>
                <w:rFonts w:hint="eastAsia" w:ascii="Times New Roman" w:hAnsi="Times New Roman" w:eastAsia="宋体" w:cs="宋体"/>
                <w:color w:val="auto"/>
                <w:sz w:val="24"/>
                <w:szCs w:val="24"/>
                <w:lang w:val="en-US" w:eastAsia="zh-CN"/>
              </w:rPr>
              <w:t>/</w:t>
            </w:r>
          </w:p>
        </w:tc>
        <w:tc>
          <w:tcPr>
            <w:tcW w:w="1755" w:type="dxa"/>
            <w:noWrap w:val="0"/>
            <w:vAlign w:val="center"/>
          </w:tcPr>
          <w:p w14:paraId="27E594B6">
            <w:pPr>
              <w:adjustRightInd w:val="0"/>
              <w:snapToGrid w:val="0"/>
              <w:jc w:val="center"/>
              <w:rPr>
                <w:rFonts w:hint="eastAsia" w:ascii="Times New Roman" w:hAnsi="Times New Roman" w:eastAsia="宋体" w:cs="宋体"/>
                <w:color w:val="auto"/>
                <w:sz w:val="24"/>
                <w:szCs w:val="24"/>
                <w:lang w:val="en-US" w:eastAsia="zh-CN"/>
              </w:rPr>
            </w:pPr>
            <w:r>
              <w:rPr>
                <w:rFonts w:hint="eastAsia" w:ascii="Times New Roman" w:hAnsi="Times New Roman" w:eastAsia="宋体" w:cs="宋体"/>
                <w:color w:val="auto"/>
                <w:sz w:val="24"/>
                <w:szCs w:val="24"/>
                <w:lang w:val="en-US" w:eastAsia="zh-CN"/>
              </w:rPr>
              <w:t>/</w:t>
            </w:r>
          </w:p>
        </w:tc>
        <w:tc>
          <w:tcPr>
            <w:tcW w:w="1755" w:type="dxa"/>
            <w:noWrap w:val="0"/>
            <w:vAlign w:val="center"/>
          </w:tcPr>
          <w:p w14:paraId="02807A31">
            <w:pPr>
              <w:adjustRightInd w:val="0"/>
              <w:snapToGrid w:val="0"/>
              <w:jc w:val="center"/>
              <w:rPr>
                <w:rFonts w:hint="eastAsia" w:ascii="Times New Roman" w:hAnsi="Times New Roman" w:eastAsia="宋体" w:cs="宋体"/>
                <w:color w:val="auto"/>
                <w:sz w:val="24"/>
                <w:szCs w:val="24"/>
                <w:lang w:val="en-US" w:eastAsia="zh-CN"/>
              </w:rPr>
            </w:pPr>
            <w:r>
              <w:rPr>
                <w:rFonts w:hint="eastAsia" w:ascii="Times New Roman" w:hAnsi="Times New Roman" w:eastAsia="宋体" w:cs="宋体"/>
                <w:color w:val="auto"/>
                <w:sz w:val="24"/>
                <w:szCs w:val="24"/>
                <w:lang w:val="en-US" w:eastAsia="zh-CN"/>
              </w:rPr>
              <w:t>/</w:t>
            </w:r>
          </w:p>
        </w:tc>
        <w:tc>
          <w:tcPr>
            <w:tcW w:w="1757" w:type="dxa"/>
            <w:noWrap w:val="0"/>
            <w:vAlign w:val="center"/>
          </w:tcPr>
          <w:p w14:paraId="30AD7B52">
            <w:pPr>
              <w:adjustRightInd w:val="0"/>
              <w:snapToGrid w:val="0"/>
              <w:jc w:val="center"/>
              <w:rPr>
                <w:rFonts w:hint="eastAsia" w:ascii="Times New Roman" w:hAnsi="Times New Roman" w:eastAsia="宋体" w:cs="宋体"/>
                <w:color w:val="auto"/>
                <w:sz w:val="24"/>
                <w:szCs w:val="24"/>
                <w:lang w:val="en-US" w:eastAsia="zh-CN"/>
              </w:rPr>
            </w:pPr>
            <w:r>
              <w:rPr>
                <w:rFonts w:hint="eastAsia" w:ascii="Times New Roman" w:hAnsi="Times New Roman" w:eastAsia="宋体" w:cs="宋体"/>
                <w:color w:val="auto"/>
                <w:sz w:val="24"/>
                <w:szCs w:val="24"/>
                <w:lang w:val="en-US" w:eastAsia="zh-CN"/>
              </w:rPr>
              <w:t>/</w:t>
            </w:r>
          </w:p>
        </w:tc>
      </w:tr>
      <w:tr w14:paraId="55098C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12" w:type="dxa"/>
          <w:trHeight w:val="698" w:hRule="atLeast"/>
          <w:jc w:val="center"/>
        </w:trPr>
        <w:tc>
          <w:tcPr>
            <w:tcW w:w="1778" w:type="dxa"/>
            <w:gridSpan w:val="2"/>
            <w:noWrap w:val="0"/>
            <w:vAlign w:val="center"/>
          </w:tcPr>
          <w:p w14:paraId="3520AED2">
            <w:pPr>
              <w:adjustRightInd w:val="0"/>
              <w:snapToGrid w:val="0"/>
              <w:jc w:val="center"/>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rPr>
              <w:t>固体废物</w:t>
            </w:r>
          </w:p>
        </w:tc>
        <w:tc>
          <w:tcPr>
            <w:tcW w:w="7022" w:type="dxa"/>
            <w:gridSpan w:val="4"/>
            <w:noWrap w:val="0"/>
            <w:vAlign w:val="center"/>
          </w:tcPr>
          <w:p w14:paraId="5D9621C9">
            <w:pPr>
              <w:pStyle w:val="28"/>
              <w:bidi w:val="0"/>
              <w:rPr>
                <w:rFonts w:hint="default" w:ascii="Times New Roman" w:hAnsi="Times New Roman" w:eastAsia="宋体"/>
                <w:color w:val="auto"/>
                <w:sz w:val="24"/>
                <w:szCs w:val="24"/>
                <w:lang w:val="en-US"/>
              </w:rPr>
            </w:pPr>
            <w:r>
              <w:rPr>
                <w:rFonts w:hint="eastAsia" w:ascii="Times New Roman" w:hAnsi="Times New Roman" w:eastAsia="宋体"/>
                <w:color w:val="auto"/>
                <w:sz w:val="24"/>
                <w:szCs w:val="24"/>
                <w:lang w:val="en-US" w:eastAsia="zh-CN"/>
              </w:rPr>
              <w:t>一般工业固体废物妥善收集后外售给其他企业综合利用，一般固废贮存执行《一般工业固体废物贮存和填埋场污染控制标准》（GB18599-2020）相关要求；危险废物暂存于危险废物暂存间，定期委托有资质的单位进行处置，危险废物执行《危险废物贮存污染控制标准》（GB18597-2023）、《危险废物收集贮存运输技术规范》（HJ2025-2012）；生活垃圾委托当地环卫部门统一清运，生活垃圾处置执行《中华人民共和国固体废物污染环境防治法》（2020年4月29日修订版）的相关规定</w:t>
            </w:r>
          </w:p>
        </w:tc>
      </w:tr>
      <w:tr w14:paraId="7FC2AA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12" w:type="dxa"/>
          <w:trHeight w:val="1276" w:hRule="atLeast"/>
          <w:jc w:val="center"/>
        </w:trPr>
        <w:tc>
          <w:tcPr>
            <w:tcW w:w="1778" w:type="dxa"/>
            <w:gridSpan w:val="2"/>
            <w:noWrap w:val="0"/>
            <w:vAlign w:val="center"/>
          </w:tcPr>
          <w:p w14:paraId="0B4A4904">
            <w:pPr>
              <w:adjustRightInd w:val="0"/>
              <w:snapToGrid w:val="0"/>
              <w:jc w:val="center"/>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rPr>
              <w:t>土壤及地下水</w:t>
            </w:r>
          </w:p>
          <w:p w14:paraId="111BB544">
            <w:pPr>
              <w:adjustRightInd w:val="0"/>
              <w:snapToGrid w:val="0"/>
              <w:jc w:val="center"/>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rPr>
              <w:t>污染防治措施</w:t>
            </w:r>
          </w:p>
        </w:tc>
        <w:tc>
          <w:tcPr>
            <w:tcW w:w="7022" w:type="dxa"/>
            <w:gridSpan w:val="4"/>
            <w:noWrap w:val="0"/>
            <w:vAlign w:val="center"/>
          </w:tcPr>
          <w:p w14:paraId="5BB92098">
            <w:pPr>
              <w:pStyle w:val="28"/>
              <w:bidi w:val="0"/>
              <w:rPr>
                <w:rFonts w:hint="eastAsia" w:ascii="Times New Roman" w:hAnsi="Times New Roman" w:eastAsia="宋体"/>
                <w:color w:val="auto"/>
                <w:sz w:val="24"/>
                <w:szCs w:val="24"/>
              </w:rPr>
            </w:pPr>
            <w:r>
              <w:rPr>
                <w:rFonts w:hint="eastAsia" w:ascii="Times New Roman" w:hAnsi="Times New Roman" w:eastAsia="宋体"/>
                <w:color w:val="auto"/>
                <w:sz w:val="24"/>
                <w:szCs w:val="24"/>
              </w:rPr>
              <w:t>合理进行防渗区域划分，危险暂存间四周设置导流沟，地面采取防渗，</w:t>
            </w:r>
            <w:r>
              <w:rPr>
                <w:rFonts w:hint="eastAsia" w:ascii="Times New Roman" w:hAnsi="Times New Roman" w:eastAsia="宋体"/>
                <w:color w:val="auto"/>
                <w:sz w:val="24"/>
                <w:szCs w:val="24"/>
                <w:lang w:val="en-US" w:eastAsia="zh-CN"/>
              </w:rPr>
              <w:t>危废贮存间</w:t>
            </w:r>
            <w:r>
              <w:rPr>
                <w:rFonts w:hint="eastAsia" w:ascii="Times New Roman" w:hAnsi="Times New Roman" w:eastAsia="宋体"/>
                <w:color w:val="auto"/>
                <w:sz w:val="24"/>
                <w:szCs w:val="24"/>
              </w:rPr>
              <w:t>按重点污染区防渗要求进行建设；一般工业固废间、项目生产车间</w:t>
            </w:r>
            <w:r>
              <w:rPr>
                <w:rFonts w:hint="eastAsia" w:ascii="Times New Roman" w:hAnsi="Times New Roman" w:eastAsia="宋体"/>
                <w:color w:val="auto"/>
                <w:sz w:val="24"/>
                <w:szCs w:val="24"/>
                <w:lang w:val="en-US" w:eastAsia="zh-CN"/>
              </w:rPr>
              <w:t>、污水处理设施、污水管线、危险化学品间</w:t>
            </w:r>
            <w:r>
              <w:rPr>
                <w:rFonts w:hint="eastAsia" w:ascii="Times New Roman" w:hAnsi="Times New Roman" w:eastAsia="宋体"/>
                <w:color w:val="auto"/>
                <w:sz w:val="24"/>
                <w:szCs w:val="24"/>
              </w:rPr>
              <w:t>等按一般污染区防渗要求进行建设，且具有防雨、防渗、防风、防</w:t>
            </w:r>
            <w:r>
              <w:rPr>
                <w:rFonts w:hint="eastAsia" w:ascii="Times New Roman" w:hAnsi="Times New Roman" w:eastAsia="宋体"/>
                <w:color w:val="auto"/>
                <w:sz w:val="24"/>
                <w:szCs w:val="24"/>
                <w:lang w:val="en-US" w:eastAsia="zh-CN"/>
              </w:rPr>
              <w:t>日</w:t>
            </w:r>
            <w:r>
              <w:rPr>
                <w:rFonts w:hint="eastAsia" w:ascii="Times New Roman" w:hAnsi="Times New Roman" w:eastAsia="宋体"/>
                <w:color w:val="auto"/>
                <w:sz w:val="24"/>
                <w:szCs w:val="24"/>
              </w:rPr>
              <w:t>晒等功能</w:t>
            </w:r>
          </w:p>
        </w:tc>
      </w:tr>
      <w:tr w14:paraId="7FED17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12" w:type="dxa"/>
          <w:trHeight w:val="966" w:hRule="atLeast"/>
          <w:jc w:val="center"/>
        </w:trPr>
        <w:tc>
          <w:tcPr>
            <w:tcW w:w="1778" w:type="dxa"/>
            <w:gridSpan w:val="2"/>
            <w:noWrap w:val="0"/>
            <w:vAlign w:val="center"/>
          </w:tcPr>
          <w:p w14:paraId="218E1D68">
            <w:pPr>
              <w:adjustRightInd w:val="0"/>
              <w:snapToGrid w:val="0"/>
              <w:jc w:val="center"/>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rPr>
              <w:t>生态保护措施</w:t>
            </w:r>
          </w:p>
        </w:tc>
        <w:tc>
          <w:tcPr>
            <w:tcW w:w="7022" w:type="dxa"/>
            <w:gridSpan w:val="4"/>
            <w:noWrap w:val="0"/>
            <w:vAlign w:val="center"/>
          </w:tcPr>
          <w:p w14:paraId="2DE34FBC">
            <w:pPr>
              <w:pStyle w:val="28"/>
              <w:bidi w:val="0"/>
              <w:rPr>
                <w:rFonts w:hint="default"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本项目不涉及</w:t>
            </w:r>
          </w:p>
        </w:tc>
      </w:tr>
      <w:tr w14:paraId="4E5A5A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12" w:type="dxa"/>
          <w:trHeight w:val="1276" w:hRule="atLeast"/>
          <w:jc w:val="center"/>
        </w:trPr>
        <w:tc>
          <w:tcPr>
            <w:tcW w:w="1778" w:type="dxa"/>
            <w:gridSpan w:val="2"/>
            <w:noWrap w:val="0"/>
            <w:vAlign w:val="center"/>
          </w:tcPr>
          <w:p w14:paraId="334D6419">
            <w:pPr>
              <w:adjustRightInd w:val="0"/>
              <w:snapToGrid w:val="0"/>
              <w:jc w:val="center"/>
              <w:rPr>
                <w:rFonts w:ascii="Times New Roman" w:hAnsi="Times New Roman" w:eastAsia="宋体" w:cs="宋体"/>
                <w:color w:val="auto"/>
                <w:spacing w:val="-8"/>
                <w:sz w:val="24"/>
                <w:szCs w:val="24"/>
              </w:rPr>
            </w:pPr>
            <w:r>
              <w:rPr>
                <w:rFonts w:hint="eastAsia" w:ascii="Times New Roman" w:hAnsi="Times New Roman" w:eastAsia="宋体" w:cs="宋体"/>
                <w:color w:val="auto"/>
                <w:spacing w:val="-8"/>
                <w:sz w:val="24"/>
                <w:szCs w:val="24"/>
              </w:rPr>
              <w:t>环境风险</w:t>
            </w:r>
          </w:p>
          <w:p w14:paraId="7C2ED960">
            <w:pPr>
              <w:adjustRightInd w:val="0"/>
              <w:snapToGrid w:val="0"/>
              <w:jc w:val="center"/>
              <w:rPr>
                <w:rFonts w:hint="eastAsia" w:ascii="Times New Roman" w:hAnsi="Times New Roman" w:eastAsia="宋体" w:cs="宋体"/>
                <w:color w:val="auto"/>
                <w:spacing w:val="-8"/>
                <w:sz w:val="24"/>
                <w:szCs w:val="24"/>
              </w:rPr>
            </w:pPr>
            <w:r>
              <w:rPr>
                <w:rFonts w:hint="eastAsia" w:ascii="Times New Roman" w:hAnsi="Times New Roman" w:eastAsia="宋体" w:cs="宋体"/>
                <w:color w:val="auto"/>
                <w:spacing w:val="-8"/>
                <w:sz w:val="24"/>
                <w:szCs w:val="24"/>
              </w:rPr>
              <w:t>防范措施</w:t>
            </w:r>
          </w:p>
        </w:tc>
        <w:tc>
          <w:tcPr>
            <w:tcW w:w="7022" w:type="dxa"/>
            <w:gridSpan w:val="4"/>
            <w:noWrap w:val="0"/>
            <w:vAlign w:val="center"/>
          </w:tcPr>
          <w:p w14:paraId="70C1225E">
            <w:pPr>
              <w:pStyle w:val="28"/>
              <w:bidi w:val="0"/>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rPr>
              <w:t>危险暂存间四周设置导流沟，地面采取防渗、设置围堰等风险防范措施；厂区内严禁烟火，严格动火审批制度；配备相应的堵漏材料</w:t>
            </w:r>
            <w:r>
              <w:rPr>
                <w:rFonts w:hint="eastAsia" w:ascii="Times New Roman" w:hAnsi="Times New Roman" w:eastAsia="宋体"/>
                <w:color w:val="auto"/>
                <w:sz w:val="24"/>
                <w:szCs w:val="24"/>
                <w:lang w:eastAsia="zh-CN"/>
              </w:rPr>
              <w:t>（沙袋</w:t>
            </w:r>
            <w:r>
              <w:rPr>
                <w:rFonts w:hint="eastAsia" w:ascii="Times New Roman" w:hAnsi="Times New Roman" w:eastAsia="宋体"/>
                <w:color w:val="auto"/>
                <w:sz w:val="24"/>
                <w:szCs w:val="24"/>
              </w:rPr>
              <w:t>、吸油毡等</w:t>
            </w:r>
            <w:r>
              <w:rPr>
                <w:rFonts w:hint="eastAsia" w:ascii="Times New Roman" w:hAnsi="Times New Roman" w:eastAsia="宋体"/>
                <w:color w:val="auto"/>
                <w:sz w:val="24"/>
                <w:szCs w:val="24"/>
                <w:lang w:eastAsia="zh-CN"/>
              </w:rPr>
              <w:t>）</w:t>
            </w:r>
          </w:p>
        </w:tc>
      </w:tr>
      <w:tr w14:paraId="4E223D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59" w:hRule="atLeast"/>
          <w:jc w:val="center"/>
        </w:trPr>
        <w:tc>
          <w:tcPr>
            <w:tcW w:w="748" w:type="dxa"/>
            <w:noWrap w:val="0"/>
            <w:vAlign w:val="center"/>
          </w:tcPr>
          <w:p w14:paraId="7A07C29E">
            <w:pPr>
              <w:adjustRightInd w:val="0"/>
              <w:snapToGrid w:val="0"/>
              <w:jc w:val="center"/>
              <w:rPr>
                <w:rFonts w:ascii="Times New Roman" w:hAnsi="Times New Roman" w:eastAsia="宋体" w:cs="宋体"/>
                <w:color w:val="auto"/>
                <w:spacing w:val="-8"/>
                <w:sz w:val="24"/>
                <w:szCs w:val="24"/>
              </w:rPr>
            </w:pPr>
            <w:r>
              <w:rPr>
                <w:rFonts w:hint="eastAsia" w:ascii="Times New Roman" w:hAnsi="Times New Roman" w:eastAsia="宋体" w:cs="宋体"/>
                <w:color w:val="auto"/>
                <w:spacing w:val="-8"/>
                <w:sz w:val="24"/>
                <w:szCs w:val="24"/>
              </w:rPr>
              <w:t>其他环境</w:t>
            </w:r>
          </w:p>
          <w:p w14:paraId="7A57315A">
            <w:pPr>
              <w:adjustRightInd w:val="0"/>
              <w:snapToGrid w:val="0"/>
              <w:jc w:val="center"/>
              <w:rPr>
                <w:rFonts w:hint="eastAsia" w:ascii="Times New Roman" w:hAnsi="Times New Roman" w:eastAsia="宋体" w:cs="宋体"/>
                <w:color w:val="auto"/>
                <w:spacing w:val="-8"/>
                <w:sz w:val="24"/>
                <w:szCs w:val="24"/>
              </w:rPr>
            </w:pPr>
            <w:r>
              <w:rPr>
                <w:rFonts w:hint="eastAsia" w:ascii="Times New Roman" w:hAnsi="Times New Roman" w:eastAsia="宋体" w:cs="宋体"/>
                <w:color w:val="auto"/>
                <w:spacing w:val="-8"/>
                <w:sz w:val="24"/>
                <w:szCs w:val="24"/>
              </w:rPr>
              <w:t>管理要求</w:t>
            </w:r>
          </w:p>
        </w:tc>
        <w:tc>
          <w:tcPr>
            <w:tcW w:w="8164" w:type="dxa"/>
            <w:gridSpan w:val="6"/>
            <w:noWrap w:val="0"/>
            <w:vAlign w:val="center"/>
          </w:tcPr>
          <w:p w14:paraId="2786DD49">
            <w:pPr>
              <w:pStyle w:val="3"/>
              <w:bidi w:val="0"/>
              <w:rPr>
                <w:rFonts w:hint="eastAsia" w:ascii="Times New Roman" w:hAnsi="Times New Roman" w:eastAsia="宋体"/>
                <w:color w:val="auto"/>
                <w:sz w:val="24"/>
                <w:szCs w:val="24"/>
                <w:lang w:val="en-US" w:eastAsia="zh-CN"/>
              </w:rPr>
            </w:pPr>
            <w:bookmarkStart w:id="97" w:name="_Toc3463"/>
            <w:r>
              <w:rPr>
                <w:rFonts w:hint="eastAsia" w:ascii="Times New Roman" w:hAnsi="Times New Roman" w:eastAsia="宋体"/>
                <w:color w:val="auto"/>
                <w:sz w:val="24"/>
                <w:szCs w:val="24"/>
                <w:lang w:val="en-US" w:eastAsia="zh-CN"/>
              </w:rPr>
              <w:t>5.1环境管理</w:t>
            </w:r>
            <w:bookmarkEnd w:id="97"/>
            <w:r>
              <w:rPr>
                <w:rFonts w:hint="eastAsia" w:ascii="Times New Roman" w:hAnsi="Times New Roman" w:eastAsia="宋体"/>
                <w:color w:val="auto"/>
                <w:sz w:val="24"/>
                <w:szCs w:val="24"/>
                <w:lang w:val="en-US" w:eastAsia="zh-CN"/>
              </w:rPr>
              <w:t xml:space="preserve"> </w:t>
            </w:r>
          </w:p>
          <w:p w14:paraId="5E9D4C3D">
            <w:pPr>
              <w:pStyle w:val="25"/>
              <w:bidi w:val="0"/>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sz w:val="24"/>
                <w:szCs w:val="24"/>
                <w:lang w:val="en-US" w:eastAsia="zh-CN"/>
              </w:rPr>
              <w:t>根据《建设项目环境保护设计规定》的要求，拟建项目应在“三同时”的原则下配套建设相应的污染治理设施，一方面为有效保护区域环境提供良好的技术基础，另一方面科学地管理、监督这些环保设施的运行又是保证治理效果的必要手段。因此项目实施后，设置专职环保人员负责环境管理、环境监测和事故应急处理。</w:t>
            </w:r>
          </w:p>
          <w:p w14:paraId="506D4FF1">
            <w:pPr>
              <w:pStyle w:val="4"/>
              <w:bidi w:val="0"/>
              <w:rPr>
                <w:rFonts w:hint="eastAsia" w:ascii="Times New Roman" w:hAnsi="Times New Roman" w:eastAsia="宋体"/>
                <w:color w:val="auto"/>
                <w:sz w:val="24"/>
                <w:szCs w:val="24"/>
                <w:lang w:val="en-US" w:eastAsia="zh-CN"/>
              </w:rPr>
            </w:pPr>
            <w:bookmarkStart w:id="98" w:name="_Toc24206"/>
            <w:r>
              <w:rPr>
                <w:rFonts w:hint="eastAsia" w:ascii="Times New Roman" w:hAnsi="Times New Roman" w:eastAsia="宋体"/>
                <w:color w:val="auto"/>
                <w:sz w:val="24"/>
                <w:szCs w:val="24"/>
                <w:lang w:val="en-US" w:eastAsia="zh-CN"/>
              </w:rPr>
              <w:t>5.1.1环境管理制度</w:t>
            </w:r>
            <w:bookmarkEnd w:id="98"/>
            <w:r>
              <w:rPr>
                <w:rFonts w:hint="eastAsia" w:ascii="Times New Roman" w:hAnsi="Times New Roman" w:eastAsia="宋体"/>
                <w:color w:val="auto"/>
                <w:sz w:val="24"/>
                <w:szCs w:val="24"/>
                <w:lang w:val="en-US" w:eastAsia="zh-CN"/>
              </w:rPr>
              <w:t xml:space="preserve"> </w:t>
            </w:r>
          </w:p>
          <w:p w14:paraId="4B5D7AAC">
            <w:pPr>
              <w:pStyle w:val="25"/>
              <w:bidi w:val="0"/>
              <w:rPr>
                <w:rFonts w:hint="eastAsia" w:ascii="Times New Roman" w:hAnsi="Times New Roman" w:eastAsia="宋体"/>
                <w:color w:val="auto"/>
                <w:sz w:val="24"/>
                <w:szCs w:val="24"/>
                <w:lang w:val="en-US" w:eastAsia="zh-CN"/>
              </w:rPr>
            </w:pPr>
            <w:r>
              <w:rPr>
                <w:rFonts w:hint="eastAsia" w:ascii="Times New Roman" w:hAnsi="Times New Roman" w:eastAsia="宋体" w:cs="宋体"/>
                <w:color w:val="auto"/>
                <w:kern w:val="2"/>
                <w:sz w:val="24"/>
                <w:szCs w:val="24"/>
                <w:lang w:val="en-US" w:eastAsia="zh-CN" w:bidi="ar-SA"/>
              </w:rPr>
              <w:t>（1</w:t>
            </w:r>
            <w:r>
              <w:rPr>
                <w:rFonts w:hint="eastAsia" w:ascii="Times New Roman" w:hAnsi="Times New Roman" w:eastAsia="宋体"/>
                <w:color w:val="auto"/>
                <w:sz w:val="24"/>
                <w:szCs w:val="24"/>
                <w:lang w:val="en-US" w:eastAsia="zh-CN"/>
              </w:rPr>
              <w:t>）严格执行“三同时”制度，在项目筹备、实施、建设阶段，应严格执行“三同时”，确保污染处理设施和生产工艺“同时设计、同时施工、同时投产使用”。</w:t>
            </w:r>
          </w:p>
          <w:p w14:paraId="6EF2E510">
            <w:pPr>
              <w:pStyle w:val="25"/>
              <w:bidi w:val="0"/>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 xml:space="preserve">（2）建立排污定期报告制度 </w:t>
            </w:r>
          </w:p>
          <w:p w14:paraId="5C2AD072">
            <w:pPr>
              <w:pStyle w:val="25"/>
              <w:bidi w:val="0"/>
              <w:rPr>
                <w:rFonts w:hint="default"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按有关文件严格执行排污报告制度。每年向当地环保部门报告污染治理设施运行情况、污染物排放情况以及污染事故、污染纠纷等情况。监测数据经统计和汇总后每年上报当地环保主管部门存档。事故报告要及时上报备案。在企业产品结构和排污量发生重大变化、污染治理设施发生改变时，必须向当地环保主管部门申报。根据《固定污染源排污许可分类管理名录（2019年版）》（生态环境部第11号）可知，本项目应当进行登记管理，登记管理无自行监测要求。根据《关于印发〈固定污染源排污登记工作指南（试行）〉的通知》（环办环评函〔2020〕9号），登记管理内容不做台账管理、自行监测、执行报告的要求，因此企业无需自行监测。</w:t>
            </w:r>
          </w:p>
          <w:p w14:paraId="65F642EB">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4"/>
                <w:lang w:val="en-US" w:eastAsia="zh-CN" w:bidi="ar-SA"/>
              </w:rPr>
            </w:pPr>
            <w:r>
              <w:rPr>
                <w:rFonts w:hint="eastAsia" w:ascii="Times New Roman" w:hAnsi="Times New Roman" w:eastAsia="宋体" w:cs="Times New Roman"/>
                <w:b/>
                <w:color w:val="auto"/>
                <w:kern w:val="0"/>
                <w:sz w:val="24"/>
                <w:szCs w:val="24"/>
                <w:lang w:val="en-US" w:eastAsia="zh-CN" w:bidi="ar-SA"/>
              </w:rPr>
              <w:t>表5.1-1固定污染源排污许可分类管理名录（摘录）</w:t>
            </w:r>
          </w:p>
          <w:tbl>
            <w:tblPr>
              <w:tblStyle w:val="18"/>
              <w:tblW w:w="7946"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68"/>
              <w:gridCol w:w="3240"/>
              <w:gridCol w:w="990"/>
              <w:gridCol w:w="2235"/>
              <w:gridCol w:w="913"/>
            </w:tblGrid>
            <w:tr w14:paraId="17A129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68" w:type="dxa"/>
                  <w:tcBorders>
                    <w:tl2br w:val="nil"/>
                    <w:tr2bl w:val="nil"/>
                  </w:tcBorders>
                  <w:shd w:val="clear" w:color="auto" w:fill="auto"/>
                  <w:noWrap w:val="0"/>
                  <w:vAlign w:val="center"/>
                </w:tcPr>
                <w:p w14:paraId="779E7FF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序号</w:t>
                  </w:r>
                </w:p>
              </w:tc>
              <w:tc>
                <w:tcPr>
                  <w:tcW w:w="3240" w:type="dxa"/>
                  <w:tcBorders>
                    <w:tl2br w:val="nil"/>
                    <w:tr2bl w:val="nil"/>
                  </w:tcBorders>
                  <w:shd w:val="clear" w:color="auto" w:fill="auto"/>
                  <w:noWrap w:val="0"/>
                  <w:vAlign w:val="center"/>
                </w:tcPr>
                <w:p w14:paraId="081075A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行业类别</w:t>
                  </w:r>
                </w:p>
              </w:tc>
              <w:tc>
                <w:tcPr>
                  <w:tcW w:w="990" w:type="dxa"/>
                  <w:tcBorders>
                    <w:tl2br w:val="nil"/>
                    <w:tr2bl w:val="nil"/>
                  </w:tcBorders>
                  <w:shd w:val="clear" w:color="auto" w:fill="auto"/>
                  <w:noWrap w:val="0"/>
                  <w:vAlign w:val="center"/>
                </w:tcPr>
                <w:p w14:paraId="696009C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重点管理</w:t>
                  </w:r>
                </w:p>
              </w:tc>
              <w:tc>
                <w:tcPr>
                  <w:tcW w:w="2235" w:type="dxa"/>
                  <w:tcBorders>
                    <w:tl2br w:val="nil"/>
                    <w:tr2bl w:val="nil"/>
                  </w:tcBorders>
                  <w:shd w:val="clear" w:color="auto" w:fill="auto"/>
                  <w:noWrap w:val="0"/>
                  <w:vAlign w:val="center"/>
                </w:tcPr>
                <w:p w14:paraId="661A130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简化管理</w:t>
                  </w:r>
                </w:p>
              </w:tc>
              <w:tc>
                <w:tcPr>
                  <w:tcW w:w="913" w:type="dxa"/>
                  <w:tcBorders>
                    <w:tl2br w:val="nil"/>
                    <w:tr2bl w:val="nil"/>
                  </w:tcBorders>
                  <w:shd w:val="clear" w:color="D7D7D7" w:fill="A4A4A4"/>
                  <w:noWrap w:val="0"/>
                  <w:vAlign w:val="center"/>
                </w:tcPr>
                <w:p w14:paraId="09B4840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登记管理</w:t>
                  </w:r>
                </w:p>
              </w:tc>
            </w:tr>
            <w:tr w14:paraId="43D436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7946" w:type="dxa"/>
                  <w:gridSpan w:val="5"/>
                  <w:tcBorders>
                    <w:tl2br w:val="nil"/>
                    <w:tr2bl w:val="nil"/>
                  </w:tcBorders>
                  <w:shd w:val="clear" w:color="D7D7D7" w:fill="A4A4A4"/>
                  <w:noWrap w:val="0"/>
                  <w:vAlign w:val="center"/>
                </w:tcPr>
                <w:p w14:paraId="71742E2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sz w:val="24"/>
                      <w:szCs w:val="24"/>
                      <w:lang w:val="en-US" w:eastAsia="zh-CN"/>
                    </w:rPr>
                    <w:t>三十四、计算机、通信和其他电子设备制造业 39</w:t>
                  </w:r>
                </w:p>
              </w:tc>
            </w:tr>
            <w:tr w14:paraId="06FADE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68" w:type="dxa"/>
                  <w:tcBorders>
                    <w:tl2br w:val="nil"/>
                    <w:tr2bl w:val="nil"/>
                  </w:tcBorders>
                  <w:shd w:val="clear" w:color="auto" w:fill="auto"/>
                  <w:noWrap w:val="0"/>
                  <w:vAlign w:val="center"/>
                </w:tcPr>
                <w:p w14:paraId="5AC95E19">
                  <w:pPr>
                    <w:pStyle w:val="33"/>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89</w:t>
                  </w:r>
                </w:p>
              </w:tc>
              <w:tc>
                <w:tcPr>
                  <w:tcW w:w="3240" w:type="dxa"/>
                  <w:tcBorders>
                    <w:tl2br w:val="nil"/>
                    <w:tr2bl w:val="nil"/>
                  </w:tcBorders>
                  <w:shd w:val="clear" w:color="auto" w:fill="auto"/>
                  <w:noWrap w:val="0"/>
                  <w:vAlign w:val="center"/>
                </w:tcPr>
                <w:p w14:paraId="71BA50D0">
                  <w:pPr>
                    <w:pStyle w:val="33"/>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计算机制造391，电子器件制造397，电子元件及电子专用材料制造 398，其他电子设备制造 399</w:t>
                  </w:r>
                </w:p>
              </w:tc>
              <w:tc>
                <w:tcPr>
                  <w:tcW w:w="990" w:type="dxa"/>
                  <w:tcBorders>
                    <w:tl2br w:val="nil"/>
                    <w:tr2bl w:val="nil"/>
                  </w:tcBorders>
                  <w:shd w:val="clear" w:color="auto" w:fill="auto"/>
                  <w:noWrap w:val="0"/>
                  <w:vAlign w:val="center"/>
                </w:tcPr>
                <w:p w14:paraId="7CFBFC92">
                  <w:pPr>
                    <w:pStyle w:val="33"/>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纳入重点排污单位名录的</w:t>
                  </w:r>
                </w:p>
              </w:tc>
              <w:tc>
                <w:tcPr>
                  <w:tcW w:w="2235" w:type="dxa"/>
                  <w:tcBorders>
                    <w:tl2br w:val="nil"/>
                    <w:tr2bl w:val="nil"/>
                  </w:tcBorders>
                  <w:shd w:val="clear" w:color="auto" w:fill="auto"/>
                  <w:noWrap w:val="0"/>
                  <w:vAlign w:val="center"/>
                </w:tcPr>
                <w:p w14:paraId="6E2E0F9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涉及通用工序</w:t>
                  </w:r>
                  <w:r>
                    <w:rPr>
                      <w:rFonts w:hint="eastAsia" w:ascii="Times New Roman" w:hAnsi="Times New Roman" w:eastAsia="宋体" w:cs="Times New Roman"/>
                      <w:color w:val="auto"/>
                      <w:kern w:val="0"/>
                      <w:sz w:val="24"/>
                      <w:szCs w:val="24"/>
                      <w:lang w:val="en-US" w:eastAsia="zh-CN" w:bidi="ar-SA"/>
                    </w:rPr>
                    <w:t>简化</w:t>
                  </w:r>
                  <w:r>
                    <w:rPr>
                      <w:rFonts w:hint="default" w:ascii="Times New Roman" w:hAnsi="Times New Roman" w:eastAsia="宋体" w:cs="Times New Roman"/>
                      <w:color w:val="auto"/>
                      <w:kern w:val="0"/>
                      <w:sz w:val="24"/>
                      <w:szCs w:val="24"/>
                      <w:lang w:val="en-US" w:eastAsia="zh-CN" w:bidi="ar-SA"/>
                    </w:rPr>
                    <w:t>管理的</w:t>
                  </w:r>
                </w:p>
              </w:tc>
              <w:tc>
                <w:tcPr>
                  <w:tcW w:w="913" w:type="dxa"/>
                  <w:tcBorders>
                    <w:tl2br w:val="nil"/>
                    <w:tr2bl w:val="nil"/>
                  </w:tcBorders>
                  <w:shd w:val="clear" w:color="D7D7D7" w:fill="A4A4A4"/>
                  <w:noWrap w:val="0"/>
                  <w:vAlign w:val="center"/>
                </w:tcPr>
                <w:p w14:paraId="09FC9C6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其他</w:t>
                  </w:r>
                </w:p>
              </w:tc>
            </w:tr>
            <w:tr w14:paraId="5D60EA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7946" w:type="dxa"/>
                  <w:gridSpan w:val="5"/>
                  <w:tcBorders>
                    <w:tl2br w:val="nil"/>
                    <w:tr2bl w:val="nil"/>
                  </w:tcBorders>
                  <w:shd w:val="clear" w:color="auto" w:fill="A4A4A4"/>
                  <w:noWrap w:val="0"/>
                  <w:vAlign w:val="center"/>
                </w:tcPr>
                <w:p w14:paraId="155014B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五十一、通用工序</w:t>
                  </w:r>
                </w:p>
              </w:tc>
            </w:tr>
            <w:tr w14:paraId="1ED411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68" w:type="dxa"/>
                  <w:tcBorders>
                    <w:tl2br w:val="nil"/>
                    <w:tr2bl w:val="nil"/>
                  </w:tcBorders>
                  <w:shd w:val="clear" w:color="auto" w:fill="auto"/>
                  <w:noWrap w:val="0"/>
                  <w:vAlign w:val="center"/>
                </w:tcPr>
                <w:p w14:paraId="5949A90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111</w:t>
                  </w:r>
                </w:p>
              </w:tc>
              <w:tc>
                <w:tcPr>
                  <w:tcW w:w="3240" w:type="dxa"/>
                  <w:tcBorders>
                    <w:tl2br w:val="nil"/>
                    <w:tr2bl w:val="nil"/>
                  </w:tcBorders>
                  <w:shd w:val="clear" w:color="auto" w:fill="auto"/>
                  <w:noWrap w:val="0"/>
                  <w:vAlign w:val="center"/>
                </w:tcPr>
                <w:p w14:paraId="13C9299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表面处理</w:t>
                  </w:r>
                </w:p>
              </w:tc>
              <w:tc>
                <w:tcPr>
                  <w:tcW w:w="990" w:type="dxa"/>
                  <w:tcBorders>
                    <w:tl2br w:val="nil"/>
                    <w:tr2bl w:val="nil"/>
                  </w:tcBorders>
                  <w:shd w:val="clear" w:color="auto" w:fill="auto"/>
                  <w:noWrap w:val="0"/>
                  <w:vAlign w:val="center"/>
                </w:tcPr>
                <w:p w14:paraId="55E7415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纳入重点排污单位名录的</w:t>
                  </w:r>
                </w:p>
              </w:tc>
              <w:tc>
                <w:tcPr>
                  <w:tcW w:w="2235" w:type="dxa"/>
                  <w:tcBorders>
                    <w:tl2br w:val="nil"/>
                    <w:tr2bl w:val="nil"/>
                  </w:tcBorders>
                  <w:shd w:val="clear" w:color="auto" w:fill="auto"/>
                  <w:noWrap w:val="0"/>
                  <w:vAlign w:val="center"/>
                </w:tcPr>
                <w:p w14:paraId="0B6F7A3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除纳入重点排污单位名录的，有电镀工序、酸洗、抛光（电解抛光和</w:t>
                  </w:r>
                  <w:r>
                    <w:rPr>
                      <w:rFonts w:hint="eastAsia" w:ascii="Times New Roman" w:hAnsi="Times New Roman" w:eastAsia="宋体" w:cs="Times New Roman"/>
                      <w:color w:val="auto"/>
                      <w:kern w:val="0"/>
                      <w:sz w:val="24"/>
                      <w:szCs w:val="24"/>
                      <w:lang w:val="en-US" w:eastAsia="zh-CN" w:bidi="ar-SA"/>
                    </w:rPr>
                    <w:t>化学</w:t>
                  </w:r>
                  <w:r>
                    <w:rPr>
                      <w:rFonts w:hint="eastAsia" w:cs="Times New Roman"/>
                      <w:color w:val="auto"/>
                      <w:kern w:val="0"/>
                      <w:sz w:val="24"/>
                      <w:szCs w:val="24"/>
                      <w:lang w:val="en-US" w:eastAsia="zh-CN" w:bidi="ar-SA"/>
                    </w:rPr>
                    <w:t>抛光</w:t>
                  </w:r>
                  <w:r>
                    <w:rPr>
                      <w:rFonts w:hint="default" w:ascii="Times New Roman" w:hAnsi="Times New Roman" w:eastAsia="宋体" w:cs="Times New Roman"/>
                      <w:color w:val="auto"/>
                      <w:kern w:val="0"/>
                      <w:sz w:val="24"/>
                      <w:szCs w:val="24"/>
                      <w:lang w:val="en-US" w:eastAsia="zh-CN" w:bidi="ar-SA"/>
                    </w:rPr>
                    <w:t>）、热浸镀（溶剂法）、淬火或者钝化等工序的、年使用10吨及以上有机溶剂的</w:t>
                  </w:r>
                </w:p>
              </w:tc>
              <w:tc>
                <w:tcPr>
                  <w:tcW w:w="913" w:type="dxa"/>
                  <w:tcBorders>
                    <w:tl2br w:val="nil"/>
                    <w:tr2bl w:val="nil"/>
                  </w:tcBorders>
                  <w:shd w:val="clear" w:color="D7D7D7" w:fill="A4A4A4"/>
                  <w:noWrap w:val="0"/>
                  <w:vAlign w:val="center"/>
                </w:tcPr>
                <w:p w14:paraId="1026358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其他</w:t>
                  </w:r>
                </w:p>
              </w:tc>
            </w:tr>
          </w:tbl>
          <w:p w14:paraId="79334C55">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 xml:space="preserve">（3）健全污染处理设施管理制度 </w:t>
            </w:r>
          </w:p>
          <w:p w14:paraId="472E615C">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将污染处理设施的管理和生产经营活动一起纳入企业单位日常管理工作的范畴，落实责任人，同时制定各级岗位责任制，编制操作规程，建立管理台账，不得擅自拆除或闲置已有的污染处理设施，严禁故意不正常使用污染处理设施。</w:t>
            </w:r>
          </w:p>
          <w:p w14:paraId="033A401C">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 xml:space="preserve">（4）环境目标管理责任制和环保奖惩条例 </w:t>
            </w:r>
          </w:p>
          <w:p w14:paraId="0F44209B">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建立并实施从总经理到班组各层次的环境目标管理责任制，把完成环境目标责任与奖惩制度结合起来。设置环境保护奖惩条例，对爱护环保设施、节能降耗、减少污染物排放、改善环境者实施奖励；对环保观念淡薄，不按环保要求管理，造成环保设施非正常损坏、发生污染事故以及浪费资源者一律予以重罚。</w:t>
            </w:r>
          </w:p>
          <w:p w14:paraId="3A78BDDC">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 xml:space="preserve">（5）职工环保教育、培训制度 </w:t>
            </w:r>
          </w:p>
          <w:p w14:paraId="33F0BA43">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加强职工的环境保护知识教育，增强职工环保意识，增加对生产污染危害的认识，明白自身在劳动过程中的位置和责任。加强员工的上岗培训工作，严格执行培训考核制度，不合格人员绝不允许上岗操作。</w:t>
            </w:r>
          </w:p>
          <w:p w14:paraId="10C53AFC">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（6）自主竣工环境保护验收要求</w:t>
            </w:r>
          </w:p>
          <w:p w14:paraId="4A3DAAAA">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根据国务院【国令第682号】《建设项目环境保护管理条例》及《建设项目竣工环境保护验收暂行办法》（国环规环评〔2017〕4号），强化建设单位环境保护主体责任，落实建设项目环境保护“三同时”制度，规范建设项目竣工后建设单位自主开展环境保护验收的程序和标准。建设单位是建设项目竣工环境保护验收的责任主体。</w:t>
            </w:r>
          </w:p>
          <w:p w14:paraId="0E9B36C2">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根据生态环境部《建设项目竣工环境保护验收技术指南 污染影响类》（公告2018年第9号）中有关要求：项目竣工后，建设单位应对该项目进行环保竣工验收，委托有资质的监测单位进行项目竣工环境保护验收监测，编制项目竣工环境保护验收监测报告。经验收合格，该建设项目方可正式投入生产或使用。</w:t>
            </w:r>
          </w:p>
          <w:p w14:paraId="2FD6ACFC">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（7）台账要求</w:t>
            </w:r>
          </w:p>
          <w:p w14:paraId="0F9EF530">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危险废物排污单位应建立环境管理台账，一般固废排污单位应建立环境管理台账制度，一般工业固体废物环境管理台账记录应符合生态环境部规定的一般工业固体废物环境管理台账相关标准及管理文件要求。依据《危险废物管理计划和管理台账制定技术导则》（HJ1259-2022）和《一般工业固体废物管理台账制定指南（试行）》等标准及管理文件的相关要求结合自身的实际情况，与生产记录相衔接，建立危险废物台账和一般工业固体废物管理台账，如实记载产生危险废物的种类、数量、流向、贮存、利用处置等信息。在台账工作的基础上如实向所在地县级以上人民政府环境保护主管部门申报危险废物的种类、产生量、流向、贮存、处置等有关资料。</w:t>
            </w:r>
          </w:p>
          <w:p w14:paraId="6C87DC16">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（8）排污口规范化管理</w:t>
            </w:r>
          </w:p>
          <w:p w14:paraId="7F4D5994">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各污染源排放口应设置专项图标，执行《环境保护图形标志—排放口（源）》（GB1556</w:t>
            </w:r>
            <w:r>
              <w:rPr>
                <w:rFonts w:hint="eastAsia" w:ascii="Times New Roman" w:hAnsi="Times New Roman" w:eastAsia="宋体" w:cs="宋体"/>
                <w:color w:val="auto"/>
                <w:kern w:val="2"/>
                <w:sz w:val="24"/>
                <w:szCs w:val="24"/>
                <w:lang w:val="en-US" w:eastAsia="zh-CN" w:bidi="ar-SA"/>
              </w:rPr>
              <w:t>2</w:t>
            </w:r>
            <w:r>
              <w:rPr>
                <w:rFonts w:hint="default" w:ascii="Times New Roman" w:hAnsi="Times New Roman" w:eastAsia="宋体" w:cs="宋体"/>
                <w:color w:val="auto"/>
                <w:kern w:val="2"/>
                <w:sz w:val="24"/>
                <w:szCs w:val="24"/>
                <w:lang w:val="en-US" w:eastAsia="zh-CN" w:bidi="ar-SA"/>
              </w:rPr>
              <w:t>.1-1995），要求各排放口（源）提示标志形状采用正方形边框，背景颜色采用绿色，图形颜色采用白色。标志牌应设在与之功能相应的醒目处，并保持清晰、完整，具体详见表</w:t>
            </w:r>
            <w:r>
              <w:rPr>
                <w:rFonts w:hint="eastAsia" w:ascii="Times New Roman" w:hAnsi="Times New Roman" w:eastAsia="宋体" w:cs="宋体"/>
                <w:color w:val="auto"/>
                <w:kern w:val="2"/>
                <w:sz w:val="24"/>
                <w:szCs w:val="24"/>
                <w:lang w:val="en-US" w:eastAsia="zh-CN" w:bidi="ar-SA"/>
              </w:rPr>
              <w:t>5.1-2。</w:t>
            </w:r>
          </w:p>
          <w:p w14:paraId="0142C3E9">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4"/>
                <w:lang w:val="en-US" w:eastAsia="zh-CN" w:bidi="ar-SA"/>
              </w:rPr>
            </w:pPr>
            <w:r>
              <w:rPr>
                <w:rFonts w:hint="eastAsia" w:ascii="Times New Roman" w:hAnsi="Times New Roman" w:eastAsia="宋体" w:cs="Times New Roman"/>
                <w:b/>
                <w:color w:val="auto"/>
                <w:kern w:val="0"/>
                <w:sz w:val="24"/>
                <w:szCs w:val="24"/>
                <w:lang w:val="en-US" w:eastAsia="zh-CN" w:bidi="ar-SA"/>
              </w:rPr>
              <w:t>表5.1-2</w:t>
            </w:r>
            <w:r>
              <w:rPr>
                <w:rFonts w:hint="eastAsia" w:cs="Times New Roman"/>
                <w:b/>
                <w:color w:val="auto"/>
                <w:kern w:val="0"/>
                <w:sz w:val="24"/>
                <w:szCs w:val="24"/>
                <w:lang w:val="en-US" w:eastAsia="zh-CN" w:bidi="ar-SA"/>
              </w:rPr>
              <w:t xml:space="preserve">  </w:t>
            </w:r>
            <w:r>
              <w:rPr>
                <w:rFonts w:hint="eastAsia" w:ascii="Times New Roman" w:hAnsi="Times New Roman" w:eastAsia="宋体" w:cs="Times New Roman"/>
                <w:b/>
                <w:color w:val="auto"/>
                <w:kern w:val="0"/>
                <w:sz w:val="24"/>
                <w:szCs w:val="24"/>
                <w:lang w:val="en-US" w:eastAsia="zh-CN" w:bidi="ar-SA"/>
              </w:rPr>
              <w:t>排污口规范化图形标志</w:t>
            </w:r>
          </w:p>
          <w:tbl>
            <w:tblPr>
              <w:tblStyle w:val="17"/>
              <w:tblW w:w="495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66"/>
              <w:gridCol w:w="1567"/>
              <w:gridCol w:w="1567"/>
              <w:gridCol w:w="1588"/>
              <w:gridCol w:w="1592"/>
            </w:tblGrid>
            <w:tr w14:paraId="0906AD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93" w:type="pct"/>
                  <w:tcBorders>
                    <w:tl2br w:val="nil"/>
                    <w:tr2bl w:val="nil"/>
                  </w:tcBorders>
                  <w:noWrap w:val="0"/>
                  <w:tcMar>
                    <w:left w:w="28" w:type="dxa"/>
                    <w:right w:w="28" w:type="dxa"/>
                  </w:tcMar>
                  <w:vAlign w:val="center"/>
                </w:tcPr>
                <w:p w14:paraId="1767EA64">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b/>
                      <w:bCs/>
                      <w:color w:val="auto"/>
                      <w:kern w:val="0"/>
                      <w:sz w:val="24"/>
                      <w:szCs w:val="24"/>
                      <w:lang w:val="en-US" w:eastAsia="zh-CN" w:bidi="ar-SA"/>
                    </w:rPr>
                  </w:pPr>
                  <w:r>
                    <w:rPr>
                      <w:rFonts w:hint="eastAsia" w:ascii="Times New Roman" w:hAnsi="Times New Roman" w:eastAsia="宋体" w:cs="Times New Roman"/>
                      <w:b/>
                      <w:bCs/>
                      <w:color w:val="auto"/>
                      <w:kern w:val="0"/>
                      <w:sz w:val="24"/>
                      <w:szCs w:val="24"/>
                      <w:lang w:val="en-US" w:eastAsia="zh-CN" w:bidi="ar-SA"/>
                    </w:rPr>
                    <w:t>废水排放口</w:t>
                  </w:r>
                </w:p>
              </w:tc>
              <w:tc>
                <w:tcPr>
                  <w:tcW w:w="994" w:type="pct"/>
                  <w:tcBorders>
                    <w:tl2br w:val="nil"/>
                    <w:tr2bl w:val="nil"/>
                  </w:tcBorders>
                  <w:noWrap w:val="0"/>
                  <w:tcMar>
                    <w:left w:w="28" w:type="dxa"/>
                    <w:right w:w="28" w:type="dxa"/>
                  </w:tcMar>
                  <w:vAlign w:val="center"/>
                </w:tcPr>
                <w:p w14:paraId="0B15C698">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b/>
                      <w:bCs/>
                      <w:color w:val="auto"/>
                      <w:kern w:val="0"/>
                      <w:sz w:val="24"/>
                      <w:szCs w:val="24"/>
                      <w:lang w:val="en-US" w:eastAsia="zh-CN" w:bidi="ar-SA"/>
                    </w:rPr>
                  </w:pPr>
                  <w:r>
                    <w:rPr>
                      <w:rFonts w:hint="eastAsia" w:ascii="Times New Roman" w:hAnsi="Times New Roman" w:eastAsia="宋体" w:cs="Times New Roman"/>
                      <w:b/>
                      <w:bCs/>
                      <w:color w:val="auto"/>
                      <w:kern w:val="0"/>
                      <w:sz w:val="24"/>
                      <w:szCs w:val="24"/>
                      <w:lang w:val="en-US" w:eastAsia="zh-CN" w:bidi="ar-SA"/>
                    </w:rPr>
                    <w:t>废气排放口</w:t>
                  </w:r>
                </w:p>
              </w:tc>
              <w:tc>
                <w:tcPr>
                  <w:tcW w:w="994" w:type="pct"/>
                  <w:tcBorders>
                    <w:tl2br w:val="nil"/>
                    <w:tr2bl w:val="nil"/>
                  </w:tcBorders>
                  <w:noWrap w:val="0"/>
                  <w:tcMar>
                    <w:left w:w="28" w:type="dxa"/>
                    <w:right w:w="28" w:type="dxa"/>
                  </w:tcMar>
                  <w:vAlign w:val="center"/>
                </w:tcPr>
                <w:p w14:paraId="74DBE448">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b/>
                      <w:bCs/>
                      <w:color w:val="auto"/>
                      <w:kern w:val="0"/>
                      <w:sz w:val="24"/>
                      <w:szCs w:val="24"/>
                      <w:lang w:val="en-US" w:eastAsia="zh-CN" w:bidi="ar-SA"/>
                    </w:rPr>
                  </w:pPr>
                  <w:r>
                    <w:rPr>
                      <w:rFonts w:hint="eastAsia" w:ascii="Times New Roman" w:hAnsi="Times New Roman" w:eastAsia="宋体" w:cs="Times New Roman"/>
                      <w:b/>
                      <w:bCs/>
                      <w:color w:val="auto"/>
                      <w:kern w:val="0"/>
                      <w:sz w:val="24"/>
                      <w:szCs w:val="24"/>
                      <w:lang w:val="en-US" w:eastAsia="zh-CN" w:bidi="ar-SA"/>
                    </w:rPr>
                    <w:t>噪声源</w:t>
                  </w:r>
                </w:p>
              </w:tc>
              <w:tc>
                <w:tcPr>
                  <w:tcW w:w="1007" w:type="pct"/>
                  <w:tcBorders>
                    <w:tl2br w:val="nil"/>
                    <w:tr2bl w:val="nil"/>
                  </w:tcBorders>
                  <w:noWrap w:val="0"/>
                  <w:tcMar>
                    <w:left w:w="28" w:type="dxa"/>
                    <w:right w:w="28" w:type="dxa"/>
                  </w:tcMar>
                  <w:vAlign w:val="center"/>
                </w:tcPr>
                <w:p w14:paraId="5B295A6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4"/>
                      <w:szCs w:val="24"/>
                      <w:lang w:val="en-US" w:eastAsia="zh-CN" w:bidi="ar-SA"/>
                    </w:rPr>
                  </w:pPr>
                  <w:r>
                    <w:rPr>
                      <w:rFonts w:hint="eastAsia" w:ascii="Times New Roman" w:hAnsi="Times New Roman" w:eastAsia="宋体" w:cs="Times New Roman"/>
                      <w:b/>
                      <w:bCs/>
                      <w:color w:val="auto"/>
                      <w:kern w:val="0"/>
                      <w:sz w:val="24"/>
                      <w:szCs w:val="24"/>
                      <w:lang w:val="en-US" w:eastAsia="zh-CN" w:bidi="ar-SA"/>
                    </w:rPr>
                    <w:t>一般固体废物贮存场所</w:t>
                  </w:r>
                </w:p>
              </w:tc>
              <w:tc>
                <w:tcPr>
                  <w:tcW w:w="1010" w:type="pct"/>
                  <w:tcBorders>
                    <w:tl2br w:val="nil"/>
                    <w:tr2bl w:val="nil"/>
                  </w:tcBorders>
                  <w:noWrap w:val="0"/>
                  <w:tcMar>
                    <w:left w:w="28" w:type="dxa"/>
                    <w:right w:w="28" w:type="dxa"/>
                  </w:tcMar>
                  <w:vAlign w:val="center"/>
                </w:tcPr>
                <w:p w14:paraId="2D7C2768">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b/>
                      <w:bCs/>
                      <w:color w:val="auto"/>
                      <w:kern w:val="0"/>
                      <w:sz w:val="24"/>
                      <w:szCs w:val="24"/>
                      <w:lang w:val="en-US" w:eastAsia="zh-CN" w:bidi="ar-SA"/>
                    </w:rPr>
                  </w:pPr>
                  <w:r>
                    <w:rPr>
                      <w:rFonts w:hint="eastAsia" w:ascii="Times New Roman" w:hAnsi="Times New Roman" w:eastAsia="宋体" w:cs="Times New Roman"/>
                      <w:b/>
                      <w:bCs/>
                      <w:color w:val="auto"/>
                      <w:kern w:val="0"/>
                      <w:sz w:val="24"/>
                      <w:szCs w:val="24"/>
                      <w:lang w:val="en-US" w:eastAsia="zh-CN" w:bidi="ar-SA"/>
                    </w:rPr>
                    <w:t>危险废物暂存间</w:t>
                  </w:r>
                </w:p>
              </w:tc>
            </w:tr>
            <w:tr w14:paraId="4917A5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993" w:type="pct"/>
                  <w:tcBorders>
                    <w:tl2br w:val="nil"/>
                    <w:tr2bl w:val="nil"/>
                  </w:tcBorders>
                  <w:noWrap w:val="0"/>
                  <w:tcMar>
                    <w:left w:w="28" w:type="dxa"/>
                    <w:right w:w="28" w:type="dxa"/>
                  </w:tcMar>
                  <w:vAlign w:val="center"/>
                </w:tcPr>
                <w:p w14:paraId="56527E7B">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drawing>
                      <wp:inline distT="0" distB="0" distL="114300" distR="114300">
                        <wp:extent cx="720090" cy="720090"/>
                        <wp:effectExtent l="0" t="0" r="0" b="0"/>
                        <wp:docPr id="59" name="图片 116"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16" descr="点击看大图及详细资料"/>
                                <pic:cNvPicPr>
                                  <a:picLocks noChangeAspect="1"/>
                                </pic:cNvPicPr>
                              </pic:nvPicPr>
                              <pic:blipFill>
                                <a:blip r:embed="rId52"/>
                                <a:stretch>
                                  <a:fillRect/>
                                </a:stretch>
                              </pic:blipFill>
                              <pic:spPr>
                                <a:xfrm>
                                  <a:off x="0" y="0"/>
                                  <a:ext cx="720090" cy="720090"/>
                                </a:xfrm>
                                <a:prstGeom prst="rect">
                                  <a:avLst/>
                                </a:prstGeom>
                                <a:noFill/>
                                <a:ln>
                                  <a:noFill/>
                                </a:ln>
                              </pic:spPr>
                            </pic:pic>
                          </a:graphicData>
                        </a:graphic>
                      </wp:inline>
                    </w:drawing>
                  </w:r>
                </w:p>
              </w:tc>
              <w:tc>
                <w:tcPr>
                  <w:tcW w:w="994" w:type="pct"/>
                  <w:tcBorders>
                    <w:tl2br w:val="nil"/>
                    <w:tr2bl w:val="nil"/>
                  </w:tcBorders>
                  <w:noWrap w:val="0"/>
                  <w:tcMar>
                    <w:left w:w="28" w:type="dxa"/>
                    <w:right w:w="28" w:type="dxa"/>
                  </w:tcMar>
                  <w:vAlign w:val="center"/>
                </w:tcPr>
                <w:p w14:paraId="61017C22">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drawing>
                      <wp:inline distT="0" distB="0" distL="114300" distR="114300">
                        <wp:extent cx="720090" cy="720090"/>
                        <wp:effectExtent l="0" t="0" r="0" b="0"/>
                        <wp:docPr id="60" name="图片 117"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17" descr="点击看大图及详细资料"/>
                                <pic:cNvPicPr>
                                  <a:picLocks noChangeAspect="1"/>
                                </pic:cNvPicPr>
                              </pic:nvPicPr>
                              <pic:blipFill>
                                <a:blip r:embed="rId53"/>
                                <a:stretch>
                                  <a:fillRect/>
                                </a:stretch>
                              </pic:blipFill>
                              <pic:spPr>
                                <a:xfrm>
                                  <a:off x="0" y="0"/>
                                  <a:ext cx="720090" cy="720090"/>
                                </a:xfrm>
                                <a:prstGeom prst="rect">
                                  <a:avLst/>
                                </a:prstGeom>
                                <a:noFill/>
                                <a:ln>
                                  <a:noFill/>
                                </a:ln>
                              </pic:spPr>
                            </pic:pic>
                          </a:graphicData>
                        </a:graphic>
                      </wp:inline>
                    </w:drawing>
                  </w:r>
                </w:p>
              </w:tc>
              <w:tc>
                <w:tcPr>
                  <w:tcW w:w="994" w:type="pct"/>
                  <w:tcBorders>
                    <w:tl2br w:val="nil"/>
                    <w:tr2bl w:val="nil"/>
                  </w:tcBorders>
                  <w:noWrap w:val="0"/>
                  <w:tcMar>
                    <w:left w:w="28" w:type="dxa"/>
                    <w:right w:w="28" w:type="dxa"/>
                  </w:tcMar>
                  <w:vAlign w:val="center"/>
                </w:tcPr>
                <w:p w14:paraId="6D32A169">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drawing>
                      <wp:inline distT="0" distB="0" distL="114300" distR="114300">
                        <wp:extent cx="720090" cy="720090"/>
                        <wp:effectExtent l="0" t="0" r="0" b="0"/>
                        <wp:docPr id="61" name="图片 118"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18" descr="点击看大图及详细资料"/>
                                <pic:cNvPicPr>
                                  <a:picLocks noChangeAspect="1"/>
                                </pic:cNvPicPr>
                              </pic:nvPicPr>
                              <pic:blipFill>
                                <a:blip r:embed="rId54"/>
                                <a:stretch>
                                  <a:fillRect/>
                                </a:stretch>
                              </pic:blipFill>
                              <pic:spPr>
                                <a:xfrm>
                                  <a:off x="0" y="0"/>
                                  <a:ext cx="720090" cy="720090"/>
                                </a:xfrm>
                                <a:prstGeom prst="rect">
                                  <a:avLst/>
                                </a:prstGeom>
                                <a:noFill/>
                                <a:ln>
                                  <a:noFill/>
                                </a:ln>
                              </pic:spPr>
                            </pic:pic>
                          </a:graphicData>
                        </a:graphic>
                      </wp:inline>
                    </w:drawing>
                  </w:r>
                </w:p>
              </w:tc>
              <w:tc>
                <w:tcPr>
                  <w:tcW w:w="1007" w:type="pct"/>
                  <w:tcBorders>
                    <w:tl2br w:val="nil"/>
                    <w:tr2bl w:val="nil"/>
                  </w:tcBorders>
                  <w:noWrap w:val="0"/>
                  <w:tcMar>
                    <w:left w:w="28" w:type="dxa"/>
                    <w:right w:w="28" w:type="dxa"/>
                  </w:tcMar>
                  <w:vAlign w:val="center"/>
                </w:tcPr>
                <w:p w14:paraId="75C2C2C1">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drawing>
                      <wp:inline distT="0" distB="0" distL="114300" distR="114300">
                        <wp:extent cx="752475" cy="719455"/>
                        <wp:effectExtent l="0" t="0" r="0" b="0"/>
                        <wp:docPr id="62" name="图片 119"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19" descr="点击看大图及详细资料"/>
                                <pic:cNvPicPr>
                                  <a:picLocks noChangeAspect="1"/>
                                </pic:cNvPicPr>
                              </pic:nvPicPr>
                              <pic:blipFill>
                                <a:blip r:embed="rId55"/>
                                <a:stretch>
                                  <a:fillRect/>
                                </a:stretch>
                              </pic:blipFill>
                              <pic:spPr>
                                <a:xfrm>
                                  <a:off x="0" y="0"/>
                                  <a:ext cx="752475" cy="719455"/>
                                </a:xfrm>
                                <a:prstGeom prst="rect">
                                  <a:avLst/>
                                </a:prstGeom>
                                <a:noFill/>
                                <a:ln>
                                  <a:noFill/>
                                </a:ln>
                              </pic:spPr>
                            </pic:pic>
                          </a:graphicData>
                        </a:graphic>
                      </wp:inline>
                    </w:drawing>
                  </w:r>
                </w:p>
              </w:tc>
              <w:tc>
                <w:tcPr>
                  <w:tcW w:w="1010" w:type="pct"/>
                  <w:tcBorders>
                    <w:tl2br w:val="nil"/>
                    <w:tr2bl w:val="nil"/>
                  </w:tcBorders>
                  <w:noWrap w:val="0"/>
                  <w:tcMar>
                    <w:left w:w="28" w:type="dxa"/>
                    <w:right w:w="28" w:type="dxa"/>
                  </w:tcMar>
                  <w:vAlign w:val="center"/>
                </w:tcPr>
                <w:p w14:paraId="736F6678">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drawing>
                      <wp:inline distT="0" distB="0" distL="114300" distR="114300">
                        <wp:extent cx="849630" cy="751205"/>
                        <wp:effectExtent l="0" t="0" r="0" b="0"/>
                        <wp:docPr id="63"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20"/>
                                <pic:cNvPicPr>
                                  <a:picLocks noChangeAspect="1"/>
                                </pic:cNvPicPr>
                              </pic:nvPicPr>
                              <pic:blipFill>
                                <a:blip r:embed="rId56"/>
                                <a:stretch>
                                  <a:fillRect/>
                                </a:stretch>
                              </pic:blipFill>
                              <pic:spPr>
                                <a:xfrm>
                                  <a:off x="0" y="0"/>
                                  <a:ext cx="849630" cy="751205"/>
                                </a:xfrm>
                                <a:prstGeom prst="rect">
                                  <a:avLst/>
                                </a:prstGeom>
                                <a:noFill/>
                                <a:ln>
                                  <a:noFill/>
                                </a:ln>
                              </pic:spPr>
                            </pic:pic>
                          </a:graphicData>
                        </a:graphic>
                      </wp:inline>
                    </w:drawing>
                  </w:r>
                </w:p>
              </w:tc>
            </w:tr>
            <w:tr w14:paraId="3F59C4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3989" w:type="pct"/>
                  <w:gridSpan w:val="4"/>
                  <w:tcBorders>
                    <w:tl2br w:val="nil"/>
                    <w:tr2bl w:val="nil"/>
                  </w:tcBorders>
                  <w:noWrap w:val="0"/>
                  <w:vAlign w:val="center"/>
                </w:tcPr>
                <w:p w14:paraId="41856E75">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背景颜色：绿色，图形颜色：白色</w:t>
                  </w:r>
                </w:p>
              </w:tc>
              <w:tc>
                <w:tcPr>
                  <w:tcW w:w="1010" w:type="pct"/>
                  <w:tcBorders>
                    <w:tl2br w:val="nil"/>
                    <w:tr2bl w:val="nil"/>
                  </w:tcBorders>
                  <w:noWrap w:val="0"/>
                  <w:tcMar>
                    <w:left w:w="28" w:type="dxa"/>
                    <w:right w:w="28" w:type="dxa"/>
                  </w:tcMar>
                  <w:vAlign w:val="center"/>
                </w:tcPr>
                <w:p w14:paraId="0335378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背景颜色：黄色，图形颜色：黑色</w:t>
                  </w:r>
                </w:p>
              </w:tc>
            </w:tr>
          </w:tbl>
          <w:p w14:paraId="0405E116">
            <w:pPr>
              <w:pStyle w:val="24"/>
              <w:bidi w:val="0"/>
              <w:rPr>
                <w:rFonts w:hint="default" w:ascii="Times New Roman" w:hAnsi="Times New Roman" w:eastAsia="宋体"/>
                <w:color w:val="auto"/>
                <w:sz w:val="24"/>
                <w:szCs w:val="24"/>
                <w:lang w:val="en-US" w:eastAsia="zh-CN"/>
              </w:rPr>
            </w:pPr>
          </w:p>
        </w:tc>
      </w:tr>
    </w:tbl>
    <w:p w14:paraId="62E4E9D2">
      <w:pPr>
        <w:jc w:val="center"/>
        <w:outlineLvl w:val="0"/>
        <w:rPr>
          <w:rFonts w:ascii="黑体" w:hAnsi="黑体" w:eastAsia="黑体"/>
          <w:snapToGrid w:val="0"/>
          <w:color w:val="auto"/>
          <w:sz w:val="30"/>
          <w:szCs w:val="30"/>
        </w:rPr>
      </w:pPr>
      <w:r>
        <w:rPr>
          <w:snapToGrid w:val="0"/>
          <w:color w:val="auto"/>
        </w:rPr>
        <w:br w:type="page"/>
      </w:r>
      <w:bookmarkStart w:id="99" w:name="_Toc30783"/>
      <w:bookmarkStart w:id="100" w:name="_Toc17413"/>
      <w:r>
        <w:rPr>
          <w:rStyle w:val="23"/>
          <w:rFonts w:hint="eastAsia"/>
          <w:color w:val="auto"/>
        </w:rPr>
        <w:drawing>
          <wp:anchor distT="0" distB="0" distL="114300" distR="114300" simplePos="0" relativeHeight="251666432" behindDoc="0" locked="0" layoutInCell="1" allowOverlap="1">
            <wp:simplePos x="0" y="0"/>
            <wp:positionH relativeFrom="column">
              <wp:posOffset>-104140</wp:posOffset>
            </wp:positionH>
            <wp:positionV relativeFrom="paragraph">
              <wp:posOffset>-16510</wp:posOffset>
            </wp:positionV>
            <wp:extent cx="6005830" cy="8494395"/>
            <wp:effectExtent l="0" t="0" r="13970" b="1905"/>
            <wp:wrapNone/>
            <wp:docPr id="192" name="图片 192" descr="doc0091332026080710041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descr="doc00913320260807100411_01"/>
                    <pic:cNvPicPr>
                      <a:picLocks noChangeAspect="1"/>
                    </pic:cNvPicPr>
                  </pic:nvPicPr>
                  <pic:blipFill>
                    <a:blip r:embed="rId57"/>
                    <a:stretch>
                      <a:fillRect/>
                    </a:stretch>
                  </pic:blipFill>
                  <pic:spPr>
                    <a:xfrm>
                      <a:off x="0" y="0"/>
                      <a:ext cx="6005830" cy="8494395"/>
                    </a:xfrm>
                    <a:prstGeom prst="rect">
                      <a:avLst/>
                    </a:prstGeom>
                  </pic:spPr>
                </pic:pic>
              </a:graphicData>
            </a:graphic>
          </wp:anchor>
        </w:drawing>
      </w:r>
      <w:r>
        <w:rPr>
          <w:rStyle w:val="23"/>
          <w:rFonts w:hint="eastAsia"/>
          <w:color w:val="auto"/>
        </w:rPr>
        <w:t>六、结论</w:t>
      </w:r>
      <w:bookmarkEnd w:id="99"/>
      <w:bookmarkEnd w:id="100"/>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2F7DB6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center"/>
          </w:tcPr>
          <w:p w14:paraId="6969F236">
            <w:pPr>
              <w:keepNext/>
              <w:keepLines/>
              <w:widowControl w:val="0"/>
              <w:bidi w:val="0"/>
              <w:spacing w:beforeLines="0" w:beforeAutospacing="0" w:afterLines="0" w:afterAutospacing="0" w:line="360" w:lineRule="auto"/>
              <w:jc w:val="left"/>
              <w:textAlignment w:val="center"/>
              <w:outlineLvl w:val="1"/>
              <w:rPr>
                <w:rFonts w:hint="eastAsia" w:ascii="Times New Roman" w:hAnsi="Times New Roman" w:eastAsia="宋体" w:cs="Times New Roman"/>
                <w:b/>
                <w:color w:val="auto"/>
                <w:kern w:val="2"/>
                <w:sz w:val="28"/>
                <w:szCs w:val="24"/>
                <w:lang w:val="en-US" w:eastAsia="zh-CN" w:bidi="ar-SA"/>
              </w:rPr>
            </w:pPr>
            <w:bookmarkStart w:id="101" w:name="_Toc23532"/>
            <w:r>
              <w:rPr>
                <w:rFonts w:hint="eastAsia" w:ascii="Times New Roman" w:hAnsi="Times New Roman" w:eastAsia="宋体" w:cs="Times New Roman"/>
                <w:b/>
                <w:color w:val="auto"/>
                <w:kern w:val="2"/>
                <w:sz w:val="28"/>
                <w:szCs w:val="24"/>
                <w:lang w:val="en-US" w:eastAsia="zh-CN" w:bidi="ar-SA"/>
              </w:rPr>
              <w:t>6.1总结论</w:t>
            </w:r>
            <w:bookmarkEnd w:id="101"/>
          </w:p>
          <w:p w14:paraId="01EFBCD3">
            <w:pPr>
              <w:pStyle w:val="25"/>
              <w:bidi w:val="0"/>
              <w:rPr>
                <w:rFonts w:hint="eastAsia"/>
                <w:color w:val="auto"/>
                <w:lang w:val="en-US" w:eastAsia="zh-CN"/>
              </w:rPr>
            </w:pPr>
            <w:r>
              <w:rPr>
                <w:rFonts w:hint="eastAsia"/>
                <w:color w:val="auto"/>
                <w:lang w:val="en-US" w:eastAsia="zh-CN"/>
              </w:rPr>
              <w:t>通过对福州晶至光电科技有限公司高功率激光与光互联材料和器件量产项目的环境影响分析评价，项目运营过程中废水、废气、噪声、固体废物等污染物，对周围大气环境、声环境等造成一定不利影响，经采取综合性、积极有效的防治措施并确保污染物达标排放后，可避免或减少这些不利影响，影响均在环境可接受的范围内。</w:t>
            </w:r>
          </w:p>
          <w:p w14:paraId="3FFFA0F8">
            <w:pPr>
              <w:pStyle w:val="25"/>
              <w:bidi w:val="0"/>
              <w:rPr>
                <w:rFonts w:hint="eastAsia"/>
                <w:color w:val="auto"/>
                <w:lang w:val="en-US" w:eastAsia="zh-CN"/>
              </w:rPr>
            </w:pPr>
            <w:r>
              <w:rPr>
                <w:rFonts w:hint="eastAsia"/>
                <w:color w:val="auto"/>
                <w:lang w:val="en-US" w:eastAsia="zh-CN"/>
              </w:rPr>
              <w:t>本项目符合国家产业政策，符合用地规划，符合《福州高新区两园南单元控制性详细规划》《福州市生物医药和机电产业园规划环境影响报告书》的要求，且符合福建省生态环境分区管控要求。</w:t>
            </w:r>
          </w:p>
          <w:p w14:paraId="007D1C24">
            <w:pPr>
              <w:pStyle w:val="25"/>
              <w:bidi w:val="0"/>
              <w:rPr>
                <w:rFonts w:hint="eastAsia"/>
                <w:color w:val="auto"/>
                <w:lang w:val="en-US" w:eastAsia="zh-CN"/>
              </w:rPr>
            </w:pPr>
            <w:r>
              <w:rPr>
                <w:rFonts w:hint="eastAsia"/>
                <w:color w:val="auto"/>
                <w:lang w:val="en-US" w:eastAsia="zh-CN"/>
              </w:rPr>
              <w:t>综上所述，建设单位认真执行建设项目环保“三同时”制度，切实落实各项规划方案的要求，完成本次环境影响评价提出的各项污染防治措施，在严格落实各项环保措施的前提下，确保各污染物达标排放，对周围的环境影响较小。从环境保护角度分析，该项目的建设是可行的。</w:t>
            </w:r>
          </w:p>
          <w:p w14:paraId="65D17EC4">
            <w:pPr>
              <w:keepNext/>
              <w:keepLines/>
              <w:widowControl w:val="0"/>
              <w:bidi w:val="0"/>
              <w:spacing w:beforeLines="0" w:beforeAutospacing="0" w:afterLines="0" w:afterAutospacing="0" w:line="360" w:lineRule="auto"/>
              <w:jc w:val="left"/>
              <w:textAlignment w:val="center"/>
              <w:outlineLvl w:val="1"/>
              <w:rPr>
                <w:rFonts w:hint="eastAsia" w:ascii="Times New Roman" w:hAnsi="Times New Roman" w:eastAsia="宋体" w:cs="Times New Roman"/>
                <w:b/>
                <w:color w:val="auto"/>
                <w:kern w:val="2"/>
                <w:sz w:val="28"/>
                <w:szCs w:val="24"/>
                <w:lang w:val="en-US" w:eastAsia="zh-CN" w:bidi="ar-SA"/>
              </w:rPr>
            </w:pPr>
            <w:bookmarkStart w:id="102" w:name="_Toc1408"/>
            <w:r>
              <w:rPr>
                <w:rFonts w:hint="eastAsia" w:ascii="Times New Roman" w:hAnsi="Times New Roman" w:eastAsia="宋体" w:cs="Times New Roman"/>
                <w:b/>
                <w:color w:val="auto"/>
                <w:kern w:val="2"/>
                <w:sz w:val="28"/>
                <w:szCs w:val="24"/>
                <w:lang w:val="en-US" w:eastAsia="zh-CN" w:bidi="ar-SA"/>
              </w:rPr>
              <w:t>6.2建议</w:t>
            </w:r>
            <w:bookmarkEnd w:id="102"/>
          </w:p>
          <w:p w14:paraId="3A3E231C">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（1）加强管理，保证生产设备正常运行，防止设备带故障使用，防止异常噪声的产生。</w:t>
            </w:r>
          </w:p>
          <w:p w14:paraId="68E10C8F">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（2）由厂内技术管理人员兼职环保工作负责环保设施的运行、检查、维护等工作。</w:t>
            </w:r>
          </w:p>
          <w:p w14:paraId="5C9E15E0">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（3）加强职工的环保、安全教育，增强环保意识和安全生产意识。</w:t>
            </w:r>
          </w:p>
          <w:p w14:paraId="2EA88C98">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（4）项目建成投用后，不得新设对环境有污染的项目，项目若有变动，应办理审批手续。</w:t>
            </w:r>
          </w:p>
          <w:p w14:paraId="2E01667D">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（5）遵守国家关于环保治理措施管理的规定，定期提交设施运行及监测报告，接受环保管理部门的监督。</w:t>
            </w:r>
          </w:p>
          <w:p w14:paraId="539C622A">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（6）加强环保工作的管理，要认真落实环保“三同时”制度。</w:t>
            </w:r>
          </w:p>
          <w:p w14:paraId="7F78B9C5">
            <w:pPr>
              <w:widowControl w:val="0"/>
              <w:bidi w:val="0"/>
              <w:spacing w:line="360" w:lineRule="auto"/>
              <w:jc w:val="both"/>
              <w:rPr>
                <w:rFonts w:hint="eastAsia" w:ascii="Times New Roman" w:hAnsi="Times New Roman" w:eastAsia="宋体" w:cs="宋体"/>
                <w:color w:val="auto"/>
                <w:kern w:val="2"/>
                <w:sz w:val="24"/>
                <w:szCs w:val="24"/>
                <w:lang w:val="en-US" w:eastAsia="zh-CN" w:bidi="ar-SA"/>
              </w:rPr>
            </w:pPr>
          </w:p>
          <w:p w14:paraId="74D9668A">
            <w:pPr>
              <w:widowControl w:val="0"/>
              <w:bidi w:val="0"/>
              <w:spacing w:line="360" w:lineRule="auto"/>
              <w:ind w:firstLine="480" w:firstLineChars="200"/>
              <w:jc w:val="right"/>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编制单位：福州朴诚至信环保科技有限公司</w:t>
            </w:r>
          </w:p>
          <w:p w14:paraId="5699142E">
            <w:pPr>
              <w:spacing w:line="360" w:lineRule="auto"/>
              <w:jc w:val="right"/>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2026年</w:t>
            </w:r>
            <w:r>
              <w:rPr>
                <w:rFonts w:hint="eastAsia" w:cs="宋体"/>
                <w:color w:val="auto"/>
                <w:kern w:val="2"/>
                <w:sz w:val="24"/>
                <w:szCs w:val="24"/>
                <w:lang w:val="en-US" w:eastAsia="zh-CN" w:bidi="ar-SA"/>
              </w:rPr>
              <w:t>8</w:t>
            </w:r>
            <w:r>
              <w:rPr>
                <w:rFonts w:hint="eastAsia" w:ascii="Times New Roman" w:hAnsi="Times New Roman" w:eastAsia="宋体" w:cs="宋体"/>
                <w:color w:val="auto"/>
                <w:kern w:val="2"/>
                <w:sz w:val="24"/>
                <w:szCs w:val="24"/>
                <w:lang w:val="en-US" w:eastAsia="zh-CN" w:bidi="ar-SA"/>
              </w:rPr>
              <w:t>月</w:t>
            </w:r>
          </w:p>
        </w:tc>
      </w:tr>
    </w:tbl>
    <w:p w14:paraId="5484E2A4">
      <w:pPr>
        <w:rPr>
          <w:rFonts w:ascii="宋体"/>
          <w:color w:val="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28417DC6">
      <w:pPr>
        <w:pStyle w:val="5"/>
        <w:keepNext/>
        <w:keepLines/>
        <w:pageBreakBefore w:val="0"/>
        <w:widowControl w:val="0"/>
        <w:kinsoku/>
        <w:wordWrap/>
        <w:overflowPunct/>
        <w:topLinePunct w:val="0"/>
        <w:autoSpaceDE/>
        <w:autoSpaceDN/>
        <w:bidi w:val="0"/>
        <w:adjustRightInd/>
        <w:snapToGrid/>
        <w:spacing w:before="0" w:after="0"/>
        <w:textAlignment w:val="auto"/>
        <w:rPr>
          <w:rFonts w:hint="eastAsia" w:ascii="方正小标宋_GBK" w:hAnsi="黑体" w:eastAsia="方正小标宋_GBK"/>
          <w:snapToGrid w:val="0"/>
          <w:color w:val="auto"/>
          <w:szCs w:val="38"/>
        </w:rPr>
      </w:pPr>
      <w:r>
        <w:rPr>
          <w:rFonts w:hint="eastAsia"/>
          <w:color w:val="auto"/>
        </w:rPr>
        <w:t>建设项目污染物排放量汇总表</w:t>
      </w:r>
    </w:p>
    <w:tbl>
      <w:tblPr>
        <w:tblStyle w:val="17"/>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578"/>
        <w:gridCol w:w="1695"/>
        <w:gridCol w:w="1273"/>
      </w:tblGrid>
      <w:tr w14:paraId="3354C8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88" w:type="dxa"/>
            <w:tcBorders>
              <w:tl2br w:val="single" w:color="auto" w:sz="4" w:space="0"/>
            </w:tcBorders>
            <w:noWrap w:val="0"/>
            <w:tcMar>
              <w:left w:w="28" w:type="dxa"/>
              <w:right w:w="28" w:type="dxa"/>
            </w:tcMar>
            <w:vAlign w:val="center"/>
          </w:tcPr>
          <w:p w14:paraId="4130B59F">
            <w:pPr>
              <w:pStyle w:val="28"/>
              <w:bidi w:val="0"/>
              <w:jc w:val="right"/>
              <w:rPr>
                <w:rFonts w:hint="eastAsia"/>
                <w:color w:val="auto"/>
              </w:rPr>
            </w:pPr>
            <w:r>
              <w:rPr>
                <w:rFonts w:hint="eastAsia"/>
                <w:color w:val="auto"/>
              </w:rPr>
              <w:t>项目</w:t>
            </w:r>
          </w:p>
          <w:p w14:paraId="6C2EF4AC">
            <w:pPr>
              <w:pStyle w:val="28"/>
              <w:bidi w:val="0"/>
              <w:jc w:val="left"/>
              <w:rPr>
                <w:rFonts w:hint="eastAsia"/>
                <w:color w:val="auto"/>
              </w:rPr>
            </w:pPr>
            <w:r>
              <w:rPr>
                <w:rFonts w:hint="eastAsia"/>
                <w:color w:val="auto"/>
              </w:rPr>
              <w:t>分类</w:t>
            </w:r>
          </w:p>
        </w:tc>
        <w:tc>
          <w:tcPr>
            <w:tcW w:w="1417" w:type="dxa"/>
            <w:noWrap w:val="0"/>
            <w:tcMar>
              <w:left w:w="28" w:type="dxa"/>
              <w:right w:w="28" w:type="dxa"/>
            </w:tcMar>
            <w:vAlign w:val="center"/>
          </w:tcPr>
          <w:p w14:paraId="3EAE8682">
            <w:pPr>
              <w:pStyle w:val="28"/>
              <w:bidi w:val="0"/>
              <w:rPr>
                <w:rFonts w:hint="eastAsia"/>
                <w:color w:val="auto"/>
              </w:rPr>
            </w:pPr>
            <w:r>
              <w:rPr>
                <w:rFonts w:hint="eastAsia"/>
                <w:color w:val="auto"/>
              </w:rPr>
              <w:t>污染物名称</w:t>
            </w:r>
          </w:p>
        </w:tc>
        <w:tc>
          <w:tcPr>
            <w:tcW w:w="1701" w:type="dxa"/>
            <w:noWrap w:val="0"/>
            <w:tcMar>
              <w:left w:w="28" w:type="dxa"/>
              <w:right w:w="28" w:type="dxa"/>
            </w:tcMar>
            <w:vAlign w:val="center"/>
          </w:tcPr>
          <w:p w14:paraId="56EE813E">
            <w:pPr>
              <w:pStyle w:val="28"/>
              <w:bidi w:val="0"/>
              <w:rPr>
                <w:rFonts w:hint="eastAsia"/>
                <w:color w:val="auto"/>
              </w:rPr>
            </w:pPr>
            <w:r>
              <w:rPr>
                <w:color w:val="auto"/>
              </w:rPr>
              <w:t>现有工程</w:t>
            </w:r>
          </w:p>
          <w:p w14:paraId="1E1D0247">
            <w:pPr>
              <w:pStyle w:val="28"/>
              <w:bidi w:val="0"/>
              <w:rPr>
                <w:color w:val="auto"/>
              </w:rPr>
            </w:pPr>
            <w:r>
              <w:rPr>
                <w:color w:val="auto"/>
              </w:rPr>
              <w:t>排放量（固</w:t>
            </w:r>
            <w:r>
              <w:rPr>
                <w:rFonts w:hint="eastAsia"/>
                <w:color w:val="auto"/>
              </w:rPr>
              <w:t>体</w:t>
            </w:r>
            <w:r>
              <w:rPr>
                <w:color w:val="auto"/>
              </w:rPr>
              <w:t>废</w:t>
            </w:r>
            <w:r>
              <w:rPr>
                <w:rFonts w:hint="eastAsia"/>
                <w:color w:val="auto"/>
              </w:rPr>
              <w:t>物</w:t>
            </w:r>
            <w:r>
              <w:rPr>
                <w:color w:val="auto"/>
              </w:rPr>
              <w:t>产生量）</w:t>
            </w:r>
            <w:r>
              <w:rPr>
                <w:color w:val="auto"/>
              </w:rPr>
              <w:fldChar w:fldCharType="begin"/>
            </w:r>
            <w:r>
              <w:rPr>
                <w:color w:val="auto"/>
              </w:rPr>
              <w:instrText xml:space="preserve"> = 1 \* GB3 \* MERGEFORMAT </w:instrText>
            </w:r>
            <w:r>
              <w:rPr>
                <w:color w:val="auto"/>
              </w:rPr>
              <w:fldChar w:fldCharType="separate"/>
            </w:r>
            <w:r>
              <w:rPr>
                <w:rFonts w:hint="eastAsia"/>
                <w:color w:val="auto"/>
              </w:rPr>
              <w:t>①</w:t>
            </w:r>
            <w:r>
              <w:rPr>
                <w:color w:val="auto"/>
              </w:rPr>
              <w:fldChar w:fldCharType="end"/>
            </w:r>
          </w:p>
        </w:tc>
        <w:tc>
          <w:tcPr>
            <w:tcW w:w="1276" w:type="dxa"/>
            <w:noWrap w:val="0"/>
            <w:tcMar>
              <w:left w:w="28" w:type="dxa"/>
              <w:right w:w="28" w:type="dxa"/>
            </w:tcMar>
            <w:vAlign w:val="center"/>
          </w:tcPr>
          <w:p w14:paraId="73CE6787">
            <w:pPr>
              <w:pStyle w:val="28"/>
              <w:bidi w:val="0"/>
              <w:rPr>
                <w:color w:val="auto"/>
              </w:rPr>
            </w:pPr>
            <w:r>
              <w:rPr>
                <w:color w:val="auto"/>
              </w:rPr>
              <w:t>现有工程</w:t>
            </w:r>
          </w:p>
          <w:p w14:paraId="5CAFEEB7">
            <w:pPr>
              <w:pStyle w:val="28"/>
              <w:bidi w:val="0"/>
              <w:rPr>
                <w:color w:val="auto"/>
              </w:rPr>
            </w:pPr>
            <w:r>
              <w:rPr>
                <w:color w:val="auto"/>
              </w:rPr>
              <w:t>许可排放量</w:t>
            </w:r>
          </w:p>
          <w:p w14:paraId="39B58FA2">
            <w:pPr>
              <w:pStyle w:val="28"/>
              <w:bidi w:val="0"/>
              <w:rPr>
                <w:color w:val="auto"/>
              </w:rPr>
            </w:pPr>
            <w:r>
              <w:rPr>
                <w:color w:val="auto"/>
              </w:rPr>
              <w:fldChar w:fldCharType="begin"/>
            </w:r>
            <w:r>
              <w:rPr>
                <w:color w:val="auto"/>
              </w:rPr>
              <w:instrText xml:space="preserve"> = 2 \* GB3 \* MERGEFORMAT </w:instrText>
            </w:r>
            <w:r>
              <w:rPr>
                <w:color w:val="auto"/>
              </w:rPr>
              <w:fldChar w:fldCharType="separate"/>
            </w:r>
            <w:r>
              <w:rPr>
                <w:rFonts w:hint="eastAsia"/>
                <w:color w:val="auto"/>
              </w:rPr>
              <w:t>②</w:t>
            </w:r>
            <w:r>
              <w:rPr>
                <w:color w:val="auto"/>
              </w:rPr>
              <w:fldChar w:fldCharType="end"/>
            </w:r>
          </w:p>
        </w:tc>
        <w:tc>
          <w:tcPr>
            <w:tcW w:w="1701" w:type="dxa"/>
            <w:noWrap w:val="0"/>
            <w:tcMar>
              <w:left w:w="28" w:type="dxa"/>
              <w:right w:w="28" w:type="dxa"/>
            </w:tcMar>
            <w:vAlign w:val="center"/>
          </w:tcPr>
          <w:p w14:paraId="3940CFA2">
            <w:pPr>
              <w:pStyle w:val="28"/>
              <w:bidi w:val="0"/>
              <w:rPr>
                <w:rFonts w:hint="eastAsia"/>
                <w:color w:val="auto"/>
              </w:rPr>
            </w:pPr>
            <w:r>
              <w:rPr>
                <w:color w:val="auto"/>
              </w:rPr>
              <w:t>在建工程</w:t>
            </w:r>
          </w:p>
          <w:p w14:paraId="012FC46B">
            <w:pPr>
              <w:pStyle w:val="28"/>
              <w:bidi w:val="0"/>
              <w:rPr>
                <w:color w:val="auto"/>
              </w:rPr>
            </w:pPr>
            <w:r>
              <w:rPr>
                <w:color w:val="auto"/>
              </w:rPr>
              <w:t>排放量（固</w:t>
            </w:r>
            <w:r>
              <w:rPr>
                <w:rFonts w:hint="eastAsia"/>
                <w:color w:val="auto"/>
              </w:rPr>
              <w:t>体</w:t>
            </w:r>
            <w:r>
              <w:rPr>
                <w:color w:val="auto"/>
              </w:rPr>
              <w:t>废</w:t>
            </w:r>
            <w:r>
              <w:rPr>
                <w:rFonts w:hint="eastAsia"/>
                <w:color w:val="auto"/>
              </w:rPr>
              <w:t>物</w:t>
            </w:r>
            <w:r>
              <w:rPr>
                <w:color w:val="auto"/>
              </w:rPr>
              <w:t>产生量）</w:t>
            </w:r>
            <w:r>
              <w:rPr>
                <w:color w:val="auto"/>
              </w:rPr>
              <w:fldChar w:fldCharType="begin"/>
            </w:r>
            <w:r>
              <w:rPr>
                <w:color w:val="auto"/>
              </w:rPr>
              <w:instrText xml:space="preserve"> = 3 \* GB3 \* MERGEFORMAT </w:instrText>
            </w:r>
            <w:r>
              <w:rPr>
                <w:color w:val="auto"/>
              </w:rPr>
              <w:fldChar w:fldCharType="separate"/>
            </w:r>
            <w:r>
              <w:rPr>
                <w:rFonts w:hint="eastAsia"/>
                <w:color w:val="auto"/>
              </w:rPr>
              <w:t>③</w:t>
            </w:r>
            <w:r>
              <w:rPr>
                <w:color w:val="auto"/>
              </w:rPr>
              <w:fldChar w:fldCharType="end"/>
            </w:r>
          </w:p>
        </w:tc>
        <w:tc>
          <w:tcPr>
            <w:tcW w:w="1559" w:type="dxa"/>
            <w:noWrap w:val="0"/>
            <w:tcMar>
              <w:left w:w="28" w:type="dxa"/>
              <w:right w:w="28" w:type="dxa"/>
            </w:tcMar>
            <w:vAlign w:val="center"/>
          </w:tcPr>
          <w:p w14:paraId="40F38017">
            <w:pPr>
              <w:pStyle w:val="28"/>
              <w:bidi w:val="0"/>
              <w:rPr>
                <w:rFonts w:hint="eastAsia"/>
                <w:color w:val="auto"/>
              </w:rPr>
            </w:pPr>
            <w:r>
              <w:rPr>
                <w:color w:val="auto"/>
              </w:rPr>
              <w:t>本项目</w:t>
            </w:r>
          </w:p>
          <w:p w14:paraId="30C50249">
            <w:pPr>
              <w:pStyle w:val="28"/>
              <w:bidi w:val="0"/>
              <w:rPr>
                <w:color w:val="auto"/>
              </w:rPr>
            </w:pPr>
            <w:r>
              <w:rPr>
                <w:color w:val="auto"/>
              </w:rPr>
              <w:t>排放量（固</w:t>
            </w:r>
            <w:r>
              <w:rPr>
                <w:rFonts w:hint="eastAsia"/>
                <w:color w:val="auto"/>
              </w:rPr>
              <w:t>体</w:t>
            </w:r>
            <w:r>
              <w:rPr>
                <w:color w:val="auto"/>
              </w:rPr>
              <w:t>废</w:t>
            </w:r>
            <w:r>
              <w:rPr>
                <w:rFonts w:hint="eastAsia"/>
                <w:color w:val="auto"/>
              </w:rPr>
              <w:t>物</w:t>
            </w:r>
            <w:r>
              <w:rPr>
                <w:color w:val="auto"/>
              </w:rPr>
              <w:t>产生量）</w:t>
            </w:r>
            <w:r>
              <w:rPr>
                <w:color w:val="auto"/>
              </w:rPr>
              <w:fldChar w:fldCharType="begin"/>
            </w:r>
            <w:r>
              <w:rPr>
                <w:color w:val="auto"/>
              </w:rPr>
              <w:instrText xml:space="preserve"> = 4 \* GB3 \* MERGEFORMAT </w:instrText>
            </w:r>
            <w:r>
              <w:rPr>
                <w:color w:val="auto"/>
              </w:rPr>
              <w:fldChar w:fldCharType="separate"/>
            </w:r>
            <w:r>
              <w:rPr>
                <w:rFonts w:hint="eastAsia"/>
                <w:color w:val="auto"/>
              </w:rPr>
              <w:t>④</w:t>
            </w:r>
            <w:r>
              <w:rPr>
                <w:color w:val="auto"/>
              </w:rPr>
              <w:fldChar w:fldCharType="end"/>
            </w:r>
          </w:p>
        </w:tc>
        <w:tc>
          <w:tcPr>
            <w:tcW w:w="1578" w:type="dxa"/>
            <w:noWrap w:val="0"/>
            <w:tcMar>
              <w:left w:w="28" w:type="dxa"/>
              <w:right w:w="28" w:type="dxa"/>
            </w:tcMar>
            <w:vAlign w:val="center"/>
          </w:tcPr>
          <w:p w14:paraId="08EB8317">
            <w:pPr>
              <w:pStyle w:val="28"/>
              <w:bidi w:val="0"/>
              <w:rPr>
                <w:rFonts w:hint="eastAsia"/>
                <w:color w:val="auto"/>
              </w:rPr>
            </w:pPr>
            <w:r>
              <w:rPr>
                <w:color w:val="auto"/>
              </w:rPr>
              <w:t>以新带老削减量</w:t>
            </w:r>
          </w:p>
          <w:p w14:paraId="5C080E07">
            <w:pPr>
              <w:pStyle w:val="28"/>
              <w:bidi w:val="0"/>
              <w:rPr>
                <w:color w:val="auto"/>
              </w:rPr>
            </w:pPr>
            <w:r>
              <w:rPr>
                <w:color w:val="auto"/>
              </w:rPr>
              <w:t>（新建项目不填）</w:t>
            </w:r>
            <w:r>
              <w:rPr>
                <w:color w:val="auto"/>
              </w:rPr>
              <w:fldChar w:fldCharType="begin"/>
            </w:r>
            <w:r>
              <w:rPr>
                <w:color w:val="auto"/>
              </w:rPr>
              <w:instrText xml:space="preserve"> = 5 \* GB3 \* MERGEFORMAT </w:instrText>
            </w:r>
            <w:r>
              <w:rPr>
                <w:color w:val="auto"/>
              </w:rPr>
              <w:fldChar w:fldCharType="separate"/>
            </w:r>
            <w:r>
              <w:rPr>
                <w:rFonts w:hint="eastAsia"/>
                <w:color w:val="auto"/>
              </w:rPr>
              <w:t>⑤</w:t>
            </w:r>
            <w:r>
              <w:rPr>
                <w:color w:val="auto"/>
              </w:rPr>
              <w:fldChar w:fldCharType="end"/>
            </w:r>
          </w:p>
        </w:tc>
        <w:tc>
          <w:tcPr>
            <w:tcW w:w="1695" w:type="dxa"/>
            <w:noWrap w:val="0"/>
            <w:tcMar>
              <w:left w:w="28" w:type="dxa"/>
              <w:right w:w="28" w:type="dxa"/>
            </w:tcMar>
            <w:vAlign w:val="center"/>
          </w:tcPr>
          <w:p w14:paraId="359116FF">
            <w:pPr>
              <w:pStyle w:val="28"/>
              <w:bidi w:val="0"/>
              <w:rPr>
                <w:rFonts w:hint="eastAsia"/>
                <w:color w:val="auto"/>
              </w:rPr>
            </w:pPr>
            <w:r>
              <w:rPr>
                <w:color w:val="auto"/>
              </w:rPr>
              <w:t>本项目建成后</w:t>
            </w:r>
          </w:p>
          <w:p w14:paraId="2E60FB66">
            <w:pPr>
              <w:pStyle w:val="28"/>
              <w:bidi w:val="0"/>
              <w:rPr>
                <w:color w:val="auto"/>
              </w:rPr>
            </w:pPr>
            <w:r>
              <w:rPr>
                <w:rFonts w:hint="eastAsia"/>
                <w:color w:val="auto"/>
              </w:rPr>
              <w:t>全厂</w:t>
            </w:r>
            <w:r>
              <w:rPr>
                <w:color w:val="auto"/>
              </w:rPr>
              <w:t>排放量（固</w:t>
            </w:r>
            <w:r>
              <w:rPr>
                <w:rFonts w:hint="eastAsia"/>
                <w:color w:val="auto"/>
              </w:rPr>
              <w:t>体</w:t>
            </w:r>
            <w:r>
              <w:rPr>
                <w:color w:val="auto"/>
              </w:rPr>
              <w:t>废</w:t>
            </w:r>
            <w:r>
              <w:rPr>
                <w:rFonts w:hint="eastAsia"/>
                <w:color w:val="auto"/>
              </w:rPr>
              <w:t>物</w:t>
            </w:r>
            <w:r>
              <w:rPr>
                <w:color w:val="auto"/>
              </w:rPr>
              <w:t>产生量）</w:t>
            </w:r>
            <w:r>
              <w:rPr>
                <w:color w:val="auto"/>
              </w:rPr>
              <w:fldChar w:fldCharType="begin"/>
            </w:r>
            <w:r>
              <w:rPr>
                <w:color w:val="auto"/>
              </w:rPr>
              <w:instrText xml:space="preserve"> = 6 \* GB3 \* MERGEFORMAT </w:instrText>
            </w:r>
            <w:r>
              <w:rPr>
                <w:color w:val="auto"/>
              </w:rPr>
              <w:fldChar w:fldCharType="separate"/>
            </w:r>
            <w:r>
              <w:rPr>
                <w:rFonts w:hint="eastAsia"/>
                <w:color w:val="auto"/>
              </w:rPr>
              <w:t>⑥</w:t>
            </w:r>
            <w:r>
              <w:rPr>
                <w:color w:val="auto"/>
              </w:rPr>
              <w:fldChar w:fldCharType="end"/>
            </w:r>
          </w:p>
        </w:tc>
        <w:tc>
          <w:tcPr>
            <w:tcW w:w="1273" w:type="dxa"/>
            <w:noWrap w:val="0"/>
            <w:tcMar>
              <w:left w:w="28" w:type="dxa"/>
              <w:right w:w="28" w:type="dxa"/>
            </w:tcMar>
            <w:vAlign w:val="center"/>
          </w:tcPr>
          <w:p w14:paraId="2E98B2B8">
            <w:pPr>
              <w:pStyle w:val="28"/>
              <w:bidi w:val="0"/>
              <w:rPr>
                <w:color w:val="auto"/>
              </w:rPr>
            </w:pPr>
            <w:r>
              <w:rPr>
                <w:color w:val="auto"/>
              </w:rPr>
              <w:t>变化量</w:t>
            </w:r>
          </w:p>
          <w:p w14:paraId="3E94F2C5">
            <w:pPr>
              <w:pStyle w:val="28"/>
              <w:bidi w:val="0"/>
              <w:rPr>
                <w:color w:val="auto"/>
              </w:rPr>
            </w:pPr>
            <w:r>
              <w:rPr>
                <w:color w:val="auto"/>
              </w:rPr>
              <w:fldChar w:fldCharType="begin"/>
            </w:r>
            <w:r>
              <w:rPr>
                <w:color w:val="auto"/>
              </w:rPr>
              <w:instrText xml:space="preserve"> = 7 \* GB3 \* MERGEFORMAT </w:instrText>
            </w:r>
            <w:r>
              <w:rPr>
                <w:color w:val="auto"/>
              </w:rPr>
              <w:fldChar w:fldCharType="separate"/>
            </w:r>
            <w:r>
              <w:rPr>
                <w:rFonts w:hint="eastAsia"/>
                <w:color w:val="auto"/>
              </w:rPr>
              <w:t>⑦</w:t>
            </w:r>
            <w:r>
              <w:rPr>
                <w:color w:val="auto"/>
              </w:rPr>
              <w:fldChar w:fldCharType="end"/>
            </w:r>
          </w:p>
        </w:tc>
      </w:tr>
      <w:tr w14:paraId="7591CD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restart"/>
            <w:noWrap w:val="0"/>
            <w:vAlign w:val="center"/>
          </w:tcPr>
          <w:p w14:paraId="0A290B0A">
            <w:pPr>
              <w:pStyle w:val="28"/>
              <w:bidi w:val="0"/>
              <w:rPr>
                <w:rFonts w:hint="eastAsia"/>
                <w:color w:val="auto"/>
              </w:rPr>
            </w:pPr>
            <w:r>
              <w:rPr>
                <w:rFonts w:hint="eastAsia"/>
                <w:color w:val="auto"/>
              </w:rPr>
              <w:t>废气</w:t>
            </w:r>
          </w:p>
        </w:tc>
        <w:tc>
          <w:tcPr>
            <w:tcW w:w="1417" w:type="dxa"/>
            <w:noWrap w:val="0"/>
            <w:vAlign w:val="center"/>
          </w:tcPr>
          <w:p w14:paraId="7E5AAF66">
            <w:pPr>
              <w:pStyle w:val="28"/>
              <w:bidi w:val="0"/>
              <w:rPr>
                <w:rFonts w:hint="default" w:eastAsia="宋体"/>
                <w:color w:val="auto"/>
                <w:lang w:val="en-US" w:eastAsia="zh-CN"/>
              </w:rPr>
            </w:pPr>
            <w:r>
              <w:rPr>
                <w:rFonts w:hint="eastAsia"/>
                <w:color w:val="auto"/>
                <w:lang w:val="en-US" w:eastAsia="zh-CN"/>
              </w:rPr>
              <w:t>VOCs（以非甲烷总烃计）</w:t>
            </w:r>
          </w:p>
        </w:tc>
        <w:tc>
          <w:tcPr>
            <w:tcW w:w="1701" w:type="dxa"/>
            <w:noWrap w:val="0"/>
            <w:vAlign w:val="center"/>
          </w:tcPr>
          <w:p w14:paraId="358F4692">
            <w:pPr>
              <w:pStyle w:val="28"/>
              <w:bidi w:val="0"/>
              <w:rPr>
                <w:rFonts w:hint="default" w:eastAsia="宋体"/>
                <w:color w:val="auto"/>
                <w:lang w:val="en-US" w:eastAsia="zh-CN"/>
              </w:rPr>
            </w:pPr>
            <w:r>
              <w:rPr>
                <w:rFonts w:hint="eastAsia"/>
                <w:color w:val="auto"/>
                <w:lang w:val="en-US" w:eastAsia="zh-CN"/>
              </w:rPr>
              <w:t>/</w:t>
            </w:r>
          </w:p>
        </w:tc>
        <w:tc>
          <w:tcPr>
            <w:tcW w:w="1276" w:type="dxa"/>
            <w:noWrap w:val="0"/>
            <w:vAlign w:val="center"/>
          </w:tcPr>
          <w:p w14:paraId="32B0C7C2">
            <w:pPr>
              <w:pStyle w:val="28"/>
              <w:bidi w:val="0"/>
              <w:rPr>
                <w:rFonts w:hint="default" w:eastAsia="宋体"/>
                <w:color w:val="auto"/>
                <w:lang w:val="en-US" w:eastAsia="zh-CN"/>
              </w:rPr>
            </w:pPr>
            <w:r>
              <w:rPr>
                <w:rFonts w:hint="eastAsia"/>
                <w:color w:val="auto"/>
                <w:lang w:val="en-US" w:eastAsia="zh-CN"/>
              </w:rPr>
              <w:t>/</w:t>
            </w:r>
          </w:p>
        </w:tc>
        <w:tc>
          <w:tcPr>
            <w:tcW w:w="1701" w:type="dxa"/>
            <w:noWrap w:val="0"/>
            <w:vAlign w:val="center"/>
          </w:tcPr>
          <w:p w14:paraId="7CE86063">
            <w:pPr>
              <w:pStyle w:val="28"/>
              <w:bidi w:val="0"/>
              <w:rPr>
                <w:rFonts w:hint="eastAsia" w:eastAsia="宋体"/>
                <w:color w:val="auto"/>
                <w:lang w:val="en-US" w:eastAsia="zh-CN"/>
              </w:rPr>
            </w:pPr>
            <w:r>
              <w:rPr>
                <w:rFonts w:hint="eastAsia"/>
                <w:color w:val="auto"/>
                <w:lang w:val="en-US" w:eastAsia="zh-CN"/>
              </w:rPr>
              <w:t>/</w:t>
            </w:r>
          </w:p>
        </w:tc>
        <w:tc>
          <w:tcPr>
            <w:tcW w:w="1559" w:type="dxa"/>
            <w:noWrap w:val="0"/>
            <w:vAlign w:val="center"/>
          </w:tcPr>
          <w:p w14:paraId="767F656D">
            <w:pPr>
              <w:pStyle w:val="28"/>
              <w:bidi w:val="0"/>
              <w:rPr>
                <w:rFonts w:hint="default" w:eastAsia="宋体"/>
                <w:color w:val="auto"/>
                <w:lang w:val="en-US" w:eastAsia="zh-CN"/>
              </w:rPr>
            </w:pPr>
            <w:r>
              <w:rPr>
                <w:rFonts w:hint="eastAsia"/>
                <w:color w:val="auto"/>
                <w:lang w:val="en-US" w:eastAsia="zh-CN"/>
              </w:rPr>
              <w:t>0.1209t/a</w:t>
            </w:r>
          </w:p>
        </w:tc>
        <w:tc>
          <w:tcPr>
            <w:tcW w:w="1578" w:type="dxa"/>
            <w:noWrap w:val="0"/>
            <w:vAlign w:val="center"/>
          </w:tcPr>
          <w:p w14:paraId="0AC830E7">
            <w:pPr>
              <w:pStyle w:val="28"/>
              <w:bidi w:val="0"/>
              <w:rPr>
                <w:rFonts w:hint="default" w:eastAsia="宋体"/>
                <w:color w:val="auto"/>
                <w:lang w:val="en-US" w:eastAsia="zh-CN"/>
              </w:rPr>
            </w:pPr>
            <w:r>
              <w:rPr>
                <w:rFonts w:hint="eastAsia"/>
                <w:color w:val="auto"/>
                <w:lang w:val="en-US" w:eastAsia="zh-CN"/>
              </w:rPr>
              <w:t>/</w:t>
            </w:r>
          </w:p>
        </w:tc>
        <w:tc>
          <w:tcPr>
            <w:tcW w:w="1695" w:type="dxa"/>
            <w:noWrap w:val="0"/>
            <w:vAlign w:val="center"/>
          </w:tcPr>
          <w:p w14:paraId="6D95AAC4">
            <w:pPr>
              <w:pStyle w:val="28"/>
              <w:bidi w:val="0"/>
              <w:rPr>
                <w:rFonts w:hint="default" w:eastAsia="宋体"/>
                <w:color w:val="auto"/>
                <w:lang w:val="en-US" w:eastAsia="zh-CN"/>
              </w:rPr>
            </w:pPr>
            <w:r>
              <w:rPr>
                <w:rFonts w:hint="eastAsia"/>
                <w:color w:val="auto"/>
                <w:lang w:val="en-US" w:eastAsia="zh-CN"/>
              </w:rPr>
              <w:t>0.1209t/a</w:t>
            </w:r>
          </w:p>
        </w:tc>
        <w:tc>
          <w:tcPr>
            <w:tcW w:w="1273" w:type="dxa"/>
            <w:noWrap w:val="0"/>
            <w:vAlign w:val="center"/>
          </w:tcPr>
          <w:p w14:paraId="62C56A2E">
            <w:pPr>
              <w:pStyle w:val="28"/>
              <w:bidi w:val="0"/>
              <w:rPr>
                <w:rFonts w:hint="default" w:eastAsia="宋体"/>
                <w:color w:val="auto"/>
                <w:lang w:val="en-US" w:eastAsia="zh-CN"/>
              </w:rPr>
            </w:pPr>
            <w:r>
              <w:rPr>
                <w:rFonts w:hint="eastAsia"/>
                <w:color w:val="auto"/>
                <w:lang w:val="en-US" w:eastAsia="zh-CN"/>
              </w:rPr>
              <w:t>+0.1209t/a</w:t>
            </w:r>
          </w:p>
        </w:tc>
      </w:tr>
      <w:tr w14:paraId="54BEDA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76DC158D">
            <w:pPr>
              <w:pStyle w:val="28"/>
              <w:bidi w:val="0"/>
              <w:rPr>
                <w:rFonts w:hint="eastAsia"/>
                <w:color w:val="auto"/>
              </w:rPr>
            </w:pPr>
          </w:p>
        </w:tc>
        <w:tc>
          <w:tcPr>
            <w:tcW w:w="1417" w:type="dxa"/>
            <w:noWrap w:val="0"/>
            <w:vAlign w:val="center"/>
          </w:tcPr>
          <w:p w14:paraId="10918309">
            <w:pPr>
              <w:pStyle w:val="28"/>
              <w:bidi w:val="0"/>
              <w:rPr>
                <w:rFonts w:hint="default"/>
                <w:color w:val="auto"/>
                <w:lang w:val="en-US" w:eastAsia="zh-CN"/>
              </w:rPr>
            </w:pPr>
            <w:r>
              <w:rPr>
                <w:rFonts w:hint="eastAsia"/>
                <w:color w:val="auto"/>
                <w:lang w:val="en-US" w:eastAsia="zh-CN"/>
              </w:rPr>
              <w:t>颗粒物</w:t>
            </w:r>
          </w:p>
        </w:tc>
        <w:tc>
          <w:tcPr>
            <w:tcW w:w="1701" w:type="dxa"/>
            <w:noWrap w:val="0"/>
            <w:vAlign w:val="center"/>
          </w:tcPr>
          <w:p w14:paraId="6A03ABF1">
            <w:pPr>
              <w:pStyle w:val="28"/>
              <w:bidi w:val="0"/>
              <w:rPr>
                <w:rFonts w:hint="default"/>
                <w:color w:val="auto"/>
                <w:lang w:val="en-US" w:eastAsia="zh-CN"/>
              </w:rPr>
            </w:pPr>
            <w:r>
              <w:rPr>
                <w:rFonts w:hint="eastAsia"/>
                <w:color w:val="auto"/>
                <w:lang w:val="en-US" w:eastAsia="zh-CN"/>
              </w:rPr>
              <w:t>/</w:t>
            </w:r>
          </w:p>
        </w:tc>
        <w:tc>
          <w:tcPr>
            <w:tcW w:w="1276" w:type="dxa"/>
            <w:noWrap w:val="0"/>
            <w:vAlign w:val="center"/>
          </w:tcPr>
          <w:p w14:paraId="4D128FC1">
            <w:pPr>
              <w:pStyle w:val="28"/>
              <w:bidi w:val="0"/>
              <w:rPr>
                <w:rFonts w:hint="default"/>
                <w:color w:val="auto"/>
                <w:lang w:val="en-US" w:eastAsia="zh-CN"/>
              </w:rPr>
            </w:pPr>
            <w:r>
              <w:rPr>
                <w:rFonts w:hint="eastAsia"/>
                <w:color w:val="auto"/>
                <w:lang w:val="en-US" w:eastAsia="zh-CN"/>
              </w:rPr>
              <w:t>/</w:t>
            </w:r>
          </w:p>
        </w:tc>
        <w:tc>
          <w:tcPr>
            <w:tcW w:w="1701" w:type="dxa"/>
            <w:noWrap w:val="0"/>
            <w:vAlign w:val="center"/>
          </w:tcPr>
          <w:p w14:paraId="0C93D0CF">
            <w:pPr>
              <w:pStyle w:val="28"/>
              <w:bidi w:val="0"/>
              <w:rPr>
                <w:rFonts w:hint="default"/>
                <w:color w:val="auto"/>
                <w:lang w:val="en-US" w:eastAsia="zh-CN"/>
              </w:rPr>
            </w:pPr>
            <w:r>
              <w:rPr>
                <w:rFonts w:hint="eastAsia"/>
                <w:color w:val="auto"/>
                <w:lang w:val="en-US" w:eastAsia="zh-CN"/>
              </w:rPr>
              <w:t>/</w:t>
            </w:r>
          </w:p>
        </w:tc>
        <w:tc>
          <w:tcPr>
            <w:tcW w:w="1559" w:type="dxa"/>
            <w:noWrap w:val="0"/>
            <w:vAlign w:val="center"/>
          </w:tcPr>
          <w:p w14:paraId="1140DDBF">
            <w:pPr>
              <w:pStyle w:val="28"/>
              <w:bidi w:val="0"/>
              <w:rPr>
                <w:rFonts w:hint="default"/>
                <w:color w:val="auto"/>
                <w:lang w:val="en-US" w:eastAsia="zh-CN"/>
              </w:rPr>
            </w:pPr>
            <w:r>
              <w:rPr>
                <w:rFonts w:hint="eastAsia"/>
                <w:color w:val="auto"/>
                <w:lang w:val="en-US" w:eastAsia="zh-CN"/>
              </w:rPr>
              <w:t>0.003t/a</w:t>
            </w:r>
          </w:p>
        </w:tc>
        <w:tc>
          <w:tcPr>
            <w:tcW w:w="1578" w:type="dxa"/>
            <w:noWrap w:val="0"/>
            <w:vAlign w:val="center"/>
          </w:tcPr>
          <w:p w14:paraId="5843B5A7">
            <w:pPr>
              <w:pStyle w:val="28"/>
              <w:bidi w:val="0"/>
              <w:rPr>
                <w:rFonts w:hint="default"/>
                <w:color w:val="auto"/>
                <w:lang w:val="en-US" w:eastAsia="zh-CN"/>
              </w:rPr>
            </w:pPr>
            <w:r>
              <w:rPr>
                <w:rFonts w:hint="eastAsia"/>
                <w:color w:val="auto"/>
                <w:lang w:val="en-US" w:eastAsia="zh-CN"/>
              </w:rPr>
              <w:t>/</w:t>
            </w:r>
          </w:p>
        </w:tc>
        <w:tc>
          <w:tcPr>
            <w:tcW w:w="1695" w:type="dxa"/>
            <w:noWrap w:val="0"/>
            <w:vAlign w:val="center"/>
          </w:tcPr>
          <w:p w14:paraId="20E5BF9A">
            <w:pPr>
              <w:pStyle w:val="28"/>
              <w:bidi w:val="0"/>
              <w:rPr>
                <w:rFonts w:hint="default"/>
                <w:color w:val="auto"/>
                <w:lang w:val="en-US" w:eastAsia="zh-CN"/>
              </w:rPr>
            </w:pPr>
            <w:r>
              <w:rPr>
                <w:rFonts w:hint="eastAsia"/>
                <w:color w:val="auto"/>
                <w:lang w:val="en-US" w:eastAsia="zh-CN"/>
              </w:rPr>
              <w:t>0.003t/a</w:t>
            </w:r>
          </w:p>
        </w:tc>
        <w:tc>
          <w:tcPr>
            <w:tcW w:w="1273" w:type="dxa"/>
            <w:noWrap w:val="0"/>
            <w:vAlign w:val="center"/>
          </w:tcPr>
          <w:p w14:paraId="0BF8AA26">
            <w:pPr>
              <w:pStyle w:val="28"/>
              <w:bidi w:val="0"/>
              <w:rPr>
                <w:rFonts w:hint="default"/>
                <w:color w:val="auto"/>
                <w:lang w:val="en-US" w:eastAsia="zh-CN"/>
              </w:rPr>
            </w:pPr>
            <w:r>
              <w:rPr>
                <w:rFonts w:hint="eastAsia"/>
                <w:color w:val="auto"/>
                <w:lang w:val="en-US" w:eastAsia="zh-CN"/>
              </w:rPr>
              <w:t>+0.003t/a</w:t>
            </w:r>
          </w:p>
        </w:tc>
      </w:tr>
      <w:tr w14:paraId="4FDC14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3D8FB8CD">
            <w:pPr>
              <w:pStyle w:val="28"/>
              <w:bidi w:val="0"/>
              <w:rPr>
                <w:rFonts w:hint="eastAsia"/>
                <w:color w:val="auto"/>
              </w:rPr>
            </w:pPr>
          </w:p>
        </w:tc>
        <w:tc>
          <w:tcPr>
            <w:tcW w:w="1417" w:type="dxa"/>
            <w:noWrap w:val="0"/>
            <w:vAlign w:val="center"/>
          </w:tcPr>
          <w:p w14:paraId="394B476E">
            <w:pPr>
              <w:pStyle w:val="28"/>
              <w:bidi w:val="0"/>
              <w:rPr>
                <w:rFonts w:hint="eastAsia"/>
                <w:color w:val="auto"/>
                <w:lang w:val="en-US" w:eastAsia="zh-CN"/>
              </w:rPr>
            </w:pPr>
            <w:r>
              <w:rPr>
                <w:rFonts w:hint="eastAsia"/>
                <w:color w:val="auto"/>
                <w:lang w:val="en-US" w:eastAsia="zh-CN"/>
              </w:rPr>
              <w:t>硝酸雾（以氮氧化物计</w:t>
            </w:r>
          </w:p>
        </w:tc>
        <w:tc>
          <w:tcPr>
            <w:tcW w:w="1701" w:type="dxa"/>
            <w:noWrap w:val="0"/>
            <w:vAlign w:val="center"/>
          </w:tcPr>
          <w:p w14:paraId="283D2C81">
            <w:pPr>
              <w:pStyle w:val="28"/>
              <w:bidi w:val="0"/>
              <w:rPr>
                <w:rFonts w:hint="default"/>
                <w:color w:val="auto"/>
                <w:lang w:val="en-US" w:eastAsia="zh-CN"/>
              </w:rPr>
            </w:pPr>
            <w:r>
              <w:rPr>
                <w:rFonts w:hint="eastAsia"/>
                <w:color w:val="auto"/>
                <w:lang w:val="en-US" w:eastAsia="zh-CN"/>
              </w:rPr>
              <w:t>/</w:t>
            </w:r>
          </w:p>
        </w:tc>
        <w:tc>
          <w:tcPr>
            <w:tcW w:w="1276" w:type="dxa"/>
            <w:noWrap w:val="0"/>
            <w:vAlign w:val="center"/>
          </w:tcPr>
          <w:p w14:paraId="34D3DF0B">
            <w:pPr>
              <w:pStyle w:val="28"/>
              <w:bidi w:val="0"/>
              <w:rPr>
                <w:rFonts w:hint="default"/>
                <w:color w:val="auto"/>
                <w:lang w:val="en-US" w:eastAsia="zh-CN"/>
              </w:rPr>
            </w:pPr>
            <w:r>
              <w:rPr>
                <w:rFonts w:hint="eastAsia"/>
                <w:color w:val="auto"/>
                <w:lang w:val="en-US" w:eastAsia="zh-CN"/>
              </w:rPr>
              <w:t>/</w:t>
            </w:r>
          </w:p>
        </w:tc>
        <w:tc>
          <w:tcPr>
            <w:tcW w:w="1701" w:type="dxa"/>
            <w:noWrap w:val="0"/>
            <w:vAlign w:val="center"/>
          </w:tcPr>
          <w:p w14:paraId="33247810">
            <w:pPr>
              <w:pStyle w:val="28"/>
              <w:bidi w:val="0"/>
              <w:rPr>
                <w:rFonts w:hint="default"/>
                <w:color w:val="auto"/>
                <w:lang w:val="en-US" w:eastAsia="zh-CN"/>
              </w:rPr>
            </w:pPr>
            <w:r>
              <w:rPr>
                <w:rFonts w:hint="eastAsia"/>
                <w:color w:val="auto"/>
                <w:lang w:val="en-US" w:eastAsia="zh-CN"/>
              </w:rPr>
              <w:t>/</w:t>
            </w:r>
          </w:p>
        </w:tc>
        <w:tc>
          <w:tcPr>
            <w:tcW w:w="1559" w:type="dxa"/>
            <w:noWrap w:val="0"/>
            <w:vAlign w:val="center"/>
          </w:tcPr>
          <w:p w14:paraId="7FDAD5D4">
            <w:pPr>
              <w:pStyle w:val="28"/>
              <w:bidi w:val="0"/>
              <w:rPr>
                <w:rFonts w:hint="default"/>
                <w:color w:val="auto"/>
                <w:lang w:val="en-US" w:eastAsia="zh-CN"/>
              </w:rPr>
            </w:pPr>
            <w:r>
              <w:rPr>
                <w:rFonts w:hint="eastAsia"/>
                <w:color w:val="auto"/>
                <w:lang w:val="en-US" w:eastAsia="zh-CN"/>
              </w:rPr>
              <w:t>0.2638t/a</w:t>
            </w:r>
          </w:p>
        </w:tc>
        <w:tc>
          <w:tcPr>
            <w:tcW w:w="1578" w:type="dxa"/>
            <w:noWrap w:val="0"/>
            <w:vAlign w:val="center"/>
          </w:tcPr>
          <w:p w14:paraId="00B5B6CF">
            <w:pPr>
              <w:pStyle w:val="28"/>
              <w:bidi w:val="0"/>
              <w:rPr>
                <w:rFonts w:hint="default"/>
                <w:color w:val="auto"/>
                <w:lang w:val="en-US" w:eastAsia="zh-CN"/>
              </w:rPr>
            </w:pPr>
            <w:r>
              <w:rPr>
                <w:rFonts w:hint="eastAsia"/>
                <w:color w:val="auto"/>
                <w:lang w:val="en-US" w:eastAsia="zh-CN"/>
              </w:rPr>
              <w:t>/</w:t>
            </w:r>
          </w:p>
        </w:tc>
        <w:tc>
          <w:tcPr>
            <w:tcW w:w="1695" w:type="dxa"/>
            <w:noWrap w:val="0"/>
            <w:vAlign w:val="center"/>
          </w:tcPr>
          <w:p w14:paraId="73358572">
            <w:pPr>
              <w:pStyle w:val="28"/>
              <w:bidi w:val="0"/>
              <w:rPr>
                <w:rFonts w:hint="eastAsia"/>
                <w:color w:val="auto"/>
                <w:lang w:val="en-US" w:eastAsia="zh-CN"/>
              </w:rPr>
            </w:pPr>
            <w:r>
              <w:rPr>
                <w:rFonts w:hint="eastAsia"/>
                <w:color w:val="auto"/>
                <w:lang w:val="en-US" w:eastAsia="zh-CN"/>
              </w:rPr>
              <w:t>0.2638t/a</w:t>
            </w:r>
          </w:p>
        </w:tc>
        <w:tc>
          <w:tcPr>
            <w:tcW w:w="1273" w:type="dxa"/>
            <w:noWrap w:val="0"/>
            <w:vAlign w:val="center"/>
          </w:tcPr>
          <w:p w14:paraId="1E238202">
            <w:pPr>
              <w:pStyle w:val="28"/>
              <w:bidi w:val="0"/>
              <w:rPr>
                <w:rFonts w:hint="eastAsia"/>
                <w:color w:val="auto"/>
                <w:lang w:val="en-US" w:eastAsia="zh-CN"/>
              </w:rPr>
            </w:pPr>
            <w:r>
              <w:rPr>
                <w:rFonts w:hint="eastAsia"/>
                <w:color w:val="auto"/>
                <w:lang w:val="en-US" w:eastAsia="zh-CN"/>
              </w:rPr>
              <w:t>+0.2638t/a</w:t>
            </w:r>
          </w:p>
        </w:tc>
      </w:tr>
      <w:tr w14:paraId="5F65BF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32756A4A">
            <w:pPr>
              <w:pStyle w:val="28"/>
              <w:bidi w:val="0"/>
              <w:rPr>
                <w:rFonts w:hint="eastAsia"/>
                <w:color w:val="auto"/>
              </w:rPr>
            </w:pPr>
          </w:p>
        </w:tc>
        <w:tc>
          <w:tcPr>
            <w:tcW w:w="1417" w:type="dxa"/>
            <w:noWrap w:val="0"/>
            <w:vAlign w:val="center"/>
          </w:tcPr>
          <w:p w14:paraId="6F52D2CF">
            <w:pPr>
              <w:pStyle w:val="28"/>
              <w:bidi w:val="0"/>
              <w:rPr>
                <w:rFonts w:hint="default"/>
                <w:color w:val="auto"/>
                <w:lang w:val="en-US" w:eastAsia="zh-CN"/>
              </w:rPr>
            </w:pPr>
            <w:r>
              <w:rPr>
                <w:rFonts w:hint="eastAsia"/>
                <w:color w:val="auto"/>
                <w:lang w:val="en-US" w:eastAsia="zh-CN"/>
              </w:rPr>
              <w:t>氨</w:t>
            </w:r>
          </w:p>
        </w:tc>
        <w:tc>
          <w:tcPr>
            <w:tcW w:w="1701" w:type="dxa"/>
            <w:noWrap w:val="0"/>
            <w:vAlign w:val="center"/>
          </w:tcPr>
          <w:p w14:paraId="5015D32B">
            <w:pPr>
              <w:pStyle w:val="28"/>
              <w:bidi w:val="0"/>
              <w:rPr>
                <w:rFonts w:hint="default"/>
                <w:color w:val="auto"/>
                <w:lang w:val="en-US" w:eastAsia="zh-CN"/>
              </w:rPr>
            </w:pPr>
            <w:r>
              <w:rPr>
                <w:rFonts w:hint="eastAsia"/>
                <w:color w:val="auto"/>
                <w:lang w:val="en-US" w:eastAsia="zh-CN"/>
              </w:rPr>
              <w:t>/</w:t>
            </w:r>
          </w:p>
        </w:tc>
        <w:tc>
          <w:tcPr>
            <w:tcW w:w="1276" w:type="dxa"/>
            <w:noWrap w:val="0"/>
            <w:vAlign w:val="center"/>
          </w:tcPr>
          <w:p w14:paraId="395C2F0A">
            <w:pPr>
              <w:pStyle w:val="28"/>
              <w:bidi w:val="0"/>
              <w:rPr>
                <w:rFonts w:hint="default"/>
                <w:color w:val="auto"/>
                <w:lang w:val="en-US" w:eastAsia="zh-CN"/>
              </w:rPr>
            </w:pPr>
            <w:r>
              <w:rPr>
                <w:rFonts w:hint="eastAsia"/>
                <w:color w:val="auto"/>
                <w:lang w:val="en-US" w:eastAsia="zh-CN"/>
              </w:rPr>
              <w:t>/</w:t>
            </w:r>
          </w:p>
        </w:tc>
        <w:tc>
          <w:tcPr>
            <w:tcW w:w="1701" w:type="dxa"/>
            <w:noWrap w:val="0"/>
            <w:vAlign w:val="center"/>
          </w:tcPr>
          <w:p w14:paraId="451B6BC0">
            <w:pPr>
              <w:pStyle w:val="28"/>
              <w:bidi w:val="0"/>
              <w:rPr>
                <w:rFonts w:hint="default"/>
                <w:color w:val="auto"/>
                <w:lang w:val="en-US" w:eastAsia="zh-CN"/>
              </w:rPr>
            </w:pPr>
            <w:r>
              <w:rPr>
                <w:rFonts w:hint="eastAsia"/>
                <w:color w:val="auto"/>
                <w:lang w:val="en-US" w:eastAsia="zh-CN"/>
              </w:rPr>
              <w:t>/</w:t>
            </w:r>
          </w:p>
        </w:tc>
        <w:tc>
          <w:tcPr>
            <w:tcW w:w="1559" w:type="dxa"/>
            <w:noWrap w:val="0"/>
            <w:vAlign w:val="center"/>
          </w:tcPr>
          <w:p w14:paraId="280912D2">
            <w:pPr>
              <w:pStyle w:val="28"/>
              <w:bidi w:val="0"/>
              <w:rPr>
                <w:rFonts w:hint="default"/>
                <w:color w:val="auto"/>
                <w:lang w:val="en-US" w:eastAsia="zh-CN"/>
              </w:rPr>
            </w:pPr>
            <w:r>
              <w:rPr>
                <w:rFonts w:hint="eastAsia" w:ascii="Times New Roman" w:hAnsi="Times New Roman" w:eastAsia="宋体" w:cs="Times New Roman"/>
                <w:color w:val="auto"/>
                <w:kern w:val="0"/>
                <w:sz w:val="21"/>
                <w:szCs w:val="21"/>
                <w:lang w:val="en-US" w:eastAsia="zh-CN" w:bidi="ar-SA"/>
              </w:rPr>
              <w:t>0.0000243</w:t>
            </w:r>
            <w:r>
              <w:rPr>
                <w:rFonts w:hint="eastAsia" w:cs="Times New Roman"/>
                <w:color w:val="auto"/>
                <w:kern w:val="0"/>
                <w:sz w:val="21"/>
                <w:szCs w:val="21"/>
                <w:lang w:val="en-US" w:eastAsia="zh-CN" w:bidi="ar-SA"/>
              </w:rPr>
              <w:t>t/a</w:t>
            </w:r>
          </w:p>
        </w:tc>
        <w:tc>
          <w:tcPr>
            <w:tcW w:w="1578" w:type="dxa"/>
            <w:noWrap w:val="0"/>
            <w:vAlign w:val="center"/>
          </w:tcPr>
          <w:p w14:paraId="786DA29F">
            <w:pPr>
              <w:pStyle w:val="28"/>
              <w:bidi w:val="0"/>
              <w:rPr>
                <w:rFonts w:hint="default"/>
                <w:color w:val="auto"/>
                <w:lang w:val="en-US" w:eastAsia="zh-CN"/>
              </w:rPr>
            </w:pPr>
            <w:r>
              <w:rPr>
                <w:rFonts w:hint="eastAsia"/>
                <w:color w:val="auto"/>
                <w:lang w:val="en-US" w:eastAsia="zh-CN"/>
              </w:rPr>
              <w:t>/</w:t>
            </w:r>
          </w:p>
        </w:tc>
        <w:tc>
          <w:tcPr>
            <w:tcW w:w="1695" w:type="dxa"/>
            <w:noWrap w:val="0"/>
            <w:vAlign w:val="center"/>
          </w:tcPr>
          <w:p w14:paraId="600C4950">
            <w:pPr>
              <w:pStyle w:val="28"/>
              <w:bidi w:val="0"/>
              <w:rPr>
                <w:rFonts w:hint="eastAsia"/>
                <w:color w:val="auto"/>
                <w:lang w:val="en-US" w:eastAsia="zh-CN"/>
              </w:rPr>
            </w:pPr>
            <w:r>
              <w:rPr>
                <w:rFonts w:hint="eastAsia" w:ascii="Times New Roman" w:hAnsi="Times New Roman" w:eastAsia="宋体" w:cs="Times New Roman"/>
                <w:color w:val="auto"/>
                <w:kern w:val="0"/>
                <w:sz w:val="21"/>
                <w:szCs w:val="21"/>
                <w:lang w:val="en-US" w:eastAsia="zh-CN" w:bidi="ar-SA"/>
              </w:rPr>
              <w:t>0.0000243</w:t>
            </w:r>
            <w:r>
              <w:rPr>
                <w:rFonts w:hint="eastAsia" w:cs="Times New Roman"/>
                <w:color w:val="auto"/>
                <w:kern w:val="0"/>
                <w:sz w:val="21"/>
                <w:szCs w:val="21"/>
                <w:lang w:val="en-US" w:eastAsia="zh-CN" w:bidi="ar-SA"/>
              </w:rPr>
              <w:t>t/a</w:t>
            </w:r>
          </w:p>
        </w:tc>
        <w:tc>
          <w:tcPr>
            <w:tcW w:w="1273" w:type="dxa"/>
            <w:noWrap w:val="0"/>
            <w:vAlign w:val="center"/>
          </w:tcPr>
          <w:p w14:paraId="40379ADB">
            <w:pPr>
              <w:pStyle w:val="28"/>
              <w:bidi w:val="0"/>
              <w:rPr>
                <w:rFonts w:hint="eastAsia"/>
                <w:color w:val="auto"/>
                <w:lang w:val="en-US" w:eastAsia="zh-CN"/>
              </w:rPr>
            </w:pPr>
            <w:r>
              <w:rPr>
                <w:rFonts w:hint="eastAsia" w:cs="Times New Roman"/>
                <w:color w:val="auto"/>
                <w:kern w:val="0"/>
                <w:sz w:val="21"/>
                <w:szCs w:val="21"/>
                <w:lang w:val="en-US" w:eastAsia="zh-CN" w:bidi="ar-SA"/>
              </w:rPr>
              <w:t>+</w:t>
            </w:r>
            <w:r>
              <w:rPr>
                <w:rFonts w:hint="eastAsia" w:ascii="Times New Roman" w:hAnsi="Times New Roman" w:eastAsia="宋体" w:cs="Times New Roman"/>
                <w:color w:val="auto"/>
                <w:kern w:val="0"/>
                <w:sz w:val="21"/>
                <w:szCs w:val="21"/>
                <w:lang w:val="en-US" w:eastAsia="zh-CN" w:bidi="ar-SA"/>
              </w:rPr>
              <w:t>0.0000243</w:t>
            </w:r>
            <w:r>
              <w:rPr>
                <w:rFonts w:hint="eastAsia" w:cs="Times New Roman"/>
                <w:color w:val="auto"/>
                <w:kern w:val="0"/>
                <w:sz w:val="21"/>
                <w:szCs w:val="21"/>
                <w:lang w:val="en-US" w:eastAsia="zh-CN" w:bidi="ar-SA"/>
              </w:rPr>
              <w:t>t/a</w:t>
            </w:r>
          </w:p>
        </w:tc>
      </w:tr>
      <w:tr w14:paraId="40F4B6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restart"/>
            <w:noWrap w:val="0"/>
            <w:vAlign w:val="center"/>
          </w:tcPr>
          <w:p w14:paraId="1EFAB4A4">
            <w:pPr>
              <w:pStyle w:val="28"/>
              <w:bidi w:val="0"/>
              <w:rPr>
                <w:rFonts w:hint="eastAsia"/>
                <w:color w:val="auto"/>
              </w:rPr>
            </w:pPr>
            <w:r>
              <w:rPr>
                <w:rFonts w:hint="eastAsia"/>
                <w:color w:val="auto"/>
              </w:rPr>
              <w:t>废水</w:t>
            </w:r>
          </w:p>
        </w:tc>
        <w:tc>
          <w:tcPr>
            <w:tcW w:w="1417" w:type="dxa"/>
            <w:noWrap w:val="0"/>
            <w:vAlign w:val="center"/>
          </w:tcPr>
          <w:p w14:paraId="4483B4B8">
            <w:pPr>
              <w:pStyle w:val="28"/>
              <w:bidi w:val="0"/>
              <w:rPr>
                <w:rFonts w:hint="default" w:eastAsia="宋体"/>
                <w:color w:val="auto"/>
                <w:lang w:val="en-US" w:eastAsia="zh-CN"/>
              </w:rPr>
            </w:pPr>
            <w:r>
              <w:rPr>
                <w:rFonts w:hint="eastAsia"/>
                <w:color w:val="auto"/>
                <w:lang w:val="en-US" w:eastAsia="zh-CN"/>
              </w:rPr>
              <w:t>SS</w:t>
            </w:r>
          </w:p>
        </w:tc>
        <w:tc>
          <w:tcPr>
            <w:tcW w:w="1701" w:type="dxa"/>
            <w:noWrap w:val="0"/>
            <w:vAlign w:val="center"/>
          </w:tcPr>
          <w:p w14:paraId="5E3A4F04">
            <w:pPr>
              <w:pStyle w:val="28"/>
              <w:bidi w:val="0"/>
              <w:rPr>
                <w:rFonts w:hint="eastAsia" w:eastAsia="宋体"/>
                <w:color w:val="auto"/>
                <w:lang w:val="en-US" w:eastAsia="zh-CN"/>
              </w:rPr>
            </w:pPr>
            <w:r>
              <w:rPr>
                <w:rFonts w:hint="eastAsia"/>
                <w:color w:val="auto"/>
                <w:lang w:val="en-US" w:eastAsia="zh-CN"/>
              </w:rPr>
              <w:t>/</w:t>
            </w:r>
          </w:p>
        </w:tc>
        <w:tc>
          <w:tcPr>
            <w:tcW w:w="1276" w:type="dxa"/>
            <w:noWrap w:val="0"/>
            <w:vAlign w:val="center"/>
          </w:tcPr>
          <w:p w14:paraId="66904302">
            <w:pPr>
              <w:pStyle w:val="28"/>
              <w:bidi w:val="0"/>
              <w:rPr>
                <w:color w:val="auto"/>
              </w:rPr>
            </w:pPr>
            <w:r>
              <w:rPr>
                <w:rFonts w:hint="eastAsia"/>
                <w:color w:val="auto"/>
                <w:lang w:val="en-US" w:eastAsia="zh-CN"/>
              </w:rPr>
              <w:t>/</w:t>
            </w:r>
          </w:p>
        </w:tc>
        <w:tc>
          <w:tcPr>
            <w:tcW w:w="1701" w:type="dxa"/>
            <w:noWrap w:val="0"/>
            <w:vAlign w:val="center"/>
          </w:tcPr>
          <w:p w14:paraId="5819E735">
            <w:pPr>
              <w:pStyle w:val="28"/>
              <w:bidi w:val="0"/>
              <w:rPr>
                <w:color w:val="auto"/>
              </w:rPr>
            </w:pPr>
            <w:r>
              <w:rPr>
                <w:rFonts w:hint="eastAsia"/>
                <w:color w:val="auto"/>
                <w:lang w:val="en-US" w:eastAsia="zh-CN"/>
              </w:rPr>
              <w:t>/</w:t>
            </w:r>
          </w:p>
        </w:tc>
        <w:tc>
          <w:tcPr>
            <w:tcW w:w="1559" w:type="dxa"/>
            <w:noWrap w:val="0"/>
            <w:vAlign w:val="center"/>
          </w:tcPr>
          <w:p w14:paraId="6D353958">
            <w:pPr>
              <w:pStyle w:val="28"/>
              <w:bidi w:val="0"/>
              <w:rPr>
                <w:rFonts w:hint="default" w:eastAsia="宋体"/>
                <w:color w:val="auto"/>
                <w:lang w:val="en-US" w:eastAsia="zh-CN"/>
              </w:rPr>
            </w:pPr>
            <w:r>
              <w:rPr>
                <w:rFonts w:hint="eastAsia"/>
                <w:color w:val="auto"/>
                <w:lang w:val="en-US" w:eastAsia="zh-CN"/>
              </w:rPr>
              <w:t>0.1142t/a</w:t>
            </w:r>
          </w:p>
        </w:tc>
        <w:tc>
          <w:tcPr>
            <w:tcW w:w="1578" w:type="dxa"/>
            <w:noWrap w:val="0"/>
            <w:vAlign w:val="center"/>
          </w:tcPr>
          <w:p w14:paraId="6827BCBF">
            <w:pPr>
              <w:pStyle w:val="28"/>
              <w:bidi w:val="0"/>
              <w:rPr>
                <w:rFonts w:hint="default" w:ascii="Times New Roman" w:hAnsi="Times New Roman" w:eastAsia="宋体"/>
                <w:color w:val="auto"/>
                <w:kern w:val="0"/>
                <w:sz w:val="21"/>
                <w:szCs w:val="20"/>
                <w:lang w:val="en-US" w:eastAsia="zh-CN" w:bidi="ar-SA"/>
              </w:rPr>
            </w:pPr>
            <w:r>
              <w:rPr>
                <w:rFonts w:hint="eastAsia"/>
                <w:color w:val="auto"/>
                <w:kern w:val="0"/>
                <w:sz w:val="21"/>
                <w:szCs w:val="20"/>
                <w:lang w:val="en-US" w:eastAsia="zh-CN" w:bidi="ar-SA"/>
              </w:rPr>
              <w:t>/</w:t>
            </w:r>
          </w:p>
        </w:tc>
        <w:tc>
          <w:tcPr>
            <w:tcW w:w="1695" w:type="dxa"/>
            <w:noWrap w:val="0"/>
            <w:vAlign w:val="center"/>
          </w:tcPr>
          <w:p w14:paraId="1315136E">
            <w:pPr>
              <w:pStyle w:val="28"/>
              <w:bidi w:val="0"/>
              <w:rPr>
                <w:color w:val="auto"/>
              </w:rPr>
            </w:pPr>
            <w:r>
              <w:rPr>
                <w:rFonts w:hint="eastAsia"/>
                <w:color w:val="auto"/>
                <w:lang w:val="en-US" w:eastAsia="zh-CN"/>
              </w:rPr>
              <w:t>0.1142t/a</w:t>
            </w:r>
          </w:p>
        </w:tc>
        <w:tc>
          <w:tcPr>
            <w:tcW w:w="1273" w:type="dxa"/>
            <w:noWrap w:val="0"/>
            <w:vAlign w:val="center"/>
          </w:tcPr>
          <w:p w14:paraId="33A26B19">
            <w:pPr>
              <w:pStyle w:val="28"/>
              <w:bidi w:val="0"/>
              <w:rPr>
                <w:rFonts w:hint="default" w:ascii="Times New Roman" w:hAnsi="Times New Roman" w:eastAsia="宋体"/>
                <w:color w:val="auto"/>
                <w:kern w:val="0"/>
                <w:sz w:val="21"/>
                <w:szCs w:val="20"/>
                <w:lang w:val="en-US" w:eastAsia="zh-CN" w:bidi="ar-SA"/>
              </w:rPr>
            </w:pPr>
            <w:r>
              <w:rPr>
                <w:rFonts w:hint="eastAsia"/>
                <w:color w:val="auto"/>
                <w:lang w:val="en-US" w:eastAsia="zh-CN"/>
              </w:rPr>
              <w:t>+0.1142t/a</w:t>
            </w:r>
          </w:p>
        </w:tc>
      </w:tr>
      <w:tr w14:paraId="4D03F8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054F6057">
            <w:pPr>
              <w:pStyle w:val="28"/>
              <w:bidi w:val="0"/>
              <w:rPr>
                <w:rFonts w:hint="eastAsia"/>
                <w:color w:val="auto"/>
              </w:rPr>
            </w:pPr>
          </w:p>
        </w:tc>
        <w:tc>
          <w:tcPr>
            <w:tcW w:w="1417" w:type="dxa"/>
            <w:noWrap w:val="0"/>
            <w:vAlign w:val="center"/>
          </w:tcPr>
          <w:p w14:paraId="435EBD4A">
            <w:pPr>
              <w:pStyle w:val="28"/>
              <w:bidi w:val="0"/>
              <w:rPr>
                <w:rFonts w:hint="default" w:eastAsia="宋体"/>
                <w:color w:val="auto"/>
                <w:lang w:val="en-US" w:eastAsia="zh-CN"/>
              </w:rPr>
            </w:pPr>
            <w:r>
              <w:rPr>
                <w:rFonts w:hint="eastAsia"/>
                <w:color w:val="auto"/>
                <w:lang w:val="en-US" w:eastAsia="zh-CN"/>
              </w:rPr>
              <w:t>COD</w:t>
            </w:r>
          </w:p>
        </w:tc>
        <w:tc>
          <w:tcPr>
            <w:tcW w:w="1701" w:type="dxa"/>
            <w:noWrap w:val="0"/>
            <w:vAlign w:val="center"/>
          </w:tcPr>
          <w:p w14:paraId="25668F60">
            <w:pPr>
              <w:pStyle w:val="28"/>
              <w:bidi w:val="0"/>
              <w:rPr>
                <w:rFonts w:hint="eastAsia" w:eastAsia="宋体"/>
                <w:color w:val="auto"/>
                <w:lang w:val="en-US" w:eastAsia="zh-CN"/>
              </w:rPr>
            </w:pPr>
            <w:r>
              <w:rPr>
                <w:rFonts w:hint="eastAsia"/>
                <w:color w:val="auto"/>
                <w:lang w:val="en-US" w:eastAsia="zh-CN"/>
              </w:rPr>
              <w:t>/</w:t>
            </w:r>
          </w:p>
        </w:tc>
        <w:tc>
          <w:tcPr>
            <w:tcW w:w="1276" w:type="dxa"/>
            <w:noWrap w:val="0"/>
            <w:vAlign w:val="center"/>
          </w:tcPr>
          <w:p w14:paraId="199FC06F">
            <w:pPr>
              <w:pStyle w:val="28"/>
              <w:bidi w:val="0"/>
              <w:rPr>
                <w:color w:val="auto"/>
              </w:rPr>
            </w:pPr>
            <w:r>
              <w:rPr>
                <w:rFonts w:hint="eastAsia"/>
                <w:color w:val="auto"/>
                <w:lang w:val="en-US" w:eastAsia="zh-CN"/>
              </w:rPr>
              <w:t>/</w:t>
            </w:r>
          </w:p>
        </w:tc>
        <w:tc>
          <w:tcPr>
            <w:tcW w:w="1701" w:type="dxa"/>
            <w:noWrap w:val="0"/>
            <w:vAlign w:val="center"/>
          </w:tcPr>
          <w:p w14:paraId="6F7C8359">
            <w:pPr>
              <w:pStyle w:val="28"/>
              <w:bidi w:val="0"/>
              <w:rPr>
                <w:color w:val="auto"/>
              </w:rPr>
            </w:pPr>
            <w:r>
              <w:rPr>
                <w:rFonts w:hint="eastAsia"/>
                <w:color w:val="auto"/>
                <w:lang w:val="en-US" w:eastAsia="zh-CN"/>
              </w:rPr>
              <w:t>/</w:t>
            </w:r>
          </w:p>
        </w:tc>
        <w:tc>
          <w:tcPr>
            <w:tcW w:w="1559" w:type="dxa"/>
            <w:noWrap w:val="0"/>
            <w:vAlign w:val="center"/>
          </w:tcPr>
          <w:p w14:paraId="662A8E81">
            <w:pPr>
              <w:pStyle w:val="28"/>
              <w:bidi w:val="0"/>
              <w:rPr>
                <w:rFonts w:hint="default" w:eastAsia="宋体"/>
                <w:color w:val="auto"/>
                <w:lang w:val="en-US" w:eastAsia="zh-CN"/>
              </w:rPr>
            </w:pPr>
            <w:r>
              <w:rPr>
                <w:rFonts w:hint="eastAsia"/>
                <w:color w:val="auto"/>
                <w:lang w:val="en-US" w:eastAsia="zh-CN"/>
              </w:rPr>
              <w:t>0.358t/a</w:t>
            </w:r>
          </w:p>
        </w:tc>
        <w:tc>
          <w:tcPr>
            <w:tcW w:w="1578" w:type="dxa"/>
            <w:noWrap w:val="0"/>
            <w:vAlign w:val="center"/>
          </w:tcPr>
          <w:p w14:paraId="19FE3950">
            <w:pPr>
              <w:pStyle w:val="28"/>
              <w:bidi w:val="0"/>
              <w:rPr>
                <w:rFonts w:hint="default" w:ascii="Times New Roman" w:hAnsi="Times New Roman" w:eastAsia="宋体"/>
                <w:color w:val="auto"/>
                <w:kern w:val="0"/>
                <w:sz w:val="21"/>
                <w:szCs w:val="20"/>
                <w:lang w:val="en-US" w:eastAsia="zh-CN" w:bidi="ar-SA"/>
              </w:rPr>
            </w:pPr>
            <w:r>
              <w:rPr>
                <w:rFonts w:hint="eastAsia"/>
                <w:color w:val="auto"/>
                <w:kern w:val="0"/>
                <w:sz w:val="21"/>
                <w:szCs w:val="20"/>
                <w:lang w:val="en-US" w:eastAsia="zh-CN" w:bidi="ar-SA"/>
              </w:rPr>
              <w:t>/</w:t>
            </w:r>
          </w:p>
        </w:tc>
        <w:tc>
          <w:tcPr>
            <w:tcW w:w="1695" w:type="dxa"/>
            <w:noWrap w:val="0"/>
            <w:vAlign w:val="center"/>
          </w:tcPr>
          <w:p w14:paraId="4D9272C3">
            <w:pPr>
              <w:pStyle w:val="28"/>
              <w:bidi w:val="0"/>
              <w:rPr>
                <w:color w:val="auto"/>
              </w:rPr>
            </w:pPr>
            <w:r>
              <w:rPr>
                <w:rFonts w:hint="eastAsia"/>
                <w:color w:val="auto"/>
                <w:lang w:val="en-US" w:eastAsia="zh-CN"/>
              </w:rPr>
              <w:t>0.358t/a</w:t>
            </w:r>
          </w:p>
        </w:tc>
        <w:tc>
          <w:tcPr>
            <w:tcW w:w="1273" w:type="dxa"/>
            <w:noWrap w:val="0"/>
            <w:vAlign w:val="center"/>
          </w:tcPr>
          <w:p w14:paraId="0C9D0E41">
            <w:pPr>
              <w:pStyle w:val="28"/>
              <w:bidi w:val="0"/>
              <w:rPr>
                <w:rFonts w:hint="default" w:ascii="Times New Roman" w:hAnsi="Times New Roman" w:eastAsia="宋体"/>
                <w:color w:val="auto"/>
                <w:kern w:val="0"/>
                <w:sz w:val="21"/>
                <w:szCs w:val="20"/>
                <w:lang w:val="en-US" w:eastAsia="zh-CN" w:bidi="ar-SA"/>
              </w:rPr>
            </w:pPr>
            <w:r>
              <w:rPr>
                <w:rFonts w:hint="eastAsia"/>
                <w:color w:val="auto"/>
                <w:lang w:val="en-US" w:eastAsia="zh-CN"/>
              </w:rPr>
              <w:t>+0.358t/a</w:t>
            </w:r>
          </w:p>
        </w:tc>
      </w:tr>
      <w:tr w14:paraId="19B809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7C9650EF">
            <w:pPr>
              <w:pStyle w:val="28"/>
              <w:bidi w:val="0"/>
              <w:rPr>
                <w:rFonts w:hint="eastAsia"/>
                <w:color w:val="auto"/>
              </w:rPr>
            </w:pPr>
          </w:p>
        </w:tc>
        <w:tc>
          <w:tcPr>
            <w:tcW w:w="1417" w:type="dxa"/>
            <w:noWrap w:val="0"/>
            <w:vAlign w:val="center"/>
          </w:tcPr>
          <w:p w14:paraId="015865A7">
            <w:pPr>
              <w:pStyle w:val="28"/>
              <w:bidi w:val="0"/>
              <w:rPr>
                <w:rFonts w:hint="default" w:eastAsia="宋体"/>
                <w:color w:val="auto"/>
                <w:lang w:val="en-US" w:eastAsia="zh-CN"/>
              </w:rPr>
            </w:pPr>
            <w:r>
              <w:rPr>
                <w:rFonts w:hint="eastAsia"/>
                <w:color w:val="auto"/>
                <w:lang w:val="en-US" w:eastAsia="zh-CN"/>
              </w:rPr>
              <w:t>BOD</w:t>
            </w:r>
            <w:r>
              <w:rPr>
                <w:rFonts w:hint="eastAsia"/>
                <w:color w:val="auto"/>
                <w:vertAlign w:val="subscript"/>
                <w:lang w:val="en-US" w:eastAsia="zh-CN"/>
              </w:rPr>
              <w:t>5</w:t>
            </w:r>
          </w:p>
        </w:tc>
        <w:tc>
          <w:tcPr>
            <w:tcW w:w="1701" w:type="dxa"/>
            <w:noWrap w:val="0"/>
            <w:vAlign w:val="center"/>
          </w:tcPr>
          <w:p w14:paraId="15035FD2">
            <w:pPr>
              <w:pStyle w:val="28"/>
              <w:bidi w:val="0"/>
              <w:rPr>
                <w:rFonts w:hint="default" w:eastAsia="宋体"/>
                <w:color w:val="auto"/>
                <w:lang w:val="en-US" w:eastAsia="zh-CN"/>
              </w:rPr>
            </w:pPr>
            <w:r>
              <w:rPr>
                <w:rFonts w:hint="eastAsia"/>
                <w:color w:val="auto"/>
                <w:lang w:val="en-US" w:eastAsia="zh-CN"/>
              </w:rPr>
              <w:t>/</w:t>
            </w:r>
          </w:p>
        </w:tc>
        <w:tc>
          <w:tcPr>
            <w:tcW w:w="1276" w:type="dxa"/>
            <w:noWrap w:val="0"/>
            <w:vAlign w:val="center"/>
          </w:tcPr>
          <w:p w14:paraId="6873A97D">
            <w:pPr>
              <w:pStyle w:val="28"/>
              <w:bidi w:val="0"/>
              <w:rPr>
                <w:color w:val="auto"/>
              </w:rPr>
            </w:pPr>
            <w:r>
              <w:rPr>
                <w:rFonts w:hint="eastAsia"/>
                <w:color w:val="auto"/>
                <w:lang w:val="en-US" w:eastAsia="zh-CN"/>
              </w:rPr>
              <w:t>/</w:t>
            </w:r>
          </w:p>
        </w:tc>
        <w:tc>
          <w:tcPr>
            <w:tcW w:w="1701" w:type="dxa"/>
            <w:noWrap w:val="0"/>
            <w:vAlign w:val="center"/>
          </w:tcPr>
          <w:p w14:paraId="53D45CF2">
            <w:pPr>
              <w:pStyle w:val="28"/>
              <w:bidi w:val="0"/>
              <w:rPr>
                <w:color w:val="auto"/>
              </w:rPr>
            </w:pPr>
            <w:r>
              <w:rPr>
                <w:rFonts w:hint="eastAsia"/>
                <w:color w:val="auto"/>
                <w:lang w:val="en-US" w:eastAsia="zh-CN"/>
              </w:rPr>
              <w:t>/</w:t>
            </w:r>
          </w:p>
        </w:tc>
        <w:tc>
          <w:tcPr>
            <w:tcW w:w="1559" w:type="dxa"/>
            <w:noWrap w:val="0"/>
            <w:vAlign w:val="center"/>
          </w:tcPr>
          <w:p w14:paraId="4B20B7C5">
            <w:pPr>
              <w:pStyle w:val="28"/>
              <w:bidi w:val="0"/>
              <w:rPr>
                <w:rFonts w:hint="default" w:eastAsia="宋体"/>
                <w:color w:val="auto"/>
                <w:lang w:val="en-US" w:eastAsia="zh-CN"/>
              </w:rPr>
            </w:pPr>
            <w:r>
              <w:rPr>
                <w:rFonts w:hint="eastAsia"/>
                <w:color w:val="auto"/>
                <w:lang w:val="en-US" w:eastAsia="zh-CN"/>
              </w:rPr>
              <w:t>0.1224t/a</w:t>
            </w:r>
          </w:p>
        </w:tc>
        <w:tc>
          <w:tcPr>
            <w:tcW w:w="1578" w:type="dxa"/>
            <w:noWrap w:val="0"/>
            <w:vAlign w:val="center"/>
          </w:tcPr>
          <w:p w14:paraId="0DC19258">
            <w:pPr>
              <w:pStyle w:val="28"/>
              <w:bidi w:val="0"/>
              <w:rPr>
                <w:rFonts w:hint="default" w:ascii="Times New Roman" w:hAnsi="Times New Roman" w:eastAsia="宋体"/>
                <w:color w:val="auto"/>
                <w:kern w:val="0"/>
                <w:sz w:val="21"/>
                <w:szCs w:val="20"/>
                <w:lang w:val="en-US" w:eastAsia="zh-CN" w:bidi="ar-SA"/>
              </w:rPr>
            </w:pPr>
            <w:r>
              <w:rPr>
                <w:rFonts w:hint="eastAsia"/>
                <w:color w:val="auto"/>
                <w:kern w:val="0"/>
                <w:sz w:val="21"/>
                <w:szCs w:val="20"/>
                <w:lang w:val="en-US" w:eastAsia="zh-CN" w:bidi="ar-SA"/>
              </w:rPr>
              <w:t>/</w:t>
            </w:r>
          </w:p>
        </w:tc>
        <w:tc>
          <w:tcPr>
            <w:tcW w:w="1695" w:type="dxa"/>
            <w:noWrap w:val="0"/>
            <w:vAlign w:val="center"/>
          </w:tcPr>
          <w:p w14:paraId="29CF5B99">
            <w:pPr>
              <w:pStyle w:val="28"/>
              <w:bidi w:val="0"/>
              <w:rPr>
                <w:color w:val="auto"/>
              </w:rPr>
            </w:pPr>
            <w:r>
              <w:rPr>
                <w:rFonts w:hint="eastAsia"/>
                <w:color w:val="auto"/>
                <w:lang w:val="en-US" w:eastAsia="zh-CN"/>
              </w:rPr>
              <w:t>0.1224t/a</w:t>
            </w:r>
          </w:p>
        </w:tc>
        <w:tc>
          <w:tcPr>
            <w:tcW w:w="1273" w:type="dxa"/>
            <w:noWrap w:val="0"/>
            <w:vAlign w:val="center"/>
          </w:tcPr>
          <w:p w14:paraId="4B8B1DDD">
            <w:pPr>
              <w:pStyle w:val="28"/>
              <w:bidi w:val="0"/>
              <w:rPr>
                <w:rFonts w:hint="default" w:ascii="Times New Roman" w:hAnsi="Times New Roman" w:eastAsia="宋体"/>
                <w:color w:val="auto"/>
                <w:kern w:val="0"/>
                <w:sz w:val="21"/>
                <w:szCs w:val="20"/>
                <w:lang w:val="en-US" w:eastAsia="zh-CN" w:bidi="ar-SA"/>
              </w:rPr>
            </w:pPr>
            <w:r>
              <w:rPr>
                <w:rFonts w:hint="eastAsia"/>
                <w:color w:val="auto"/>
                <w:lang w:val="en-US" w:eastAsia="zh-CN"/>
              </w:rPr>
              <w:t>+0.1224t/a</w:t>
            </w:r>
          </w:p>
        </w:tc>
      </w:tr>
      <w:tr w14:paraId="3489D0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3078D52B">
            <w:pPr>
              <w:pStyle w:val="28"/>
              <w:bidi w:val="0"/>
              <w:rPr>
                <w:rFonts w:hint="eastAsia"/>
                <w:color w:val="auto"/>
              </w:rPr>
            </w:pPr>
          </w:p>
        </w:tc>
        <w:tc>
          <w:tcPr>
            <w:tcW w:w="1417" w:type="dxa"/>
            <w:noWrap w:val="0"/>
            <w:vAlign w:val="center"/>
          </w:tcPr>
          <w:p w14:paraId="3ED9B38F">
            <w:pPr>
              <w:pStyle w:val="28"/>
              <w:bidi w:val="0"/>
              <w:rPr>
                <w:rFonts w:hint="default" w:eastAsia="宋体"/>
                <w:color w:val="auto"/>
                <w:lang w:val="en-US" w:eastAsia="zh-CN"/>
              </w:rPr>
            </w:pPr>
            <w:r>
              <w:rPr>
                <w:rFonts w:hint="eastAsia"/>
                <w:color w:val="auto"/>
                <w:lang w:val="en-US" w:eastAsia="zh-CN"/>
              </w:rPr>
              <w:t>NH</w:t>
            </w:r>
            <w:r>
              <w:rPr>
                <w:rFonts w:hint="eastAsia"/>
                <w:color w:val="auto"/>
                <w:vertAlign w:val="subscript"/>
                <w:lang w:val="en-US" w:eastAsia="zh-CN"/>
              </w:rPr>
              <w:t>3</w:t>
            </w:r>
            <w:r>
              <w:rPr>
                <w:rFonts w:hint="eastAsia"/>
                <w:color w:val="auto"/>
                <w:lang w:val="en-US" w:eastAsia="zh-CN"/>
              </w:rPr>
              <w:t>-N</w:t>
            </w:r>
          </w:p>
        </w:tc>
        <w:tc>
          <w:tcPr>
            <w:tcW w:w="1701" w:type="dxa"/>
            <w:noWrap w:val="0"/>
            <w:vAlign w:val="center"/>
          </w:tcPr>
          <w:p w14:paraId="42A852C3">
            <w:pPr>
              <w:pStyle w:val="28"/>
              <w:bidi w:val="0"/>
              <w:rPr>
                <w:rFonts w:hint="eastAsia" w:eastAsia="宋体"/>
                <w:color w:val="auto"/>
                <w:lang w:val="en-US" w:eastAsia="zh-CN"/>
              </w:rPr>
            </w:pPr>
            <w:r>
              <w:rPr>
                <w:rFonts w:hint="eastAsia"/>
                <w:color w:val="auto"/>
                <w:lang w:val="en-US" w:eastAsia="zh-CN"/>
              </w:rPr>
              <w:t>/</w:t>
            </w:r>
          </w:p>
        </w:tc>
        <w:tc>
          <w:tcPr>
            <w:tcW w:w="1276" w:type="dxa"/>
            <w:noWrap w:val="0"/>
            <w:vAlign w:val="center"/>
          </w:tcPr>
          <w:p w14:paraId="3F1EB1B2">
            <w:pPr>
              <w:pStyle w:val="28"/>
              <w:bidi w:val="0"/>
              <w:rPr>
                <w:color w:val="auto"/>
              </w:rPr>
            </w:pPr>
            <w:r>
              <w:rPr>
                <w:rFonts w:hint="eastAsia"/>
                <w:color w:val="auto"/>
                <w:lang w:val="en-US" w:eastAsia="zh-CN"/>
              </w:rPr>
              <w:t>/</w:t>
            </w:r>
          </w:p>
        </w:tc>
        <w:tc>
          <w:tcPr>
            <w:tcW w:w="1701" w:type="dxa"/>
            <w:noWrap w:val="0"/>
            <w:vAlign w:val="center"/>
          </w:tcPr>
          <w:p w14:paraId="5BA20C05">
            <w:pPr>
              <w:pStyle w:val="28"/>
              <w:bidi w:val="0"/>
              <w:rPr>
                <w:color w:val="auto"/>
              </w:rPr>
            </w:pPr>
            <w:r>
              <w:rPr>
                <w:rFonts w:hint="eastAsia"/>
                <w:color w:val="auto"/>
                <w:lang w:val="en-US" w:eastAsia="zh-CN"/>
              </w:rPr>
              <w:t>/</w:t>
            </w:r>
          </w:p>
        </w:tc>
        <w:tc>
          <w:tcPr>
            <w:tcW w:w="1559" w:type="dxa"/>
            <w:noWrap w:val="0"/>
            <w:vAlign w:val="center"/>
          </w:tcPr>
          <w:p w14:paraId="6C908861">
            <w:pPr>
              <w:pStyle w:val="28"/>
              <w:bidi w:val="0"/>
              <w:rPr>
                <w:rFonts w:hint="default" w:eastAsia="宋体"/>
                <w:color w:val="auto"/>
                <w:lang w:val="en-US" w:eastAsia="zh-CN"/>
              </w:rPr>
            </w:pPr>
            <w:r>
              <w:rPr>
                <w:rFonts w:hint="eastAsia"/>
                <w:color w:val="auto"/>
                <w:lang w:val="en-US" w:eastAsia="zh-CN"/>
              </w:rPr>
              <w:t>0.03775t/a</w:t>
            </w:r>
          </w:p>
        </w:tc>
        <w:tc>
          <w:tcPr>
            <w:tcW w:w="1578" w:type="dxa"/>
            <w:noWrap w:val="0"/>
            <w:vAlign w:val="center"/>
          </w:tcPr>
          <w:p w14:paraId="7D164F9F">
            <w:pPr>
              <w:pStyle w:val="28"/>
              <w:bidi w:val="0"/>
              <w:rPr>
                <w:rFonts w:hint="default" w:ascii="Times New Roman" w:hAnsi="Times New Roman" w:eastAsia="宋体"/>
                <w:color w:val="auto"/>
                <w:kern w:val="0"/>
                <w:sz w:val="21"/>
                <w:szCs w:val="20"/>
                <w:lang w:val="en-US" w:eastAsia="zh-CN" w:bidi="ar-SA"/>
              </w:rPr>
            </w:pPr>
            <w:r>
              <w:rPr>
                <w:rFonts w:hint="eastAsia"/>
                <w:color w:val="auto"/>
                <w:kern w:val="0"/>
                <w:sz w:val="21"/>
                <w:szCs w:val="20"/>
                <w:lang w:val="en-US" w:eastAsia="zh-CN" w:bidi="ar-SA"/>
              </w:rPr>
              <w:t>/</w:t>
            </w:r>
          </w:p>
        </w:tc>
        <w:tc>
          <w:tcPr>
            <w:tcW w:w="1695" w:type="dxa"/>
            <w:noWrap w:val="0"/>
            <w:vAlign w:val="center"/>
          </w:tcPr>
          <w:p w14:paraId="0F73FBBE">
            <w:pPr>
              <w:pStyle w:val="28"/>
              <w:bidi w:val="0"/>
              <w:rPr>
                <w:color w:val="auto"/>
              </w:rPr>
            </w:pPr>
            <w:r>
              <w:rPr>
                <w:rFonts w:hint="eastAsia"/>
                <w:color w:val="auto"/>
                <w:lang w:val="en-US" w:eastAsia="zh-CN"/>
              </w:rPr>
              <w:t>0.03775t/a</w:t>
            </w:r>
          </w:p>
        </w:tc>
        <w:tc>
          <w:tcPr>
            <w:tcW w:w="1273" w:type="dxa"/>
            <w:noWrap w:val="0"/>
            <w:vAlign w:val="center"/>
          </w:tcPr>
          <w:p w14:paraId="4A3BEF7C">
            <w:pPr>
              <w:pStyle w:val="28"/>
              <w:bidi w:val="0"/>
              <w:rPr>
                <w:rFonts w:hint="default" w:ascii="Times New Roman" w:hAnsi="Times New Roman" w:eastAsia="宋体"/>
                <w:color w:val="auto"/>
                <w:kern w:val="0"/>
                <w:sz w:val="21"/>
                <w:szCs w:val="20"/>
                <w:lang w:val="en-US" w:eastAsia="zh-CN" w:bidi="ar-SA"/>
              </w:rPr>
            </w:pPr>
            <w:r>
              <w:rPr>
                <w:rFonts w:hint="eastAsia"/>
                <w:color w:val="auto"/>
                <w:lang w:val="en-US" w:eastAsia="zh-CN"/>
              </w:rPr>
              <w:t>+0.03775t/a</w:t>
            </w:r>
          </w:p>
        </w:tc>
      </w:tr>
      <w:tr w14:paraId="02445E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restart"/>
            <w:noWrap w:val="0"/>
            <w:vAlign w:val="center"/>
          </w:tcPr>
          <w:p w14:paraId="42C4A136">
            <w:pPr>
              <w:pStyle w:val="28"/>
              <w:bidi w:val="0"/>
              <w:rPr>
                <w:color w:val="auto"/>
              </w:rPr>
            </w:pPr>
            <w:r>
              <w:rPr>
                <w:rFonts w:hint="eastAsia"/>
                <w:color w:val="auto"/>
              </w:rPr>
              <w:t>一般工业</w:t>
            </w:r>
          </w:p>
          <w:p w14:paraId="45F43450">
            <w:pPr>
              <w:pStyle w:val="28"/>
              <w:bidi w:val="0"/>
              <w:rPr>
                <w:rFonts w:hint="eastAsia"/>
                <w:color w:val="auto"/>
              </w:rPr>
            </w:pPr>
            <w:r>
              <w:rPr>
                <w:rFonts w:hint="eastAsia"/>
                <w:color w:val="auto"/>
              </w:rPr>
              <w:t>固体废物</w:t>
            </w:r>
          </w:p>
        </w:tc>
        <w:tc>
          <w:tcPr>
            <w:tcW w:w="1417" w:type="dxa"/>
            <w:noWrap w:val="0"/>
            <w:vAlign w:val="center"/>
          </w:tcPr>
          <w:p w14:paraId="328CE0AA">
            <w:pPr>
              <w:pStyle w:val="28"/>
              <w:bidi w:val="0"/>
              <w:rPr>
                <w:rFonts w:hint="default" w:eastAsia="宋体"/>
                <w:color w:val="auto"/>
                <w:lang w:val="en-US" w:eastAsia="zh-CN"/>
              </w:rPr>
            </w:pPr>
            <w:r>
              <w:rPr>
                <w:rFonts w:hint="eastAsia"/>
                <w:color w:val="auto"/>
                <w:lang w:val="en-US" w:eastAsia="zh-CN"/>
              </w:rPr>
              <w:t>抛光残渣</w:t>
            </w:r>
          </w:p>
        </w:tc>
        <w:tc>
          <w:tcPr>
            <w:tcW w:w="1701" w:type="dxa"/>
            <w:noWrap w:val="0"/>
            <w:vAlign w:val="center"/>
          </w:tcPr>
          <w:p w14:paraId="7AD01EAD">
            <w:pPr>
              <w:pStyle w:val="28"/>
              <w:bidi w:val="0"/>
              <w:rPr>
                <w:rFonts w:hint="eastAsia" w:eastAsia="宋体"/>
                <w:color w:val="auto"/>
                <w:lang w:val="en-US" w:eastAsia="zh-CN"/>
              </w:rPr>
            </w:pPr>
            <w:r>
              <w:rPr>
                <w:rFonts w:hint="eastAsia"/>
                <w:color w:val="auto"/>
                <w:lang w:val="en-US" w:eastAsia="zh-CN"/>
              </w:rPr>
              <w:t>/</w:t>
            </w:r>
          </w:p>
        </w:tc>
        <w:tc>
          <w:tcPr>
            <w:tcW w:w="1276" w:type="dxa"/>
            <w:noWrap w:val="0"/>
            <w:vAlign w:val="center"/>
          </w:tcPr>
          <w:p w14:paraId="2563EC45">
            <w:pPr>
              <w:pStyle w:val="28"/>
              <w:bidi w:val="0"/>
              <w:rPr>
                <w:color w:val="auto"/>
              </w:rPr>
            </w:pPr>
            <w:r>
              <w:rPr>
                <w:rFonts w:hint="eastAsia"/>
                <w:color w:val="auto"/>
                <w:lang w:val="en-US" w:eastAsia="zh-CN"/>
              </w:rPr>
              <w:t>/</w:t>
            </w:r>
          </w:p>
        </w:tc>
        <w:tc>
          <w:tcPr>
            <w:tcW w:w="1701" w:type="dxa"/>
            <w:noWrap w:val="0"/>
            <w:vAlign w:val="center"/>
          </w:tcPr>
          <w:p w14:paraId="0B271C4B">
            <w:pPr>
              <w:pStyle w:val="28"/>
              <w:bidi w:val="0"/>
              <w:rPr>
                <w:color w:val="auto"/>
              </w:rPr>
            </w:pPr>
            <w:r>
              <w:rPr>
                <w:rFonts w:hint="eastAsia"/>
                <w:color w:val="auto"/>
                <w:lang w:val="en-US" w:eastAsia="zh-CN"/>
              </w:rPr>
              <w:t>/</w:t>
            </w:r>
          </w:p>
        </w:tc>
        <w:tc>
          <w:tcPr>
            <w:tcW w:w="1559" w:type="dxa"/>
            <w:noWrap w:val="0"/>
            <w:vAlign w:val="center"/>
          </w:tcPr>
          <w:p w14:paraId="02F6CB54">
            <w:pPr>
              <w:pStyle w:val="28"/>
              <w:bidi w:val="0"/>
              <w:rPr>
                <w:rFonts w:hint="default" w:eastAsia="宋体"/>
                <w:color w:val="auto"/>
                <w:lang w:val="en-US" w:eastAsia="zh-CN"/>
              </w:rPr>
            </w:pPr>
            <w:r>
              <w:rPr>
                <w:rFonts w:hint="eastAsia"/>
                <w:color w:val="auto"/>
                <w:lang w:val="en-US" w:eastAsia="zh-CN"/>
              </w:rPr>
              <w:t>0.3t/a</w:t>
            </w:r>
          </w:p>
        </w:tc>
        <w:tc>
          <w:tcPr>
            <w:tcW w:w="1578" w:type="dxa"/>
            <w:noWrap w:val="0"/>
            <w:vAlign w:val="center"/>
          </w:tcPr>
          <w:p w14:paraId="639C4ED7">
            <w:pPr>
              <w:pStyle w:val="28"/>
              <w:bidi w:val="0"/>
              <w:rPr>
                <w:rFonts w:hint="default" w:ascii="Times New Roman" w:hAnsi="Times New Roman" w:eastAsia="宋体"/>
                <w:color w:val="auto"/>
                <w:kern w:val="0"/>
                <w:sz w:val="21"/>
                <w:szCs w:val="20"/>
                <w:lang w:val="en-US" w:eastAsia="zh-CN" w:bidi="ar-SA"/>
              </w:rPr>
            </w:pPr>
            <w:r>
              <w:rPr>
                <w:rFonts w:hint="eastAsia"/>
                <w:color w:val="auto"/>
                <w:kern w:val="0"/>
                <w:sz w:val="21"/>
                <w:szCs w:val="20"/>
                <w:lang w:val="en-US" w:eastAsia="zh-CN" w:bidi="ar-SA"/>
              </w:rPr>
              <w:t>/</w:t>
            </w:r>
          </w:p>
        </w:tc>
        <w:tc>
          <w:tcPr>
            <w:tcW w:w="1695" w:type="dxa"/>
            <w:noWrap w:val="0"/>
            <w:vAlign w:val="center"/>
          </w:tcPr>
          <w:p w14:paraId="69E9627A">
            <w:pPr>
              <w:pStyle w:val="28"/>
              <w:bidi w:val="0"/>
              <w:rPr>
                <w:rFonts w:hint="default" w:ascii="Times New Roman" w:hAnsi="Times New Roman" w:eastAsia="宋体"/>
                <w:color w:val="auto"/>
                <w:kern w:val="0"/>
                <w:sz w:val="21"/>
                <w:szCs w:val="20"/>
                <w:lang w:val="en-US" w:eastAsia="zh-CN" w:bidi="ar-SA"/>
              </w:rPr>
            </w:pPr>
            <w:r>
              <w:rPr>
                <w:rFonts w:hint="eastAsia"/>
                <w:color w:val="auto"/>
                <w:lang w:val="en-US" w:eastAsia="zh-CN"/>
              </w:rPr>
              <w:t>0.3t/a</w:t>
            </w:r>
          </w:p>
        </w:tc>
        <w:tc>
          <w:tcPr>
            <w:tcW w:w="1273" w:type="dxa"/>
            <w:noWrap w:val="0"/>
            <w:vAlign w:val="center"/>
          </w:tcPr>
          <w:p w14:paraId="480DA66B">
            <w:pPr>
              <w:pStyle w:val="28"/>
              <w:bidi w:val="0"/>
              <w:rPr>
                <w:rFonts w:hint="default" w:ascii="Times New Roman" w:hAnsi="Times New Roman" w:eastAsia="宋体"/>
                <w:color w:val="auto"/>
                <w:kern w:val="0"/>
                <w:sz w:val="21"/>
                <w:szCs w:val="20"/>
                <w:lang w:val="en-US" w:eastAsia="zh-CN" w:bidi="ar-SA"/>
              </w:rPr>
            </w:pPr>
            <w:r>
              <w:rPr>
                <w:rFonts w:hint="eastAsia"/>
                <w:color w:val="auto"/>
                <w:lang w:val="en-US" w:eastAsia="zh-CN"/>
              </w:rPr>
              <w:t>+0.3t/a</w:t>
            </w:r>
          </w:p>
        </w:tc>
      </w:tr>
      <w:tr w14:paraId="0B0466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1B5C90FF">
            <w:pPr>
              <w:pStyle w:val="28"/>
              <w:bidi w:val="0"/>
              <w:rPr>
                <w:color w:val="auto"/>
              </w:rPr>
            </w:pPr>
          </w:p>
        </w:tc>
        <w:tc>
          <w:tcPr>
            <w:tcW w:w="1417" w:type="dxa"/>
            <w:noWrap w:val="0"/>
            <w:vAlign w:val="center"/>
          </w:tcPr>
          <w:p w14:paraId="04CE2CAA">
            <w:pPr>
              <w:pStyle w:val="28"/>
              <w:bidi w:val="0"/>
              <w:rPr>
                <w:rFonts w:hint="eastAsia" w:eastAsia="宋体"/>
                <w:color w:val="auto"/>
                <w:lang w:val="en-US" w:eastAsia="zh-CN"/>
              </w:rPr>
            </w:pPr>
            <w:r>
              <w:rPr>
                <w:rFonts w:hint="eastAsia"/>
                <w:color w:val="auto"/>
                <w:lang w:val="en-US" w:eastAsia="zh-CN"/>
              </w:rPr>
              <w:t>铣磨、倒边、研磨废渣</w:t>
            </w:r>
          </w:p>
        </w:tc>
        <w:tc>
          <w:tcPr>
            <w:tcW w:w="1701" w:type="dxa"/>
            <w:noWrap w:val="0"/>
            <w:vAlign w:val="center"/>
          </w:tcPr>
          <w:p w14:paraId="04F318E8">
            <w:pPr>
              <w:pStyle w:val="28"/>
              <w:bidi w:val="0"/>
              <w:rPr>
                <w:rFonts w:hint="eastAsia" w:eastAsia="宋体"/>
                <w:color w:val="auto"/>
                <w:lang w:val="en-US" w:eastAsia="zh-CN"/>
              </w:rPr>
            </w:pPr>
            <w:r>
              <w:rPr>
                <w:rFonts w:hint="eastAsia"/>
                <w:color w:val="auto"/>
                <w:lang w:val="en-US" w:eastAsia="zh-CN"/>
              </w:rPr>
              <w:t>/</w:t>
            </w:r>
          </w:p>
        </w:tc>
        <w:tc>
          <w:tcPr>
            <w:tcW w:w="1276" w:type="dxa"/>
            <w:noWrap w:val="0"/>
            <w:vAlign w:val="center"/>
          </w:tcPr>
          <w:p w14:paraId="7F1BA6F3">
            <w:pPr>
              <w:pStyle w:val="28"/>
              <w:bidi w:val="0"/>
              <w:rPr>
                <w:color w:val="auto"/>
              </w:rPr>
            </w:pPr>
            <w:r>
              <w:rPr>
                <w:rFonts w:hint="eastAsia"/>
                <w:color w:val="auto"/>
                <w:lang w:val="en-US" w:eastAsia="zh-CN"/>
              </w:rPr>
              <w:t>/</w:t>
            </w:r>
          </w:p>
        </w:tc>
        <w:tc>
          <w:tcPr>
            <w:tcW w:w="1701" w:type="dxa"/>
            <w:noWrap w:val="0"/>
            <w:vAlign w:val="center"/>
          </w:tcPr>
          <w:p w14:paraId="3ABF6BC3">
            <w:pPr>
              <w:pStyle w:val="28"/>
              <w:bidi w:val="0"/>
              <w:rPr>
                <w:color w:val="auto"/>
              </w:rPr>
            </w:pPr>
            <w:r>
              <w:rPr>
                <w:rFonts w:hint="eastAsia"/>
                <w:color w:val="auto"/>
                <w:lang w:val="en-US" w:eastAsia="zh-CN"/>
              </w:rPr>
              <w:t>/</w:t>
            </w:r>
          </w:p>
        </w:tc>
        <w:tc>
          <w:tcPr>
            <w:tcW w:w="1559" w:type="dxa"/>
            <w:noWrap w:val="0"/>
            <w:vAlign w:val="center"/>
          </w:tcPr>
          <w:p w14:paraId="2AB4D9A3">
            <w:pPr>
              <w:pStyle w:val="28"/>
              <w:bidi w:val="0"/>
              <w:rPr>
                <w:rFonts w:hint="default" w:eastAsia="宋体"/>
                <w:color w:val="auto"/>
                <w:lang w:val="en-US" w:eastAsia="zh-CN"/>
              </w:rPr>
            </w:pPr>
            <w:r>
              <w:rPr>
                <w:rFonts w:hint="eastAsia"/>
                <w:color w:val="auto"/>
                <w:lang w:val="en-US" w:eastAsia="zh-CN"/>
              </w:rPr>
              <w:t>0.04t/a</w:t>
            </w:r>
          </w:p>
        </w:tc>
        <w:tc>
          <w:tcPr>
            <w:tcW w:w="1578" w:type="dxa"/>
            <w:noWrap w:val="0"/>
            <w:vAlign w:val="center"/>
          </w:tcPr>
          <w:p w14:paraId="14565540">
            <w:pPr>
              <w:pStyle w:val="28"/>
              <w:bidi w:val="0"/>
              <w:rPr>
                <w:rFonts w:hint="default" w:ascii="Times New Roman" w:hAnsi="Times New Roman" w:eastAsia="宋体"/>
                <w:color w:val="auto"/>
                <w:kern w:val="0"/>
                <w:sz w:val="21"/>
                <w:szCs w:val="20"/>
                <w:lang w:val="en-US" w:eastAsia="zh-CN" w:bidi="ar-SA"/>
              </w:rPr>
            </w:pPr>
            <w:r>
              <w:rPr>
                <w:rFonts w:hint="eastAsia"/>
                <w:color w:val="auto"/>
                <w:kern w:val="0"/>
                <w:sz w:val="21"/>
                <w:szCs w:val="20"/>
                <w:lang w:val="en-US" w:eastAsia="zh-CN" w:bidi="ar-SA"/>
              </w:rPr>
              <w:t>/</w:t>
            </w:r>
          </w:p>
        </w:tc>
        <w:tc>
          <w:tcPr>
            <w:tcW w:w="1695" w:type="dxa"/>
            <w:noWrap w:val="0"/>
            <w:vAlign w:val="center"/>
          </w:tcPr>
          <w:p w14:paraId="03DC338B">
            <w:pPr>
              <w:pStyle w:val="28"/>
              <w:bidi w:val="0"/>
              <w:rPr>
                <w:rFonts w:hint="default" w:ascii="Times New Roman" w:hAnsi="Times New Roman" w:eastAsia="宋体"/>
                <w:color w:val="auto"/>
                <w:kern w:val="0"/>
                <w:sz w:val="21"/>
                <w:szCs w:val="20"/>
                <w:lang w:val="en-US" w:eastAsia="zh-CN" w:bidi="ar-SA"/>
              </w:rPr>
            </w:pPr>
            <w:r>
              <w:rPr>
                <w:rFonts w:hint="eastAsia"/>
                <w:color w:val="auto"/>
                <w:lang w:val="en-US" w:eastAsia="zh-CN"/>
              </w:rPr>
              <w:t>0.04t/a</w:t>
            </w:r>
          </w:p>
        </w:tc>
        <w:tc>
          <w:tcPr>
            <w:tcW w:w="1273" w:type="dxa"/>
            <w:noWrap w:val="0"/>
            <w:vAlign w:val="center"/>
          </w:tcPr>
          <w:p w14:paraId="4EBA0976">
            <w:pPr>
              <w:pStyle w:val="28"/>
              <w:bidi w:val="0"/>
              <w:rPr>
                <w:rFonts w:ascii="Times New Roman" w:hAnsi="Times New Roman" w:eastAsia="宋体"/>
                <w:color w:val="auto"/>
                <w:kern w:val="0"/>
                <w:sz w:val="21"/>
                <w:szCs w:val="20"/>
                <w:lang w:val="en-US" w:eastAsia="zh-CN" w:bidi="ar-SA"/>
              </w:rPr>
            </w:pPr>
            <w:r>
              <w:rPr>
                <w:rFonts w:hint="eastAsia"/>
                <w:color w:val="auto"/>
                <w:lang w:val="en-US" w:eastAsia="zh-CN"/>
              </w:rPr>
              <w:t>+0.04t/a</w:t>
            </w:r>
          </w:p>
        </w:tc>
      </w:tr>
      <w:tr w14:paraId="4C3BF4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18CA288A">
            <w:pPr>
              <w:pStyle w:val="28"/>
              <w:bidi w:val="0"/>
              <w:rPr>
                <w:color w:val="auto"/>
              </w:rPr>
            </w:pPr>
          </w:p>
        </w:tc>
        <w:tc>
          <w:tcPr>
            <w:tcW w:w="1417" w:type="dxa"/>
            <w:noWrap w:val="0"/>
            <w:vAlign w:val="center"/>
          </w:tcPr>
          <w:p w14:paraId="591F5AA3">
            <w:pPr>
              <w:pStyle w:val="28"/>
              <w:bidi w:val="0"/>
              <w:rPr>
                <w:rFonts w:hint="default"/>
                <w:color w:val="auto"/>
                <w:lang w:val="en-US" w:eastAsia="zh-CN"/>
              </w:rPr>
            </w:pPr>
            <w:r>
              <w:rPr>
                <w:rFonts w:hint="eastAsia"/>
                <w:color w:val="auto"/>
                <w:lang w:val="en-US" w:eastAsia="zh-CN"/>
              </w:rPr>
              <w:t>沉淀池污泥</w:t>
            </w:r>
          </w:p>
        </w:tc>
        <w:tc>
          <w:tcPr>
            <w:tcW w:w="1701" w:type="dxa"/>
            <w:noWrap w:val="0"/>
            <w:vAlign w:val="center"/>
          </w:tcPr>
          <w:p w14:paraId="03727F80">
            <w:pPr>
              <w:pStyle w:val="28"/>
              <w:bidi w:val="0"/>
              <w:rPr>
                <w:rFonts w:hint="eastAsia" w:eastAsia="宋体"/>
                <w:color w:val="auto"/>
                <w:lang w:val="en-US" w:eastAsia="zh-CN"/>
              </w:rPr>
            </w:pPr>
            <w:r>
              <w:rPr>
                <w:rFonts w:hint="eastAsia"/>
                <w:color w:val="auto"/>
                <w:lang w:val="en-US" w:eastAsia="zh-CN"/>
              </w:rPr>
              <w:t>/</w:t>
            </w:r>
          </w:p>
        </w:tc>
        <w:tc>
          <w:tcPr>
            <w:tcW w:w="1276" w:type="dxa"/>
            <w:noWrap w:val="0"/>
            <w:vAlign w:val="center"/>
          </w:tcPr>
          <w:p w14:paraId="27EE551E">
            <w:pPr>
              <w:pStyle w:val="28"/>
              <w:bidi w:val="0"/>
              <w:rPr>
                <w:color w:val="auto"/>
              </w:rPr>
            </w:pPr>
            <w:r>
              <w:rPr>
                <w:rFonts w:hint="eastAsia"/>
                <w:color w:val="auto"/>
                <w:lang w:val="en-US" w:eastAsia="zh-CN"/>
              </w:rPr>
              <w:t>/</w:t>
            </w:r>
          </w:p>
        </w:tc>
        <w:tc>
          <w:tcPr>
            <w:tcW w:w="1701" w:type="dxa"/>
            <w:noWrap w:val="0"/>
            <w:vAlign w:val="center"/>
          </w:tcPr>
          <w:p w14:paraId="6E4FF516">
            <w:pPr>
              <w:pStyle w:val="28"/>
              <w:bidi w:val="0"/>
              <w:rPr>
                <w:color w:val="auto"/>
              </w:rPr>
            </w:pPr>
            <w:r>
              <w:rPr>
                <w:rFonts w:hint="eastAsia"/>
                <w:color w:val="auto"/>
                <w:lang w:val="en-US" w:eastAsia="zh-CN"/>
              </w:rPr>
              <w:t>/</w:t>
            </w:r>
          </w:p>
        </w:tc>
        <w:tc>
          <w:tcPr>
            <w:tcW w:w="1559" w:type="dxa"/>
            <w:noWrap w:val="0"/>
            <w:vAlign w:val="center"/>
          </w:tcPr>
          <w:p w14:paraId="6E970C32">
            <w:pPr>
              <w:pStyle w:val="28"/>
              <w:bidi w:val="0"/>
              <w:rPr>
                <w:rFonts w:hint="default" w:eastAsia="宋体"/>
                <w:color w:val="auto"/>
                <w:lang w:val="en-US" w:eastAsia="zh-CN"/>
              </w:rPr>
            </w:pPr>
            <w:r>
              <w:rPr>
                <w:rFonts w:hint="eastAsia"/>
                <w:color w:val="auto"/>
                <w:lang w:val="en-US" w:eastAsia="zh-CN"/>
              </w:rPr>
              <w:t>29.58t/a</w:t>
            </w:r>
          </w:p>
        </w:tc>
        <w:tc>
          <w:tcPr>
            <w:tcW w:w="1578" w:type="dxa"/>
            <w:noWrap w:val="0"/>
            <w:vAlign w:val="center"/>
          </w:tcPr>
          <w:p w14:paraId="2A6E99A5">
            <w:pPr>
              <w:pStyle w:val="28"/>
              <w:bidi w:val="0"/>
              <w:rPr>
                <w:rFonts w:hint="default" w:ascii="Times New Roman" w:hAnsi="Times New Roman" w:eastAsia="宋体"/>
                <w:color w:val="auto"/>
                <w:kern w:val="0"/>
                <w:sz w:val="21"/>
                <w:szCs w:val="20"/>
                <w:lang w:val="en-US" w:eastAsia="zh-CN" w:bidi="ar-SA"/>
              </w:rPr>
            </w:pPr>
            <w:r>
              <w:rPr>
                <w:rFonts w:hint="eastAsia"/>
                <w:color w:val="auto"/>
                <w:kern w:val="0"/>
                <w:sz w:val="21"/>
                <w:szCs w:val="20"/>
                <w:lang w:val="en-US" w:eastAsia="zh-CN" w:bidi="ar-SA"/>
              </w:rPr>
              <w:t>/</w:t>
            </w:r>
          </w:p>
        </w:tc>
        <w:tc>
          <w:tcPr>
            <w:tcW w:w="1695" w:type="dxa"/>
            <w:noWrap w:val="0"/>
            <w:vAlign w:val="center"/>
          </w:tcPr>
          <w:p w14:paraId="744C792F">
            <w:pPr>
              <w:pStyle w:val="28"/>
              <w:bidi w:val="0"/>
              <w:rPr>
                <w:rFonts w:hint="default" w:ascii="Times New Roman" w:hAnsi="Times New Roman" w:eastAsia="宋体"/>
                <w:color w:val="auto"/>
                <w:kern w:val="0"/>
                <w:sz w:val="21"/>
                <w:szCs w:val="20"/>
                <w:lang w:val="en-US" w:eastAsia="zh-CN" w:bidi="ar-SA"/>
              </w:rPr>
            </w:pPr>
            <w:r>
              <w:rPr>
                <w:rFonts w:hint="eastAsia"/>
                <w:color w:val="auto"/>
                <w:lang w:val="en-US" w:eastAsia="zh-CN"/>
              </w:rPr>
              <w:t>29.58t/a</w:t>
            </w:r>
          </w:p>
        </w:tc>
        <w:tc>
          <w:tcPr>
            <w:tcW w:w="1273" w:type="dxa"/>
            <w:noWrap w:val="0"/>
            <w:vAlign w:val="center"/>
          </w:tcPr>
          <w:p w14:paraId="0EE51376">
            <w:pPr>
              <w:pStyle w:val="28"/>
              <w:bidi w:val="0"/>
              <w:rPr>
                <w:rFonts w:hint="default" w:ascii="Times New Roman" w:hAnsi="Times New Roman" w:eastAsia="宋体"/>
                <w:color w:val="auto"/>
                <w:kern w:val="0"/>
                <w:sz w:val="21"/>
                <w:szCs w:val="20"/>
                <w:lang w:val="en-US" w:eastAsia="zh-CN" w:bidi="ar-SA"/>
              </w:rPr>
            </w:pPr>
            <w:r>
              <w:rPr>
                <w:rFonts w:hint="eastAsia"/>
                <w:color w:val="auto"/>
                <w:lang w:val="en-US" w:eastAsia="zh-CN"/>
              </w:rPr>
              <w:t>+29.58t/a</w:t>
            </w:r>
          </w:p>
        </w:tc>
      </w:tr>
      <w:tr w14:paraId="083033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7347A0D3">
            <w:pPr>
              <w:pStyle w:val="28"/>
              <w:bidi w:val="0"/>
              <w:rPr>
                <w:color w:val="auto"/>
              </w:rPr>
            </w:pPr>
          </w:p>
        </w:tc>
        <w:tc>
          <w:tcPr>
            <w:tcW w:w="1417" w:type="dxa"/>
            <w:noWrap w:val="0"/>
            <w:vAlign w:val="center"/>
          </w:tcPr>
          <w:p w14:paraId="30DEDFB3">
            <w:pPr>
              <w:pStyle w:val="28"/>
              <w:bidi w:val="0"/>
              <w:rPr>
                <w:rFonts w:hint="default"/>
                <w:color w:val="auto"/>
                <w:lang w:val="en-US" w:eastAsia="zh-CN"/>
              </w:rPr>
            </w:pPr>
            <w:r>
              <w:rPr>
                <w:rFonts w:hint="eastAsia"/>
                <w:color w:val="auto"/>
                <w:lang w:val="en-US" w:eastAsia="zh-CN"/>
              </w:rPr>
              <w:t>不合格品</w:t>
            </w:r>
          </w:p>
        </w:tc>
        <w:tc>
          <w:tcPr>
            <w:tcW w:w="1701" w:type="dxa"/>
            <w:noWrap w:val="0"/>
            <w:vAlign w:val="center"/>
          </w:tcPr>
          <w:p w14:paraId="1108B7C8">
            <w:pPr>
              <w:pStyle w:val="28"/>
              <w:bidi w:val="0"/>
              <w:rPr>
                <w:rFonts w:hint="eastAsia" w:eastAsia="宋体"/>
                <w:color w:val="auto"/>
                <w:lang w:val="en-US" w:eastAsia="zh-CN"/>
              </w:rPr>
            </w:pPr>
            <w:r>
              <w:rPr>
                <w:rFonts w:hint="eastAsia"/>
                <w:color w:val="auto"/>
                <w:lang w:val="en-US" w:eastAsia="zh-CN"/>
              </w:rPr>
              <w:t>/</w:t>
            </w:r>
          </w:p>
        </w:tc>
        <w:tc>
          <w:tcPr>
            <w:tcW w:w="1276" w:type="dxa"/>
            <w:noWrap w:val="0"/>
            <w:vAlign w:val="center"/>
          </w:tcPr>
          <w:p w14:paraId="62721758">
            <w:pPr>
              <w:pStyle w:val="28"/>
              <w:bidi w:val="0"/>
              <w:rPr>
                <w:color w:val="auto"/>
              </w:rPr>
            </w:pPr>
            <w:r>
              <w:rPr>
                <w:rFonts w:hint="eastAsia"/>
                <w:color w:val="auto"/>
                <w:lang w:val="en-US" w:eastAsia="zh-CN"/>
              </w:rPr>
              <w:t>/</w:t>
            </w:r>
          </w:p>
        </w:tc>
        <w:tc>
          <w:tcPr>
            <w:tcW w:w="1701" w:type="dxa"/>
            <w:noWrap w:val="0"/>
            <w:vAlign w:val="center"/>
          </w:tcPr>
          <w:p w14:paraId="4486F3E4">
            <w:pPr>
              <w:pStyle w:val="28"/>
              <w:bidi w:val="0"/>
              <w:rPr>
                <w:color w:val="auto"/>
              </w:rPr>
            </w:pPr>
            <w:r>
              <w:rPr>
                <w:rFonts w:hint="eastAsia"/>
                <w:color w:val="auto"/>
                <w:lang w:val="en-US" w:eastAsia="zh-CN"/>
              </w:rPr>
              <w:t>/</w:t>
            </w:r>
          </w:p>
        </w:tc>
        <w:tc>
          <w:tcPr>
            <w:tcW w:w="1559" w:type="dxa"/>
            <w:noWrap w:val="0"/>
            <w:vAlign w:val="center"/>
          </w:tcPr>
          <w:p w14:paraId="7EC0514D">
            <w:pPr>
              <w:pStyle w:val="28"/>
              <w:bidi w:val="0"/>
              <w:rPr>
                <w:rFonts w:hint="default" w:eastAsia="宋体"/>
                <w:color w:val="auto"/>
                <w:lang w:val="en-US" w:eastAsia="zh-CN"/>
              </w:rPr>
            </w:pPr>
            <w:r>
              <w:rPr>
                <w:rFonts w:hint="eastAsia"/>
                <w:color w:val="auto"/>
                <w:lang w:val="en-US" w:eastAsia="zh-CN"/>
              </w:rPr>
              <w:t>0.8t/a</w:t>
            </w:r>
          </w:p>
        </w:tc>
        <w:tc>
          <w:tcPr>
            <w:tcW w:w="1578" w:type="dxa"/>
            <w:noWrap w:val="0"/>
            <w:vAlign w:val="center"/>
          </w:tcPr>
          <w:p w14:paraId="139E6792">
            <w:pPr>
              <w:pStyle w:val="28"/>
              <w:bidi w:val="0"/>
              <w:rPr>
                <w:rFonts w:hint="default" w:ascii="Times New Roman" w:hAnsi="Times New Roman" w:eastAsia="宋体"/>
                <w:color w:val="auto"/>
                <w:kern w:val="0"/>
                <w:sz w:val="21"/>
                <w:szCs w:val="20"/>
                <w:lang w:val="en-US" w:eastAsia="zh-CN" w:bidi="ar-SA"/>
              </w:rPr>
            </w:pPr>
            <w:r>
              <w:rPr>
                <w:rFonts w:hint="eastAsia"/>
                <w:color w:val="auto"/>
                <w:kern w:val="0"/>
                <w:sz w:val="21"/>
                <w:szCs w:val="20"/>
                <w:lang w:val="en-US" w:eastAsia="zh-CN" w:bidi="ar-SA"/>
              </w:rPr>
              <w:t>/</w:t>
            </w:r>
          </w:p>
        </w:tc>
        <w:tc>
          <w:tcPr>
            <w:tcW w:w="1695" w:type="dxa"/>
            <w:noWrap w:val="0"/>
            <w:vAlign w:val="center"/>
          </w:tcPr>
          <w:p w14:paraId="13ED43EE">
            <w:pPr>
              <w:pStyle w:val="28"/>
              <w:bidi w:val="0"/>
              <w:rPr>
                <w:rFonts w:hint="default" w:ascii="Times New Roman" w:hAnsi="Times New Roman" w:eastAsia="宋体"/>
                <w:color w:val="auto"/>
                <w:kern w:val="0"/>
                <w:sz w:val="21"/>
                <w:szCs w:val="20"/>
                <w:lang w:val="en-US" w:eastAsia="zh-CN" w:bidi="ar-SA"/>
              </w:rPr>
            </w:pPr>
            <w:r>
              <w:rPr>
                <w:rFonts w:hint="eastAsia"/>
                <w:color w:val="auto"/>
                <w:lang w:val="en-US" w:eastAsia="zh-CN"/>
              </w:rPr>
              <w:t>0.8t/a</w:t>
            </w:r>
          </w:p>
        </w:tc>
        <w:tc>
          <w:tcPr>
            <w:tcW w:w="1273" w:type="dxa"/>
            <w:noWrap w:val="0"/>
            <w:vAlign w:val="center"/>
          </w:tcPr>
          <w:p w14:paraId="151D8506">
            <w:pPr>
              <w:pStyle w:val="28"/>
              <w:bidi w:val="0"/>
              <w:rPr>
                <w:rFonts w:hint="default" w:ascii="Times New Roman" w:hAnsi="Times New Roman" w:eastAsia="宋体"/>
                <w:color w:val="auto"/>
                <w:kern w:val="0"/>
                <w:sz w:val="21"/>
                <w:szCs w:val="20"/>
                <w:lang w:val="en-US" w:eastAsia="zh-CN" w:bidi="ar-SA"/>
              </w:rPr>
            </w:pPr>
            <w:r>
              <w:rPr>
                <w:rFonts w:hint="eastAsia"/>
                <w:color w:val="auto"/>
                <w:lang w:val="en-US" w:eastAsia="zh-CN"/>
              </w:rPr>
              <w:t>+0.8t/a</w:t>
            </w:r>
          </w:p>
        </w:tc>
      </w:tr>
      <w:tr w14:paraId="551289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noWrap w:val="0"/>
            <w:vAlign w:val="center"/>
          </w:tcPr>
          <w:p w14:paraId="1E3845B6">
            <w:pPr>
              <w:pStyle w:val="28"/>
              <w:bidi w:val="0"/>
              <w:rPr>
                <w:rFonts w:hint="eastAsia" w:eastAsia="宋体"/>
                <w:color w:val="auto"/>
                <w:lang w:val="en-US" w:eastAsia="zh-CN"/>
              </w:rPr>
            </w:pPr>
            <w:r>
              <w:rPr>
                <w:rFonts w:hint="eastAsia"/>
                <w:color w:val="auto"/>
                <w:lang w:val="en-US" w:eastAsia="zh-CN"/>
              </w:rPr>
              <w:t>生活垃圾</w:t>
            </w:r>
          </w:p>
        </w:tc>
        <w:tc>
          <w:tcPr>
            <w:tcW w:w="1417" w:type="dxa"/>
            <w:noWrap w:val="0"/>
            <w:vAlign w:val="center"/>
          </w:tcPr>
          <w:p w14:paraId="054209F7">
            <w:pPr>
              <w:pStyle w:val="28"/>
              <w:bidi w:val="0"/>
              <w:rPr>
                <w:rFonts w:hint="default"/>
                <w:color w:val="auto"/>
                <w:lang w:val="en-US" w:eastAsia="zh-CN"/>
              </w:rPr>
            </w:pPr>
            <w:r>
              <w:rPr>
                <w:rFonts w:hint="eastAsia"/>
                <w:color w:val="auto"/>
                <w:lang w:val="en-US" w:eastAsia="zh-CN"/>
              </w:rPr>
              <w:t>生活垃圾</w:t>
            </w:r>
          </w:p>
        </w:tc>
        <w:tc>
          <w:tcPr>
            <w:tcW w:w="1701" w:type="dxa"/>
            <w:noWrap w:val="0"/>
            <w:vAlign w:val="center"/>
          </w:tcPr>
          <w:p w14:paraId="6BF9D2A0">
            <w:pPr>
              <w:pStyle w:val="28"/>
              <w:bidi w:val="0"/>
              <w:rPr>
                <w:rFonts w:hint="eastAsia" w:eastAsia="宋体"/>
                <w:color w:val="auto"/>
                <w:lang w:val="en-US" w:eastAsia="zh-CN"/>
              </w:rPr>
            </w:pPr>
            <w:r>
              <w:rPr>
                <w:rFonts w:hint="eastAsia"/>
                <w:color w:val="auto"/>
                <w:lang w:val="en-US" w:eastAsia="zh-CN"/>
              </w:rPr>
              <w:t>/</w:t>
            </w:r>
          </w:p>
        </w:tc>
        <w:tc>
          <w:tcPr>
            <w:tcW w:w="1276" w:type="dxa"/>
            <w:noWrap w:val="0"/>
            <w:vAlign w:val="center"/>
          </w:tcPr>
          <w:p w14:paraId="69F9664D">
            <w:pPr>
              <w:pStyle w:val="28"/>
              <w:bidi w:val="0"/>
              <w:rPr>
                <w:color w:val="auto"/>
              </w:rPr>
            </w:pPr>
            <w:r>
              <w:rPr>
                <w:rFonts w:hint="eastAsia"/>
                <w:color w:val="auto"/>
                <w:lang w:val="en-US" w:eastAsia="zh-CN"/>
              </w:rPr>
              <w:t>/</w:t>
            </w:r>
          </w:p>
        </w:tc>
        <w:tc>
          <w:tcPr>
            <w:tcW w:w="1701" w:type="dxa"/>
            <w:noWrap w:val="0"/>
            <w:vAlign w:val="center"/>
          </w:tcPr>
          <w:p w14:paraId="613208C8">
            <w:pPr>
              <w:pStyle w:val="28"/>
              <w:bidi w:val="0"/>
              <w:rPr>
                <w:color w:val="auto"/>
              </w:rPr>
            </w:pPr>
            <w:r>
              <w:rPr>
                <w:rFonts w:hint="eastAsia"/>
                <w:color w:val="auto"/>
                <w:lang w:val="en-US" w:eastAsia="zh-CN"/>
              </w:rPr>
              <w:t>/</w:t>
            </w:r>
          </w:p>
        </w:tc>
        <w:tc>
          <w:tcPr>
            <w:tcW w:w="1559" w:type="dxa"/>
            <w:noWrap w:val="0"/>
            <w:vAlign w:val="center"/>
          </w:tcPr>
          <w:p w14:paraId="7DA4563B">
            <w:pPr>
              <w:pStyle w:val="28"/>
              <w:bidi w:val="0"/>
              <w:rPr>
                <w:rFonts w:hint="default" w:eastAsia="宋体"/>
                <w:color w:val="auto"/>
                <w:highlight w:val="none"/>
                <w:lang w:val="en-US" w:eastAsia="zh-CN"/>
              </w:rPr>
            </w:pPr>
            <w:r>
              <w:rPr>
                <w:rFonts w:hint="eastAsia"/>
                <w:color w:val="auto"/>
                <w:highlight w:val="none"/>
                <w:lang w:val="en-US" w:eastAsia="zh-CN"/>
              </w:rPr>
              <w:t>9.0</w:t>
            </w:r>
            <w:r>
              <w:rPr>
                <w:rFonts w:hint="eastAsia"/>
                <w:color w:val="auto"/>
                <w:lang w:val="en-US" w:eastAsia="zh-CN"/>
              </w:rPr>
              <w:t>t/a</w:t>
            </w:r>
          </w:p>
        </w:tc>
        <w:tc>
          <w:tcPr>
            <w:tcW w:w="1578" w:type="dxa"/>
            <w:noWrap w:val="0"/>
            <w:vAlign w:val="center"/>
          </w:tcPr>
          <w:p w14:paraId="1267EA4C">
            <w:pPr>
              <w:pStyle w:val="28"/>
              <w:bidi w:val="0"/>
              <w:rPr>
                <w:rFonts w:hint="default" w:ascii="Times New Roman" w:hAnsi="Times New Roman" w:eastAsia="宋体"/>
                <w:color w:val="auto"/>
                <w:kern w:val="0"/>
                <w:sz w:val="21"/>
                <w:szCs w:val="20"/>
                <w:highlight w:val="none"/>
                <w:lang w:val="en-US" w:eastAsia="zh-CN" w:bidi="ar-SA"/>
              </w:rPr>
            </w:pPr>
            <w:r>
              <w:rPr>
                <w:rFonts w:hint="eastAsia"/>
                <w:color w:val="auto"/>
                <w:kern w:val="0"/>
                <w:sz w:val="21"/>
                <w:szCs w:val="20"/>
                <w:highlight w:val="none"/>
                <w:lang w:val="en-US" w:eastAsia="zh-CN" w:bidi="ar-SA"/>
              </w:rPr>
              <w:t>/</w:t>
            </w:r>
          </w:p>
        </w:tc>
        <w:tc>
          <w:tcPr>
            <w:tcW w:w="1695" w:type="dxa"/>
            <w:noWrap w:val="0"/>
            <w:vAlign w:val="center"/>
          </w:tcPr>
          <w:p w14:paraId="50242579">
            <w:pPr>
              <w:pStyle w:val="28"/>
              <w:bidi w:val="0"/>
              <w:rPr>
                <w:rFonts w:hint="default" w:ascii="Times New Roman" w:hAnsi="Times New Roman" w:eastAsia="宋体"/>
                <w:color w:val="auto"/>
                <w:kern w:val="0"/>
                <w:sz w:val="21"/>
                <w:szCs w:val="20"/>
                <w:highlight w:val="none"/>
                <w:lang w:val="en-US" w:eastAsia="zh-CN" w:bidi="ar-SA"/>
              </w:rPr>
            </w:pPr>
            <w:r>
              <w:rPr>
                <w:rFonts w:hint="eastAsia"/>
                <w:color w:val="auto"/>
                <w:highlight w:val="none"/>
                <w:lang w:val="en-US" w:eastAsia="zh-CN"/>
              </w:rPr>
              <w:t>9.0</w:t>
            </w:r>
            <w:r>
              <w:rPr>
                <w:rFonts w:hint="eastAsia"/>
                <w:color w:val="auto"/>
                <w:lang w:val="en-US" w:eastAsia="zh-CN"/>
              </w:rPr>
              <w:t>t/a</w:t>
            </w:r>
          </w:p>
        </w:tc>
        <w:tc>
          <w:tcPr>
            <w:tcW w:w="1273" w:type="dxa"/>
            <w:noWrap w:val="0"/>
            <w:vAlign w:val="center"/>
          </w:tcPr>
          <w:p w14:paraId="7C1627B8">
            <w:pPr>
              <w:pStyle w:val="28"/>
              <w:bidi w:val="0"/>
              <w:rPr>
                <w:rFonts w:ascii="Times New Roman" w:hAnsi="Times New Roman" w:eastAsia="宋体"/>
                <w:color w:val="auto"/>
                <w:kern w:val="0"/>
                <w:sz w:val="21"/>
                <w:szCs w:val="20"/>
                <w:lang w:val="en-US" w:eastAsia="zh-CN" w:bidi="ar-SA"/>
              </w:rPr>
            </w:pPr>
            <w:r>
              <w:rPr>
                <w:rFonts w:hint="eastAsia"/>
                <w:color w:val="auto"/>
                <w:highlight w:val="none"/>
                <w:lang w:val="en-US" w:eastAsia="zh-CN"/>
              </w:rPr>
              <w:t>+9.0</w:t>
            </w:r>
            <w:r>
              <w:rPr>
                <w:rFonts w:hint="eastAsia"/>
                <w:color w:val="auto"/>
                <w:lang w:val="en-US" w:eastAsia="zh-CN"/>
              </w:rPr>
              <w:t>t/a</w:t>
            </w:r>
          </w:p>
        </w:tc>
      </w:tr>
      <w:tr w14:paraId="1FB549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restart"/>
            <w:noWrap w:val="0"/>
            <w:vAlign w:val="center"/>
          </w:tcPr>
          <w:p w14:paraId="76CAB92F">
            <w:pPr>
              <w:pStyle w:val="28"/>
              <w:bidi w:val="0"/>
              <w:rPr>
                <w:rFonts w:hint="eastAsia"/>
                <w:color w:val="auto"/>
              </w:rPr>
            </w:pPr>
            <w:r>
              <w:rPr>
                <w:rFonts w:hint="eastAsia"/>
                <w:color w:val="auto"/>
              </w:rPr>
              <w:t>危险废物</w:t>
            </w:r>
          </w:p>
        </w:tc>
        <w:tc>
          <w:tcPr>
            <w:tcW w:w="1417" w:type="dxa"/>
            <w:noWrap w:val="0"/>
            <w:vAlign w:val="center"/>
          </w:tcPr>
          <w:p w14:paraId="6EF36FF3">
            <w:pPr>
              <w:pStyle w:val="28"/>
              <w:bidi w:val="0"/>
              <w:rPr>
                <w:rFonts w:hint="eastAsia" w:eastAsia="宋体"/>
                <w:color w:val="auto"/>
                <w:lang w:val="en-US" w:eastAsia="zh-CN"/>
              </w:rPr>
            </w:pPr>
            <w:r>
              <w:rPr>
                <w:rFonts w:hint="eastAsia"/>
                <w:color w:val="auto"/>
                <w:lang w:val="en-US" w:eastAsia="zh-CN"/>
              </w:rPr>
              <w:t>废活性炭</w:t>
            </w:r>
          </w:p>
        </w:tc>
        <w:tc>
          <w:tcPr>
            <w:tcW w:w="1701" w:type="dxa"/>
            <w:noWrap w:val="0"/>
            <w:vAlign w:val="center"/>
          </w:tcPr>
          <w:p w14:paraId="34D8C17B">
            <w:pPr>
              <w:pStyle w:val="28"/>
              <w:bidi w:val="0"/>
              <w:rPr>
                <w:rFonts w:hint="eastAsia" w:eastAsia="宋体"/>
                <w:color w:val="auto"/>
                <w:lang w:val="en-US" w:eastAsia="zh-CN"/>
              </w:rPr>
            </w:pPr>
            <w:r>
              <w:rPr>
                <w:rFonts w:hint="eastAsia"/>
                <w:color w:val="auto"/>
                <w:lang w:val="en-US" w:eastAsia="zh-CN"/>
              </w:rPr>
              <w:t>/</w:t>
            </w:r>
          </w:p>
        </w:tc>
        <w:tc>
          <w:tcPr>
            <w:tcW w:w="1276" w:type="dxa"/>
            <w:noWrap w:val="0"/>
            <w:vAlign w:val="center"/>
          </w:tcPr>
          <w:p w14:paraId="5AAB8949">
            <w:pPr>
              <w:pStyle w:val="28"/>
              <w:bidi w:val="0"/>
              <w:rPr>
                <w:color w:val="auto"/>
              </w:rPr>
            </w:pPr>
            <w:r>
              <w:rPr>
                <w:rFonts w:hint="eastAsia"/>
                <w:color w:val="auto"/>
                <w:lang w:val="en-US" w:eastAsia="zh-CN"/>
              </w:rPr>
              <w:t>/</w:t>
            </w:r>
          </w:p>
        </w:tc>
        <w:tc>
          <w:tcPr>
            <w:tcW w:w="1701" w:type="dxa"/>
            <w:noWrap w:val="0"/>
            <w:vAlign w:val="center"/>
          </w:tcPr>
          <w:p w14:paraId="7A6CBAF5">
            <w:pPr>
              <w:pStyle w:val="28"/>
              <w:bidi w:val="0"/>
              <w:rPr>
                <w:color w:val="auto"/>
              </w:rPr>
            </w:pPr>
            <w:r>
              <w:rPr>
                <w:rFonts w:hint="eastAsia"/>
                <w:color w:val="auto"/>
                <w:lang w:val="en-US" w:eastAsia="zh-CN"/>
              </w:rPr>
              <w:t>/</w:t>
            </w:r>
          </w:p>
        </w:tc>
        <w:tc>
          <w:tcPr>
            <w:tcW w:w="1559" w:type="dxa"/>
            <w:noWrap w:val="0"/>
            <w:vAlign w:val="center"/>
          </w:tcPr>
          <w:p w14:paraId="73458447">
            <w:pPr>
              <w:pStyle w:val="28"/>
              <w:bidi w:val="0"/>
              <w:rPr>
                <w:rFonts w:hint="default" w:eastAsia="宋体"/>
                <w:color w:val="auto"/>
                <w:lang w:val="en-US" w:eastAsia="zh-CN"/>
              </w:rPr>
            </w:pPr>
            <w:r>
              <w:rPr>
                <w:rFonts w:hint="eastAsia"/>
                <w:color w:val="auto"/>
                <w:lang w:val="en-US" w:eastAsia="zh-CN"/>
              </w:rPr>
              <w:t>0.8496t/a</w:t>
            </w:r>
          </w:p>
        </w:tc>
        <w:tc>
          <w:tcPr>
            <w:tcW w:w="1578" w:type="dxa"/>
            <w:noWrap w:val="0"/>
            <w:vAlign w:val="center"/>
          </w:tcPr>
          <w:p w14:paraId="102296E9">
            <w:pPr>
              <w:pStyle w:val="28"/>
              <w:bidi w:val="0"/>
              <w:rPr>
                <w:rFonts w:hint="default" w:ascii="Times New Roman" w:hAnsi="Times New Roman" w:eastAsia="宋体"/>
                <w:color w:val="auto"/>
                <w:kern w:val="0"/>
                <w:sz w:val="21"/>
                <w:szCs w:val="20"/>
                <w:lang w:val="en-US" w:eastAsia="zh-CN" w:bidi="ar-SA"/>
              </w:rPr>
            </w:pPr>
            <w:r>
              <w:rPr>
                <w:rFonts w:hint="eastAsia"/>
                <w:color w:val="auto"/>
                <w:kern w:val="0"/>
                <w:sz w:val="21"/>
                <w:szCs w:val="20"/>
                <w:lang w:val="en-US" w:eastAsia="zh-CN" w:bidi="ar-SA"/>
              </w:rPr>
              <w:t>/</w:t>
            </w:r>
          </w:p>
        </w:tc>
        <w:tc>
          <w:tcPr>
            <w:tcW w:w="1695" w:type="dxa"/>
            <w:noWrap w:val="0"/>
            <w:vAlign w:val="center"/>
          </w:tcPr>
          <w:p w14:paraId="6345E961">
            <w:pPr>
              <w:pStyle w:val="28"/>
              <w:bidi w:val="0"/>
              <w:rPr>
                <w:rFonts w:hint="default" w:ascii="Times New Roman" w:hAnsi="Times New Roman" w:eastAsia="宋体"/>
                <w:color w:val="auto"/>
                <w:kern w:val="0"/>
                <w:sz w:val="21"/>
                <w:szCs w:val="20"/>
                <w:lang w:val="en-US" w:eastAsia="zh-CN" w:bidi="ar-SA"/>
              </w:rPr>
            </w:pPr>
            <w:r>
              <w:rPr>
                <w:rFonts w:hint="eastAsia"/>
                <w:color w:val="auto"/>
                <w:lang w:val="en-US" w:eastAsia="zh-CN"/>
              </w:rPr>
              <w:t>0.8496t/a</w:t>
            </w:r>
          </w:p>
        </w:tc>
        <w:tc>
          <w:tcPr>
            <w:tcW w:w="1273" w:type="dxa"/>
            <w:noWrap w:val="0"/>
            <w:vAlign w:val="center"/>
          </w:tcPr>
          <w:p w14:paraId="3898C70A">
            <w:pPr>
              <w:pStyle w:val="28"/>
              <w:bidi w:val="0"/>
              <w:rPr>
                <w:rFonts w:ascii="Times New Roman" w:hAnsi="Times New Roman" w:eastAsia="宋体"/>
                <w:color w:val="auto"/>
                <w:kern w:val="0"/>
                <w:sz w:val="21"/>
                <w:szCs w:val="20"/>
                <w:lang w:val="en-US" w:eastAsia="zh-CN" w:bidi="ar-SA"/>
              </w:rPr>
            </w:pPr>
            <w:r>
              <w:rPr>
                <w:rFonts w:hint="eastAsia"/>
                <w:color w:val="auto"/>
                <w:lang w:val="en-US" w:eastAsia="zh-CN"/>
              </w:rPr>
              <w:t>+0.8496t/a</w:t>
            </w:r>
          </w:p>
        </w:tc>
      </w:tr>
      <w:tr w14:paraId="664C93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7350A29B">
            <w:pPr>
              <w:pStyle w:val="28"/>
              <w:bidi w:val="0"/>
              <w:rPr>
                <w:color w:val="auto"/>
              </w:rPr>
            </w:pPr>
          </w:p>
        </w:tc>
        <w:tc>
          <w:tcPr>
            <w:tcW w:w="1417" w:type="dxa"/>
            <w:noWrap w:val="0"/>
            <w:vAlign w:val="center"/>
          </w:tcPr>
          <w:p w14:paraId="2ADF653C">
            <w:pPr>
              <w:pStyle w:val="28"/>
              <w:bidi w:val="0"/>
              <w:rPr>
                <w:rFonts w:hint="default" w:eastAsia="宋体"/>
                <w:color w:val="auto"/>
                <w:highlight w:val="none"/>
                <w:lang w:val="en-US" w:eastAsia="zh-CN"/>
              </w:rPr>
            </w:pPr>
            <w:r>
              <w:rPr>
                <w:rFonts w:hint="eastAsia"/>
                <w:color w:val="auto"/>
                <w:highlight w:val="none"/>
                <w:lang w:val="en-US" w:eastAsia="zh-CN"/>
              </w:rPr>
              <w:t>废布和废擦拭纸</w:t>
            </w:r>
          </w:p>
        </w:tc>
        <w:tc>
          <w:tcPr>
            <w:tcW w:w="1701" w:type="dxa"/>
            <w:noWrap w:val="0"/>
            <w:vAlign w:val="center"/>
          </w:tcPr>
          <w:p w14:paraId="345ADDDB">
            <w:pPr>
              <w:pStyle w:val="28"/>
              <w:bidi w:val="0"/>
              <w:rPr>
                <w:rFonts w:hint="eastAsia" w:eastAsia="宋体"/>
                <w:color w:val="auto"/>
                <w:highlight w:val="none"/>
                <w:lang w:val="en-US" w:eastAsia="zh-CN"/>
              </w:rPr>
            </w:pPr>
            <w:r>
              <w:rPr>
                <w:rFonts w:hint="eastAsia"/>
                <w:color w:val="auto"/>
                <w:highlight w:val="none"/>
                <w:lang w:val="en-US" w:eastAsia="zh-CN"/>
              </w:rPr>
              <w:t>/</w:t>
            </w:r>
          </w:p>
        </w:tc>
        <w:tc>
          <w:tcPr>
            <w:tcW w:w="1276" w:type="dxa"/>
            <w:noWrap w:val="0"/>
            <w:vAlign w:val="center"/>
          </w:tcPr>
          <w:p w14:paraId="62531931">
            <w:pPr>
              <w:pStyle w:val="28"/>
              <w:bidi w:val="0"/>
              <w:rPr>
                <w:color w:val="auto"/>
              </w:rPr>
            </w:pPr>
            <w:r>
              <w:rPr>
                <w:rFonts w:hint="eastAsia"/>
                <w:color w:val="auto"/>
                <w:lang w:val="en-US" w:eastAsia="zh-CN"/>
              </w:rPr>
              <w:t>/</w:t>
            </w:r>
          </w:p>
        </w:tc>
        <w:tc>
          <w:tcPr>
            <w:tcW w:w="1701" w:type="dxa"/>
            <w:noWrap w:val="0"/>
            <w:vAlign w:val="center"/>
          </w:tcPr>
          <w:p w14:paraId="09CABBD2">
            <w:pPr>
              <w:pStyle w:val="28"/>
              <w:bidi w:val="0"/>
              <w:rPr>
                <w:color w:val="auto"/>
              </w:rPr>
            </w:pPr>
            <w:r>
              <w:rPr>
                <w:rFonts w:hint="eastAsia"/>
                <w:color w:val="auto"/>
                <w:lang w:val="en-US" w:eastAsia="zh-CN"/>
              </w:rPr>
              <w:t>/</w:t>
            </w:r>
          </w:p>
        </w:tc>
        <w:tc>
          <w:tcPr>
            <w:tcW w:w="1559" w:type="dxa"/>
            <w:noWrap w:val="0"/>
            <w:vAlign w:val="center"/>
          </w:tcPr>
          <w:p w14:paraId="28B02F62">
            <w:pPr>
              <w:pStyle w:val="28"/>
              <w:bidi w:val="0"/>
              <w:rPr>
                <w:rFonts w:hint="default" w:eastAsia="宋体"/>
                <w:color w:val="auto"/>
                <w:lang w:val="en-US" w:eastAsia="zh-CN"/>
              </w:rPr>
            </w:pPr>
            <w:r>
              <w:rPr>
                <w:rFonts w:hint="eastAsia"/>
                <w:color w:val="auto"/>
                <w:lang w:val="en-US" w:eastAsia="zh-CN"/>
              </w:rPr>
              <w:t>0.004t/a</w:t>
            </w:r>
          </w:p>
        </w:tc>
        <w:tc>
          <w:tcPr>
            <w:tcW w:w="1578" w:type="dxa"/>
            <w:noWrap w:val="0"/>
            <w:vAlign w:val="center"/>
          </w:tcPr>
          <w:p w14:paraId="75913B54">
            <w:pPr>
              <w:pStyle w:val="28"/>
              <w:bidi w:val="0"/>
              <w:rPr>
                <w:rFonts w:hint="default" w:ascii="Times New Roman" w:hAnsi="Times New Roman" w:eastAsia="宋体"/>
                <w:color w:val="auto"/>
                <w:kern w:val="0"/>
                <w:sz w:val="21"/>
                <w:szCs w:val="20"/>
                <w:lang w:val="en-US" w:eastAsia="zh-CN" w:bidi="ar-SA"/>
              </w:rPr>
            </w:pPr>
            <w:r>
              <w:rPr>
                <w:rFonts w:hint="eastAsia"/>
                <w:color w:val="auto"/>
                <w:kern w:val="0"/>
                <w:sz w:val="21"/>
                <w:szCs w:val="20"/>
                <w:lang w:val="en-US" w:eastAsia="zh-CN" w:bidi="ar-SA"/>
              </w:rPr>
              <w:t>/</w:t>
            </w:r>
          </w:p>
        </w:tc>
        <w:tc>
          <w:tcPr>
            <w:tcW w:w="1695" w:type="dxa"/>
            <w:noWrap w:val="0"/>
            <w:vAlign w:val="center"/>
          </w:tcPr>
          <w:p w14:paraId="56C2F1DB">
            <w:pPr>
              <w:pStyle w:val="28"/>
              <w:bidi w:val="0"/>
              <w:rPr>
                <w:rFonts w:hint="default" w:ascii="Times New Roman" w:hAnsi="Times New Roman" w:eastAsia="宋体"/>
                <w:color w:val="auto"/>
                <w:kern w:val="0"/>
                <w:sz w:val="21"/>
                <w:szCs w:val="20"/>
                <w:lang w:val="en-US" w:eastAsia="zh-CN" w:bidi="ar-SA"/>
              </w:rPr>
            </w:pPr>
            <w:r>
              <w:rPr>
                <w:rFonts w:hint="eastAsia"/>
                <w:color w:val="auto"/>
                <w:lang w:val="en-US" w:eastAsia="zh-CN"/>
              </w:rPr>
              <w:t>0.004t/a</w:t>
            </w:r>
          </w:p>
        </w:tc>
        <w:tc>
          <w:tcPr>
            <w:tcW w:w="1273" w:type="dxa"/>
            <w:noWrap w:val="0"/>
            <w:vAlign w:val="center"/>
          </w:tcPr>
          <w:p w14:paraId="504E60A1">
            <w:pPr>
              <w:pStyle w:val="28"/>
              <w:bidi w:val="0"/>
              <w:rPr>
                <w:rFonts w:hint="default" w:ascii="Times New Roman" w:hAnsi="Times New Roman" w:eastAsia="宋体"/>
                <w:color w:val="auto"/>
                <w:kern w:val="0"/>
                <w:sz w:val="21"/>
                <w:szCs w:val="20"/>
                <w:lang w:val="en-US" w:eastAsia="zh-CN" w:bidi="ar-SA"/>
              </w:rPr>
            </w:pPr>
            <w:r>
              <w:rPr>
                <w:rFonts w:hint="eastAsia"/>
                <w:color w:val="auto"/>
                <w:lang w:val="en-US" w:eastAsia="zh-CN"/>
              </w:rPr>
              <w:t>+0.004t/a</w:t>
            </w:r>
          </w:p>
        </w:tc>
      </w:tr>
      <w:tr w14:paraId="5FA2FE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31E3E2FC">
            <w:pPr>
              <w:pStyle w:val="28"/>
              <w:bidi w:val="0"/>
              <w:rPr>
                <w:color w:val="auto"/>
              </w:rPr>
            </w:pPr>
          </w:p>
        </w:tc>
        <w:tc>
          <w:tcPr>
            <w:tcW w:w="1417" w:type="dxa"/>
            <w:noWrap w:val="0"/>
            <w:vAlign w:val="center"/>
          </w:tcPr>
          <w:p w14:paraId="4B236E17">
            <w:pPr>
              <w:pStyle w:val="28"/>
              <w:bidi w:val="0"/>
              <w:rPr>
                <w:rFonts w:hint="default" w:eastAsia="宋体"/>
                <w:color w:val="auto"/>
                <w:lang w:val="en-US" w:eastAsia="zh-CN"/>
              </w:rPr>
            </w:pPr>
            <w:r>
              <w:rPr>
                <w:rFonts w:hint="eastAsia"/>
                <w:color w:val="auto"/>
                <w:lang w:val="en-US" w:eastAsia="zh-CN"/>
              </w:rPr>
              <w:t>废包装容器</w:t>
            </w:r>
          </w:p>
        </w:tc>
        <w:tc>
          <w:tcPr>
            <w:tcW w:w="1701" w:type="dxa"/>
            <w:noWrap w:val="0"/>
            <w:vAlign w:val="center"/>
          </w:tcPr>
          <w:p w14:paraId="09AACA46">
            <w:pPr>
              <w:pStyle w:val="28"/>
              <w:bidi w:val="0"/>
              <w:rPr>
                <w:rFonts w:hint="eastAsia" w:eastAsia="宋体"/>
                <w:color w:val="auto"/>
                <w:lang w:val="en-US" w:eastAsia="zh-CN"/>
              </w:rPr>
            </w:pPr>
            <w:r>
              <w:rPr>
                <w:rFonts w:hint="eastAsia"/>
                <w:color w:val="auto"/>
                <w:lang w:val="en-US" w:eastAsia="zh-CN"/>
              </w:rPr>
              <w:t>/</w:t>
            </w:r>
          </w:p>
        </w:tc>
        <w:tc>
          <w:tcPr>
            <w:tcW w:w="1276" w:type="dxa"/>
            <w:noWrap w:val="0"/>
            <w:vAlign w:val="center"/>
          </w:tcPr>
          <w:p w14:paraId="325E6F4D">
            <w:pPr>
              <w:pStyle w:val="28"/>
              <w:bidi w:val="0"/>
              <w:rPr>
                <w:color w:val="auto"/>
              </w:rPr>
            </w:pPr>
            <w:r>
              <w:rPr>
                <w:rFonts w:hint="eastAsia"/>
                <w:color w:val="auto"/>
                <w:lang w:val="en-US" w:eastAsia="zh-CN"/>
              </w:rPr>
              <w:t>/</w:t>
            </w:r>
          </w:p>
        </w:tc>
        <w:tc>
          <w:tcPr>
            <w:tcW w:w="1701" w:type="dxa"/>
            <w:noWrap w:val="0"/>
            <w:vAlign w:val="center"/>
          </w:tcPr>
          <w:p w14:paraId="01514570">
            <w:pPr>
              <w:pStyle w:val="28"/>
              <w:bidi w:val="0"/>
              <w:rPr>
                <w:color w:val="auto"/>
              </w:rPr>
            </w:pPr>
            <w:r>
              <w:rPr>
                <w:rFonts w:hint="eastAsia"/>
                <w:color w:val="auto"/>
                <w:lang w:val="en-US" w:eastAsia="zh-CN"/>
              </w:rPr>
              <w:t>/</w:t>
            </w:r>
          </w:p>
        </w:tc>
        <w:tc>
          <w:tcPr>
            <w:tcW w:w="1559" w:type="dxa"/>
            <w:noWrap w:val="0"/>
            <w:vAlign w:val="center"/>
          </w:tcPr>
          <w:p w14:paraId="1CC0EC70">
            <w:pPr>
              <w:pStyle w:val="28"/>
              <w:bidi w:val="0"/>
              <w:rPr>
                <w:rFonts w:hint="default" w:eastAsia="宋体"/>
                <w:color w:val="auto"/>
                <w:lang w:val="en-US" w:eastAsia="zh-CN"/>
              </w:rPr>
            </w:pPr>
            <w:r>
              <w:rPr>
                <w:rFonts w:hint="eastAsia"/>
                <w:color w:val="auto"/>
                <w:lang w:val="en-US" w:eastAsia="zh-CN"/>
              </w:rPr>
              <w:t>0.4t/a</w:t>
            </w:r>
          </w:p>
        </w:tc>
        <w:tc>
          <w:tcPr>
            <w:tcW w:w="1578" w:type="dxa"/>
            <w:noWrap w:val="0"/>
            <w:vAlign w:val="center"/>
          </w:tcPr>
          <w:p w14:paraId="6A85A64F">
            <w:pPr>
              <w:pStyle w:val="28"/>
              <w:bidi w:val="0"/>
              <w:rPr>
                <w:rFonts w:hint="default" w:ascii="Times New Roman" w:hAnsi="Times New Roman" w:eastAsia="宋体"/>
                <w:color w:val="auto"/>
                <w:kern w:val="0"/>
                <w:sz w:val="21"/>
                <w:szCs w:val="20"/>
                <w:lang w:val="en-US" w:eastAsia="zh-CN" w:bidi="ar-SA"/>
              </w:rPr>
            </w:pPr>
            <w:r>
              <w:rPr>
                <w:rFonts w:hint="eastAsia"/>
                <w:color w:val="auto"/>
                <w:kern w:val="0"/>
                <w:sz w:val="21"/>
                <w:szCs w:val="20"/>
                <w:lang w:val="en-US" w:eastAsia="zh-CN" w:bidi="ar-SA"/>
              </w:rPr>
              <w:t>/</w:t>
            </w:r>
          </w:p>
        </w:tc>
        <w:tc>
          <w:tcPr>
            <w:tcW w:w="1695" w:type="dxa"/>
            <w:noWrap w:val="0"/>
            <w:vAlign w:val="center"/>
          </w:tcPr>
          <w:p w14:paraId="383ADDAD">
            <w:pPr>
              <w:pStyle w:val="28"/>
              <w:bidi w:val="0"/>
              <w:rPr>
                <w:rFonts w:hint="default" w:ascii="Times New Roman" w:hAnsi="Times New Roman" w:eastAsia="宋体"/>
                <w:color w:val="auto"/>
                <w:kern w:val="0"/>
                <w:sz w:val="21"/>
                <w:szCs w:val="20"/>
                <w:lang w:val="en-US" w:eastAsia="zh-CN" w:bidi="ar-SA"/>
              </w:rPr>
            </w:pPr>
            <w:r>
              <w:rPr>
                <w:rFonts w:hint="eastAsia"/>
                <w:color w:val="auto"/>
                <w:lang w:val="en-US" w:eastAsia="zh-CN"/>
              </w:rPr>
              <w:t>0.4t/a</w:t>
            </w:r>
          </w:p>
        </w:tc>
        <w:tc>
          <w:tcPr>
            <w:tcW w:w="1273" w:type="dxa"/>
            <w:noWrap w:val="0"/>
            <w:vAlign w:val="center"/>
          </w:tcPr>
          <w:p w14:paraId="1B72E69C">
            <w:pPr>
              <w:pStyle w:val="28"/>
              <w:bidi w:val="0"/>
              <w:rPr>
                <w:rFonts w:hint="default" w:ascii="Times New Roman" w:hAnsi="Times New Roman" w:eastAsia="宋体"/>
                <w:color w:val="auto"/>
                <w:kern w:val="0"/>
                <w:sz w:val="21"/>
                <w:szCs w:val="20"/>
                <w:lang w:val="en-US" w:eastAsia="zh-CN" w:bidi="ar-SA"/>
              </w:rPr>
            </w:pPr>
            <w:r>
              <w:rPr>
                <w:rFonts w:hint="eastAsia"/>
                <w:color w:val="auto"/>
                <w:lang w:val="en-US" w:eastAsia="zh-CN"/>
              </w:rPr>
              <w:t>+0.4t/a</w:t>
            </w:r>
          </w:p>
        </w:tc>
      </w:tr>
      <w:tr w14:paraId="599657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0CBC5FC4">
            <w:pPr>
              <w:pStyle w:val="28"/>
              <w:bidi w:val="0"/>
              <w:rPr>
                <w:color w:val="auto"/>
              </w:rPr>
            </w:pPr>
          </w:p>
        </w:tc>
        <w:tc>
          <w:tcPr>
            <w:tcW w:w="1417" w:type="dxa"/>
            <w:noWrap w:val="0"/>
            <w:vAlign w:val="center"/>
          </w:tcPr>
          <w:p w14:paraId="7731C09F">
            <w:pPr>
              <w:pStyle w:val="28"/>
              <w:bidi w:val="0"/>
              <w:rPr>
                <w:rFonts w:hint="default"/>
                <w:color w:val="auto"/>
                <w:lang w:val="en-US" w:eastAsia="zh-CN"/>
              </w:rPr>
            </w:pPr>
            <w:r>
              <w:rPr>
                <w:rFonts w:hint="eastAsia"/>
                <w:color w:val="auto"/>
                <w:lang w:val="en-US" w:eastAsia="zh-CN"/>
              </w:rPr>
              <w:t>废除油剂</w:t>
            </w:r>
          </w:p>
        </w:tc>
        <w:tc>
          <w:tcPr>
            <w:tcW w:w="1701" w:type="dxa"/>
            <w:noWrap w:val="0"/>
            <w:vAlign w:val="center"/>
          </w:tcPr>
          <w:p w14:paraId="402F0A7A">
            <w:pPr>
              <w:pStyle w:val="28"/>
              <w:bidi w:val="0"/>
              <w:rPr>
                <w:rFonts w:hint="default"/>
                <w:color w:val="auto"/>
                <w:lang w:val="en-US" w:eastAsia="zh-CN"/>
              </w:rPr>
            </w:pPr>
            <w:r>
              <w:rPr>
                <w:rFonts w:hint="eastAsia"/>
                <w:color w:val="auto"/>
                <w:lang w:val="en-US" w:eastAsia="zh-CN"/>
              </w:rPr>
              <w:t>/</w:t>
            </w:r>
          </w:p>
        </w:tc>
        <w:tc>
          <w:tcPr>
            <w:tcW w:w="1276" w:type="dxa"/>
            <w:noWrap w:val="0"/>
            <w:vAlign w:val="center"/>
          </w:tcPr>
          <w:p w14:paraId="5CB2A8C7">
            <w:pPr>
              <w:pStyle w:val="28"/>
              <w:bidi w:val="0"/>
              <w:rPr>
                <w:rFonts w:hint="default"/>
                <w:color w:val="auto"/>
                <w:lang w:val="en-US" w:eastAsia="zh-CN"/>
              </w:rPr>
            </w:pPr>
            <w:r>
              <w:rPr>
                <w:rFonts w:hint="eastAsia"/>
                <w:color w:val="auto"/>
                <w:lang w:val="en-US" w:eastAsia="zh-CN"/>
              </w:rPr>
              <w:t>/</w:t>
            </w:r>
          </w:p>
        </w:tc>
        <w:tc>
          <w:tcPr>
            <w:tcW w:w="1701" w:type="dxa"/>
            <w:noWrap w:val="0"/>
            <w:vAlign w:val="center"/>
          </w:tcPr>
          <w:p w14:paraId="447CCEB5">
            <w:pPr>
              <w:pStyle w:val="28"/>
              <w:bidi w:val="0"/>
              <w:rPr>
                <w:rFonts w:hint="default"/>
                <w:color w:val="auto"/>
                <w:lang w:val="en-US" w:eastAsia="zh-CN"/>
              </w:rPr>
            </w:pPr>
            <w:r>
              <w:rPr>
                <w:rFonts w:hint="eastAsia"/>
                <w:color w:val="auto"/>
                <w:lang w:val="en-US" w:eastAsia="zh-CN"/>
              </w:rPr>
              <w:t>/</w:t>
            </w:r>
          </w:p>
        </w:tc>
        <w:tc>
          <w:tcPr>
            <w:tcW w:w="1559" w:type="dxa"/>
            <w:noWrap w:val="0"/>
            <w:vAlign w:val="center"/>
          </w:tcPr>
          <w:p w14:paraId="04FEEF0B">
            <w:pPr>
              <w:pStyle w:val="28"/>
              <w:bidi w:val="0"/>
              <w:rPr>
                <w:rFonts w:hint="default"/>
                <w:color w:val="auto"/>
                <w:lang w:val="en-US" w:eastAsia="zh-CN"/>
              </w:rPr>
            </w:pPr>
            <w:r>
              <w:rPr>
                <w:rFonts w:hint="eastAsia"/>
                <w:color w:val="auto"/>
                <w:lang w:val="en-US" w:eastAsia="zh-CN"/>
              </w:rPr>
              <w:t>0.05t/a</w:t>
            </w:r>
          </w:p>
        </w:tc>
        <w:tc>
          <w:tcPr>
            <w:tcW w:w="1578" w:type="dxa"/>
            <w:noWrap w:val="0"/>
            <w:vAlign w:val="center"/>
          </w:tcPr>
          <w:p w14:paraId="76119345">
            <w:pPr>
              <w:pStyle w:val="28"/>
              <w:bidi w:val="0"/>
              <w:rPr>
                <w:rFonts w:hint="default"/>
                <w:color w:val="auto"/>
                <w:lang w:val="en-US" w:eastAsia="zh-CN"/>
              </w:rPr>
            </w:pPr>
            <w:r>
              <w:rPr>
                <w:rFonts w:hint="eastAsia"/>
                <w:color w:val="auto"/>
                <w:lang w:val="en-US" w:eastAsia="zh-CN"/>
              </w:rPr>
              <w:t>/</w:t>
            </w:r>
          </w:p>
        </w:tc>
        <w:tc>
          <w:tcPr>
            <w:tcW w:w="1695" w:type="dxa"/>
            <w:noWrap w:val="0"/>
            <w:vAlign w:val="center"/>
          </w:tcPr>
          <w:p w14:paraId="0ECEBEA5">
            <w:pPr>
              <w:pStyle w:val="28"/>
              <w:bidi w:val="0"/>
              <w:rPr>
                <w:rFonts w:hint="default"/>
                <w:color w:val="auto"/>
                <w:lang w:val="en-US" w:eastAsia="zh-CN"/>
              </w:rPr>
            </w:pPr>
            <w:r>
              <w:rPr>
                <w:rFonts w:hint="eastAsia"/>
                <w:color w:val="auto"/>
                <w:lang w:val="en-US" w:eastAsia="zh-CN"/>
              </w:rPr>
              <w:t>0.05t/a</w:t>
            </w:r>
          </w:p>
        </w:tc>
        <w:tc>
          <w:tcPr>
            <w:tcW w:w="1273" w:type="dxa"/>
            <w:noWrap w:val="0"/>
            <w:vAlign w:val="center"/>
          </w:tcPr>
          <w:p w14:paraId="4EF8D8FB">
            <w:pPr>
              <w:pStyle w:val="28"/>
              <w:bidi w:val="0"/>
              <w:rPr>
                <w:rFonts w:hint="default"/>
                <w:color w:val="auto"/>
                <w:lang w:val="en-US" w:eastAsia="zh-CN"/>
              </w:rPr>
            </w:pPr>
            <w:r>
              <w:rPr>
                <w:rFonts w:hint="eastAsia"/>
                <w:color w:val="auto"/>
                <w:lang w:val="en-US" w:eastAsia="zh-CN"/>
              </w:rPr>
              <w:t>+0.05t/a</w:t>
            </w:r>
          </w:p>
        </w:tc>
      </w:tr>
      <w:tr w14:paraId="21B10C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4491D091">
            <w:pPr>
              <w:pStyle w:val="28"/>
              <w:bidi w:val="0"/>
              <w:rPr>
                <w:color w:val="auto"/>
              </w:rPr>
            </w:pPr>
          </w:p>
        </w:tc>
        <w:tc>
          <w:tcPr>
            <w:tcW w:w="1417" w:type="dxa"/>
            <w:noWrap w:val="0"/>
            <w:vAlign w:val="center"/>
          </w:tcPr>
          <w:p w14:paraId="4E3DEAAD">
            <w:pPr>
              <w:pStyle w:val="28"/>
              <w:bidi w:val="0"/>
              <w:rPr>
                <w:rFonts w:hint="eastAsia"/>
                <w:color w:val="auto"/>
                <w:lang w:val="en-US" w:eastAsia="zh-CN"/>
              </w:rPr>
            </w:pPr>
            <w:r>
              <w:rPr>
                <w:rFonts w:hint="eastAsia" w:ascii="Times New Roman" w:hAnsi="Times New Roman" w:eastAsia="宋体" w:cs="Times New Roman"/>
                <w:color w:val="auto"/>
                <w:kern w:val="0"/>
                <w:sz w:val="21"/>
                <w:szCs w:val="20"/>
                <w:lang w:val="en-US" w:eastAsia="zh-CN" w:bidi="ar-SA"/>
              </w:rPr>
              <w:t>废切削液</w:t>
            </w:r>
            <w:r>
              <w:rPr>
                <w:rFonts w:hint="eastAsia" w:cs="Times New Roman"/>
                <w:color w:val="auto"/>
                <w:kern w:val="0"/>
                <w:sz w:val="21"/>
                <w:szCs w:val="20"/>
                <w:lang w:val="en-US" w:eastAsia="zh-CN" w:bidi="ar-SA"/>
              </w:rPr>
              <w:t>及污泥</w:t>
            </w:r>
          </w:p>
        </w:tc>
        <w:tc>
          <w:tcPr>
            <w:tcW w:w="1701" w:type="dxa"/>
            <w:noWrap w:val="0"/>
            <w:vAlign w:val="center"/>
          </w:tcPr>
          <w:p w14:paraId="6E119A7B">
            <w:pPr>
              <w:pStyle w:val="28"/>
              <w:bidi w:val="0"/>
              <w:rPr>
                <w:rFonts w:hint="default"/>
                <w:color w:val="auto"/>
                <w:lang w:val="en-US" w:eastAsia="zh-CN"/>
              </w:rPr>
            </w:pPr>
            <w:r>
              <w:rPr>
                <w:rFonts w:hint="eastAsia"/>
                <w:color w:val="auto"/>
                <w:lang w:val="en-US" w:eastAsia="zh-CN"/>
              </w:rPr>
              <w:t>/</w:t>
            </w:r>
          </w:p>
        </w:tc>
        <w:tc>
          <w:tcPr>
            <w:tcW w:w="1276" w:type="dxa"/>
            <w:noWrap w:val="0"/>
            <w:vAlign w:val="center"/>
          </w:tcPr>
          <w:p w14:paraId="1E46C01F">
            <w:pPr>
              <w:pStyle w:val="28"/>
              <w:bidi w:val="0"/>
              <w:rPr>
                <w:rFonts w:hint="default"/>
                <w:color w:val="auto"/>
                <w:lang w:val="en-US" w:eastAsia="zh-CN"/>
              </w:rPr>
            </w:pPr>
            <w:r>
              <w:rPr>
                <w:rFonts w:hint="eastAsia"/>
                <w:color w:val="auto"/>
                <w:lang w:val="en-US" w:eastAsia="zh-CN"/>
              </w:rPr>
              <w:t>/</w:t>
            </w:r>
          </w:p>
        </w:tc>
        <w:tc>
          <w:tcPr>
            <w:tcW w:w="1701" w:type="dxa"/>
            <w:noWrap w:val="0"/>
            <w:vAlign w:val="center"/>
          </w:tcPr>
          <w:p w14:paraId="46E6C2C9">
            <w:pPr>
              <w:pStyle w:val="28"/>
              <w:bidi w:val="0"/>
              <w:rPr>
                <w:rFonts w:hint="default"/>
                <w:color w:val="auto"/>
                <w:lang w:val="en-US" w:eastAsia="zh-CN"/>
              </w:rPr>
            </w:pPr>
            <w:r>
              <w:rPr>
                <w:rFonts w:hint="eastAsia"/>
                <w:color w:val="auto"/>
                <w:lang w:val="en-US" w:eastAsia="zh-CN"/>
              </w:rPr>
              <w:t>/</w:t>
            </w:r>
          </w:p>
        </w:tc>
        <w:tc>
          <w:tcPr>
            <w:tcW w:w="1559" w:type="dxa"/>
            <w:noWrap w:val="0"/>
            <w:vAlign w:val="center"/>
          </w:tcPr>
          <w:p w14:paraId="2DDC670E">
            <w:pPr>
              <w:pStyle w:val="28"/>
              <w:bidi w:val="0"/>
              <w:rPr>
                <w:rFonts w:hint="default"/>
                <w:color w:val="auto"/>
                <w:lang w:val="en-US" w:eastAsia="zh-CN"/>
              </w:rPr>
            </w:pPr>
            <w:r>
              <w:rPr>
                <w:rFonts w:hint="eastAsia"/>
                <w:color w:val="auto"/>
                <w:lang w:val="en-US" w:eastAsia="zh-CN"/>
              </w:rPr>
              <w:t>0.1t/a</w:t>
            </w:r>
          </w:p>
        </w:tc>
        <w:tc>
          <w:tcPr>
            <w:tcW w:w="1578" w:type="dxa"/>
            <w:noWrap w:val="0"/>
            <w:vAlign w:val="center"/>
          </w:tcPr>
          <w:p w14:paraId="298F49A4">
            <w:pPr>
              <w:pStyle w:val="28"/>
              <w:bidi w:val="0"/>
              <w:rPr>
                <w:rFonts w:hint="default"/>
                <w:color w:val="auto"/>
                <w:lang w:val="en-US" w:eastAsia="zh-CN"/>
              </w:rPr>
            </w:pPr>
            <w:r>
              <w:rPr>
                <w:rFonts w:hint="eastAsia"/>
                <w:color w:val="auto"/>
                <w:lang w:val="en-US" w:eastAsia="zh-CN"/>
              </w:rPr>
              <w:t>/</w:t>
            </w:r>
          </w:p>
        </w:tc>
        <w:tc>
          <w:tcPr>
            <w:tcW w:w="1695" w:type="dxa"/>
            <w:noWrap w:val="0"/>
            <w:vAlign w:val="center"/>
          </w:tcPr>
          <w:p w14:paraId="3D97D1C0">
            <w:pPr>
              <w:pStyle w:val="28"/>
              <w:bidi w:val="0"/>
              <w:rPr>
                <w:rFonts w:hint="eastAsia"/>
                <w:color w:val="auto"/>
                <w:lang w:val="en-US" w:eastAsia="zh-CN"/>
              </w:rPr>
            </w:pPr>
            <w:r>
              <w:rPr>
                <w:rFonts w:hint="eastAsia"/>
                <w:color w:val="auto"/>
                <w:lang w:val="en-US" w:eastAsia="zh-CN"/>
              </w:rPr>
              <w:t>0.1t/a</w:t>
            </w:r>
          </w:p>
        </w:tc>
        <w:tc>
          <w:tcPr>
            <w:tcW w:w="1273" w:type="dxa"/>
            <w:noWrap w:val="0"/>
            <w:vAlign w:val="center"/>
          </w:tcPr>
          <w:p w14:paraId="58D26BBA">
            <w:pPr>
              <w:pStyle w:val="28"/>
              <w:bidi w:val="0"/>
              <w:rPr>
                <w:rFonts w:hint="eastAsia"/>
                <w:color w:val="auto"/>
                <w:lang w:val="en-US" w:eastAsia="zh-CN"/>
              </w:rPr>
            </w:pPr>
            <w:r>
              <w:rPr>
                <w:rFonts w:hint="eastAsia"/>
                <w:color w:val="auto"/>
                <w:lang w:val="en-US" w:eastAsia="zh-CN"/>
              </w:rPr>
              <w:t>+0.1t/a</w:t>
            </w:r>
          </w:p>
        </w:tc>
      </w:tr>
      <w:tr w14:paraId="1E38D1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70491E3A">
            <w:pPr>
              <w:pStyle w:val="28"/>
              <w:bidi w:val="0"/>
              <w:rPr>
                <w:color w:val="auto"/>
              </w:rPr>
            </w:pPr>
          </w:p>
        </w:tc>
        <w:tc>
          <w:tcPr>
            <w:tcW w:w="1417" w:type="dxa"/>
            <w:noWrap w:val="0"/>
            <w:vAlign w:val="center"/>
          </w:tcPr>
          <w:p w14:paraId="49BD7DD7">
            <w:pPr>
              <w:pStyle w:val="28"/>
              <w:bidi w:val="0"/>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废机油</w:t>
            </w:r>
          </w:p>
        </w:tc>
        <w:tc>
          <w:tcPr>
            <w:tcW w:w="1701" w:type="dxa"/>
            <w:noWrap w:val="0"/>
            <w:vAlign w:val="center"/>
          </w:tcPr>
          <w:p w14:paraId="4221BDF9">
            <w:pPr>
              <w:pStyle w:val="28"/>
              <w:bidi w:val="0"/>
              <w:rPr>
                <w:rFonts w:hint="default"/>
                <w:color w:val="auto"/>
                <w:lang w:val="en-US" w:eastAsia="zh-CN"/>
              </w:rPr>
            </w:pPr>
            <w:r>
              <w:rPr>
                <w:rFonts w:hint="eastAsia"/>
                <w:color w:val="auto"/>
                <w:lang w:val="en-US" w:eastAsia="zh-CN"/>
              </w:rPr>
              <w:t>/</w:t>
            </w:r>
          </w:p>
        </w:tc>
        <w:tc>
          <w:tcPr>
            <w:tcW w:w="1276" w:type="dxa"/>
            <w:noWrap w:val="0"/>
            <w:vAlign w:val="center"/>
          </w:tcPr>
          <w:p w14:paraId="2724C0F5">
            <w:pPr>
              <w:pStyle w:val="28"/>
              <w:bidi w:val="0"/>
              <w:rPr>
                <w:rFonts w:hint="default"/>
                <w:color w:val="auto"/>
                <w:lang w:val="en-US" w:eastAsia="zh-CN"/>
              </w:rPr>
            </w:pPr>
            <w:r>
              <w:rPr>
                <w:rFonts w:hint="eastAsia"/>
                <w:color w:val="auto"/>
                <w:lang w:val="en-US" w:eastAsia="zh-CN"/>
              </w:rPr>
              <w:t>/</w:t>
            </w:r>
          </w:p>
        </w:tc>
        <w:tc>
          <w:tcPr>
            <w:tcW w:w="1701" w:type="dxa"/>
            <w:noWrap w:val="0"/>
            <w:vAlign w:val="center"/>
          </w:tcPr>
          <w:p w14:paraId="7FED81AD">
            <w:pPr>
              <w:pStyle w:val="28"/>
              <w:bidi w:val="0"/>
              <w:rPr>
                <w:rFonts w:hint="default"/>
                <w:color w:val="auto"/>
                <w:lang w:val="en-US" w:eastAsia="zh-CN"/>
              </w:rPr>
            </w:pPr>
            <w:r>
              <w:rPr>
                <w:rFonts w:hint="eastAsia"/>
                <w:color w:val="auto"/>
                <w:lang w:val="en-US" w:eastAsia="zh-CN"/>
              </w:rPr>
              <w:t>/</w:t>
            </w:r>
          </w:p>
        </w:tc>
        <w:tc>
          <w:tcPr>
            <w:tcW w:w="1559" w:type="dxa"/>
            <w:noWrap w:val="0"/>
            <w:vAlign w:val="center"/>
          </w:tcPr>
          <w:p w14:paraId="5E80D684">
            <w:pPr>
              <w:pStyle w:val="28"/>
              <w:bidi w:val="0"/>
              <w:rPr>
                <w:rFonts w:hint="default"/>
                <w:color w:val="auto"/>
                <w:lang w:val="en-US" w:eastAsia="zh-CN"/>
              </w:rPr>
            </w:pPr>
            <w:r>
              <w:rPr>
                <w:rFonts w:hint="eastAsia"/>
                <w:color w:val="auto"/>
                <w:lang w:val="en-US" w:eastAsia="zh-CN"/>
              </w:rPr>
              <w:t>0.05t/a</w:t>
            </w:r>
          </w:p>
        </w:tc>
        <w:tc>
          <w:tcPr>
            <w:tcW w:w="1578" w:type="dxa"/>
            <w:noWrap w:val="0"/>
            <w:vAlign w:val="center"/>
          </w:tcPr>
          <w:p w14:paraId="64280468">
            <w:pPr>
              <w:pStyle w:val="28"/>
              <w:bidi w:val="0"/>
              <w:rPr>
                <w:rFonts w:hint="default"/>
                <w:color w:val="auto"/>
                <w:lang w:val="en-US" w:eastAsia="zh-CN"/>
              </w:rPr>
            </w:pPr>
            <w:r>
              <w:rPr>
                <w:rFonts w:hint="eastAsia"/>
                <w:color w:val="auto"/>
                <w:lang w:val="en-US" w:eastAsia="zh-CN"/>
              </w:rPr>
              <w:t>/</w:t>
            </w:r>
          </w:p>
        </w:tc>
        <w:tc>
          <w:tcPr>
            <w:tcW w:w="1695" w:type="dxa"/>
            <w:noWrap w:val="0"/>
            <w:vAlign w:val="center"/>
          </w:tcPr>
          <w:p w14:paraId="5A57011D">
            <w:pPr>
              <w:pStyle w:val="28"/>
              <w:bidi w:val="0"/>
              <w:rPr>
                <w:rFonts w:hint="default"/>
                <w:color w:val="auto"/>
                <w:lang w:val="en-US" w:eastAsia="zh-CN"/>
              </w:rPr>
            </w:pPr>
            <w:r>
              <w:rPr>
                <w:rFonts w:hint="eastAsia"/>
                <w:color w:val="auto"/>
                <w:lang w:val="en-US" w:eastAsia="zh-CN"/>
              </w:rPr>
              <w:t>0.05t/a</w:t>
            </w:r>
          </w:p>
        </w:tc>
        <w:tc>
          <w:tcPr>
            <w:tcW w:w="1273" w:type="dxa"/>
            <w:noWrap w:val="0"/>
            <w:vAlign w:val="center"/>
          </w:tcPr>
          <w:p w14:paraId="3DC6182D">
            <w:pPr>
              <w:pStyle w:val="28"/>
              <w:bidi w:val="0"/>
              <w:rPr>
                <w:rFonts w:hint="eastAsia"/>
                <w:color w:val="auto"/>
                <w:lang w:val="en-US" w:eastAsia="zh-CN"/>
              </w:rPr>
            </w:pPr>
            <w:r>
              <w:rPr>
                <w:rFonts w:hint="eastAsia"/>
                <w:color w:val="auto"/>
                <w:lang w:val="en-US" w:eastAsia="zh-CN"/>
              </w:rPr>
              <w:t>+0.05t/a</w:t>
            </w:r>
          </w:p>
        </w:tc>
      </w:tr>
      <w:tr w14:paraId="69F132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2BB44D2F">
            <w:pPr>
              <w:pStyle w:val="28"/>
              <w:bidi w:val="0"/>
              <w:rPr>
                <w:color w:val="auto"/>
              </w:rPr>
            </w:pPr>
          </w:p>
        </w:tc>
        <w:tc>
          <w:tcPr>
            <w:tcW w:w="1417" w:type="dxa"/>
            <w:noWrap w:val="0"/>
            <w:vAlign w:val="center"/>
          </w:tcPr>
          <w:p w14:paraId="2C2CDB1A">
            <w:pPr>
              <w:pStyle w:val="28"/>
              <w:bidi w:val="0"/>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炉渣</w:t>
            </w:r>
          </w:p>
        </w:tc>
        <w:tc>
          <w:tcPr>
            <w:tcW w:w="1701" w:type="dxa"/>
            <w:noWrap w:val="0"/>
            <w:vAlign w:val="center"/>
          </w:tcPr>
          <w:p w14:paraId="67E289B7">
            <w:pPr>
              <w:pStyle w:val="28"/>
              <w:bidi w:val="0"/>
              <w:rPr>
                <w:rFonts w:hint="default"/>
                <w:color w:val="auto"/>
                <w:lang w:val="en-US" w:eastAsia="zh-CN"/>
              </w:rPr>
            </w:pPr>
            <w:r>
              <w:rPr>
                <w:rFonts w:hint="eastAsia"/>
                <w:color w:val="auto"/>
                <w:lang w:val="en-US" w:eastAsia="zh-CN"/>
              </w:rPr>
              <w:t>/</w:t>
            </w:r>
          </w:p>
        </w:tc>
        <w:tc>
          <w:tcPr>
            <w:tcW w:w="1276" w:type="dxa"/>
            <w:noWrap w:val="0"/>
            <w:vAlign w:val="center"/>
          </w:tcPr>
          <w:p w14:paraId="7599F33D">
            <w:pPr>
              <w:pStyle w:val="28"/>
              <w:bidi w:val="0"/>
              <w:rPr>
                <w:rFonts w:hint="default"/>
                <w:color w:val="auto"/>
                <w:lang w:val="en-US" w:eastAsia="zh-CN"/>
              </w:rPr>
            </w:pPr>
            <w:r>
              <w:rPr>
                <w:rFonts w:hint="eastAsia"/>
                <w:color w:val="auto"/>
                <w:lang w:val="en-US" w:eastAsia="zh-CN"/>
              </w:rPr>
              <w:t>/</w:t>
            </w:r>
          </w:p>
        </w:tc>
        <w:tc>
          <w:tcPr>
            <w:tcW w:w="1701" w:type="dxa"/>
            <w:noWrap w:val="0"/>
            <w:vAlign w:val="center"/>
          </w:tcPr>
          <w:p w14:paraId="638CB708">
            <w:pPr>
              <w:pStyle w:val="28"/>
              <w:bidi w:val="0"/>
              <w:rPr>
                <w:rFonts w:hint="default"/>
                <w:color w:val="auto"/>
                <w:lang w:val="en-US" w:eastAsia="zh-CN"/>
              </w:rPr>
            </w:pPr>
            <w:r>
              <w:rPr>
                <w:rFonts w:hint="eastAsia"/>
                <w:color w:val="auto"/>
                <w:lang w:val="en-US" w:eastAsia="zh-CN"/>
              </w:rPr>
              <w:t>/</w:t>
            </w:r>
          </w:p>
        </w:tc>
        <w:tc>
          <w:tcPr>
            <w:tcW w:w="1559" w:type="dxa"/>
            <w:noWrap w:val="0"/>
            <w:vAlign w:val="center"/>
          </w:tcPr>
          <w:p w14:paraId="5C832838">
            <w:pPr>
              <w:pStyle w:val="28"/>
              <w:bidi w:val="0"/>
              <w:rPr>
                <w:rFonts w:hint="default"/>
                <w:color w:val="auto"/>
                <w:lang w:val="en-US" w:eastAsia="zh-CN"/>
              </w:rPr>
            </w:pPr>
            <w:r>
              <w:rPr>
                <w:rFonts w:hint="eastAsia"/>
                <w:color w:val="auto"/>
                <w:lang w:val="en-US" w:eastAsia="zh-CN"/>
              </w:rPr>
              <w:t>0.35t/a</w:t>
            </w:r>
          </w:p>
        </w:tc>
        <w:tc>
          <w:tcPr>
            <w:tcW w:w="1578" w:type="dxa"/>
            <w:noWrap w:val="0"/>
            <w:vAlign w:val="center"/>
          </w:tcPr>
          <w:p w14:paraId="74314AF9">
            <w:pPr>
              <w:pStyle w:val="28"/>
              <w:bidi w:val="0"/>
              <w:rPr>
                <w:rFonts w:hint="default"/>
                <w:color w:val="auto"/>
                <w:lang w:val="en-US" w:eastAsia="zh-CN"/>
              </w:rPr>
            </w:pPr>
            <w:r>
              <w:rPr>
                <w:rFonts w:hint="eastAsia"/>
                <w:color w:val="auto"/>
                <w:lang w:val="en-US" w:eastAsia="zh-CN"/>
              </w:rPr>
              <w:t>/</w:t>
            </w:r>
          </w:p>
        </w:tc>
        <w:tc>
          <w:tcPr>
            <w:tcW w:w="1695" w:type="dxa"/>
            <w:noWrap w:val="0"/>
            <w:vAlign w:val="center"/>
          </w:tcPr>
          <w:p w14:paraId="1253276A">
            <w:pPr>
              <w:pStyle w:val="28"/>
              <w:bidi w:val="0"/>
              <w:rPr>
                <w:rFonts w:hint="eastAsia"/>
                <w:color w:val="auto"/>
                <w:lang w:val="en-US" w:eastAsia="zh-CN"/>
              </w:rPr>
            </w:pPr>
            <w:r>
              <w:rPr>
                <w:rFonts w:hint="eastAsia"/>
                <w:color w:val="auto"/>
                <w:lang w:val="en-US" w:eastAsia="zh-CN"/>
              </w:rPr>
              <w:t>0.35t/a</w:t>
            </w:r>
          </w:p>
        </w:tc>
        <w:tc>
          <w:tcPr>
            <w:tcW w:w="1273" w:type="dxa"/>
            <w:noWrap w:val="0"/>
            <w:vAlign w:val="center"/>
          </w:tcPr>
          <w:p w14:paraId="53F52AA8">
            <w:pPr>
              <w:pStyle w:val="28"/>
              <w:bidi w:val="0"/>
              <w:rPr>
                <w:rFonts w:hint="eastAsia"/>
                <w:color w:val="auto"/>
                <w:lang w:val="en-US" w:eastAsia="zh-CN"/>
              </w:rPr>
            </w:pPr>
            <w:r>
              <w:rPr>
                <w:rFonts w:hint="eastAsia"/>
                <w:color w:val="auto"/>
                <w:lang w:val="en-US" w:eastAsia="zh-CN"/>
              </w:rPr>
              <w:t>+0.35t/a</w:t>
            </w:r>
          </w:p>
        </w:tc>
      </w:tr>
    </w:tbl>
    <w:p w14:paraId="00CA62CC">
      <w:pPr>
        <w:rPr>
          <w:rFonts w:hAnsi="宋体"/>
          <w:snapToGrid w:val="0"/>
          <w:color w:val="auto"/>
          <w:spacing w:val="-6"/>
          <w:kern w:val="21"/>
          <w:szCs w:val="21"/>
        </w:rPr>
        <w:sectPr>
          <w:footerReference r:id="rId10" w:type="default"/>
          <w:pgSz w:w="16838" w:h="11906" w:orient="landscape"/>
          <w:pgMar w:top="1474" w:right="1701" w:bottom="1474" w:left="1701" w:header="851" w:footer="851" w:gutter="0"/>
          <w:pgBorders>
            <w:top w:val="none" w:sz="0" w:space="0"/>
            <w:left w:val="none" w:sz="0" w:space="0"/>
            <w:bottom w:val="none" w:sz="0" w:space="0"/>
            <w:right w:val="none" w:sz="0" w:space="0"/>
          </w:pgBorders>
          <w:pgNumType w:fmt="decimal"/>
          <w:cols w:space="720" w:num="1"/>
          <w:docGrid w:linePitch="312" w:charSpace="0"/>
        </w:sectPr>
      </w:pPr>
      <w:r>
        <w:rPr>
          <w:rFonts w:hAnsi="宋体"/>
          <w:snapToGrid w:val="0"/>
          <w:color w:val="auto"/>
          <w:kern w:val="21"/>
          <w:szCs w:val="21"/>
        </w:rPr>
        <w:t>注：</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3 \* GB3 \* MERGEFORMAT </w:instrText>
      </w:r>
      <w:r>
        <w:rPr>
          <w:rFonts w:hAnsi="宋体"/>
          <w:snapToGrid w:val="0"/>
          <w:color w:val="auto"/>
          <w:spacing w:val="-6"/>
          <w:kern w:val="21"/>
          <w:szCs w:val="21"/>
        </w:rPr>
        <w:fldChar w:fldCharType="separate"/>
      </w:r>
      <w:r>
        <w:rPr>
          <w:rFonts w:hint="eastAsia" w:hAnsi="宋体"/>
          <w:color w:val="auto"/>
          <w:szCs w:val="21"/>
        </w:rPr>
        <w:t>③</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4 \* GB3 \* MERGEFORMAT </w:instrText>
      </w:r>
      <w:r>
        <w:rPr>
          <w:rFonts w:hAnsi="宋体"/>
          <w:snapToGrid w:val="0"/>
          <w:color w:val="auto"/>
          <w:spacing w:val="-6"/>
          <w:kern w:val="21"/>
          <w:szCs w:val="21"/>
        </w:rPr>
        <w:fldChar w:fldCharType="separate"/>
      </w:r>
      <w:r>
        <w:rPr>
          <w:rFonts w:hint="eastAsia" w:hAnsi="宋体"/>
          <w:color w:val="auto"/>
          <w:szCs w:val="21"/>
        </w:rPr>
        <w:t>④</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5 \* GB3 \* MERGEFORMAT </w:instrText>
      </w:r>
      <w:r>
        <w:rPr>
          <w:rFonts w:hAnsi="宋体"/>
          <w:snapToGrid w:val="0"/>
          <w:color w:val="auto"/>
          <w:spacing w:val="-16"/>
          <w:kern w:val="21"/>
          <w:szCs w:val="21"/>
        </w:rPr>
        <w:fldChar w:fldCharType="separate"/>
      </w:r>
      <w:r>
        <w:rPr>
          <w:rFonts w:hint="eastAsia" w:hAnsi="宋体"/>
          <w:color w:val="auto"/>
          <w:szCs w:val="21"/>
        </w:rPr>
        <w:t>⑤</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7 \* GB3 \* MERGEFORMAT </w:instrText>
      </w:r>
      <w:r>
        <w:rPr>
          <w:rFonts w:hAnsi="宋体"/>
          <w:snapToGrid w:val="0"/>
          <w:color w:val="auto"/>
          <w:spacing w:val="-6"/>
          <w:kern w:val="21"/>
          <w:szCs w:val="21"/>
        </w:rPr>
        <w:fldChar w:fldCharType="separate"/>
      </w:r>
      <w:r>
        <w:rPr>
          <w:rFonts w:hint="eastAsia" w:hAnsi="宋体"/>
          <w:color w:val="auto"/>
          <w:szCs w:val="21"/>
        </w:rPr>
        <w:t>⑦</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p>
    <w:p w14:paraId="437B9BD6">
      <w:pPr>
        <w:pStyle w:val="30"/>
        <w:bidi w:val="0"/>
        <w:outlineLvl w:val="0"/>
        <w:rPr>
          <w:rFonts w:hint="eastAsia"/>
          <w:color w:val="auto"/>
          <w:lang w:val="en-US" w:eastAsia="zh-CN"/>
        </w:rPr>
      </w:pPr>
      <w:bookmarkStart w:id="103" w:name="_Toc8999"/>
      <w:r>
        <w:rPr>
          <w:rFonts w:hint="eastAsia"/>
          <w:color w:val="auto"/>
          <w:lang w:val="en-US" w:eastAsia="zh-CN"/>
        </w:rPr>
        <w:t>附件七：关于环评文件公开文本删除涉密内容依据和说明</w:t>
      </w:r>
      <w:bookmarkEnd w:id="103"/>
    </w:p>
    <w:p w14:paraId="2E69240F">
      <w:pPr>
        <w:pStyle w:val="30"/>
        <w:bidi w:val="0"/>
        <w:rPr>
          <w:rFonts w:hint="default"/>
          <w:color w:val="auto"/>
          <w:lang w:val="en-US" w:eastAsia="zh-CN"/>
        </w:rPr>
      </w:pPr>
      <w:r>
        <w:rPr>
          <w:rFonts w:hint="default"/>
          <w:color w:val="auto"/>
          <w:lang w:val="en-US" w:eastAsia="zh-CN"/>
        </w:rPr>
        <w:drawing>
          <wp:inline distT="0" distB="0" distL="114300" distR="114300">
            <wp:extent cx="5850255" cy="8279765"/>
            <wp:effectExtent l="0" t="0" r="0" b="0"/>
            <wp:docPr id="85" name="图片 636" descr="建设项目环境影响报告表(1)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636" descr="建设项目环境影响报告表(1)_07"/>
                    <pic:cNvPicPr>
                      <a:picLocks noChangeAspect="1"/>
                    </pic:cNvPicPr>
                  </pic:nvPicPr>
                  <pic:blipFill>
                    <a:blip r:embed="rId58"/>
                    <a:stretch>
                      <a:fillRect/>
                    </a:stretch>
                  </pic:blipFill>
                  <pic:spPr>
                    <a:xfrm>
                      <a:off x="0" y="0"/>
                      <a:ext cx="5850255" cy="8279765"/>
                    </a:xfrm>
                    <a:prstGeom prst="rect">
                      <a:avLst/>
                    </a:prstGeom>
                    <a:noFill/>
                    <a:ln>
                      <a:noFill/>
                    </a:ln>
                  </pic:spPr>
                </pic:pic>
              </a:graphicData>
            </a:graphic>
          </wp:inline>
        </w:drawing>
      </w:r>
    </w:p>
    <w:p w14:paraId="6F40E523">
      <w:pPr>
        <w:pStyle w:val="30"/>
        <w:bidi w:val="0"/>
        <w:rPr>
          <w:rFonts w:hint="default"/>
          <w:color w:val="auto"/>
          <w:lang w:val="en-US" w:eastAsia="zh-CN"/>
        </w:rPr>
        <w:sectPr>
          <w:headerReference r:id="rId11" w:type="default"/>
          <w:footerReference r:id="rId12" w:type="default"/>
          <w:pgSz w:w="11906" w:h="16838"/>
          <w:pgMar w:top="1701" w:right="1474" w:bottom="1701" w:left="1474" w:header="851" w:footer="851" w:gutter="0"/>
          <w:pgBorders>
            <w:top w:val="none" w:sz="0" w:space="0"/>
            <w:left w:val="none" w:sz="0" w:space="0"/>
            <w:bottom w:val="none" w:sz="0" w:space="0"/>
            <w:right w:val="none" w:sz="0" w:space="0"/>
          </w:pgBorders>
          <w:pgNumType w:fmt="decimal"/>
          <w:cols w:space="720" w:num="1"/>
          <w:docGrid w:linePitch="312" w:charSpace="0"/>
        </w:sectPr>
      </w:pPr>
    </w:p>
    <w:p w14:paraId="3E40FA23">
      <w:pPr>
        <w:pStyle w:val="30"/>
        <w:bidi w:val="0"/>
        <w:outlineLvl w:val="0"/>
        <w:rPr>
          <w:rFonts w:hint="default"/>
          <w:color w:val="auto"/>
          <w:lang w:val="en-US" w:eastAsia="zh-CN"/>
        </w:rPr>
        <w:sectPr>
          <w:pgSz w:w="11906" w:h="16838"/>
          <w:pgMar w:top="1701" w:right="1474" w:bottom="1701" w:left="1474" w:header="851" w:footer="851" w:gutter="0"/>
          <w:pgBorders>
            <w:top w:val="none" w:sz="0" w:space="0"/>
            <w:left w:val="none" w:sz="0" w:space="0"/>
            <w:bottom w:val="none" w:sz="0" w:space="0"/>
            <w:right w:val="none" w:sz="0" w:space="0"/>
          </w:pgBorders>
          <w:pgNumType w:fmt="decimal"/>
          <w:cols w:space="720" w:num="1"/>
          <w:docGrid w:linePitch="312" w:charSpace="0"/>
        </w:sectPr>
      </w:pPr>
      <w:bookmarkStart w:id="104" w:name="_Toc13013"/>
      <w:r>
        <w:rPr>
          <w:rFonts w:hint="eastAsia"/>
          <w:color w:val="auto"/>
          <w:lang w:val="en-US" w:eastAsia="zh-CN"/>
        </w:rPr>
        <w:t>附件十三：关于环评文件未涉及国家秘密、商业秘密等内容的说明</w:t>
      </w:r>
      <w:r>
        <w:rPr>
          <w:rFonts w:hint="default"/>
          <w:color w:val="auto"/>
          <w:lang w:val="en-US" w:eastAsia="zh-CN"/>
        </w:rPr>
        <w:drawing>
          <wp:inline distT="0" distB="0" distL="114300" distR="114300">
            <wp:extent cx="5850255" cy="8279765"/>
            <wp:effectExtent l="0" t="0" r="0" b="0"/>
            <wp:docPr id="92" name="图片 633" descr="建设项目环境影响报告表(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633" descr="建设项目环境影响报告表(1)_02"/>
                    <pic:cNvPicPr>
                      <a:picLocks noChangeAspect="1"/>
                    </pic:cNvPicPr>
                  </pic:nvPicPr>
                  <pic:blipFill>
                    <a:blip r:embed="rId59"/>
                    <a:stretch>
                      <a:fillRect/>
                    </a:stretch>
                  </pic:blipFill>
                  <pic:spPr>
                    <a:xfrm>
                      <a:off x="0" y="0"/>
                      <a:ext cx="5850255" cy="8279765"/>
                    </a:xfrm>
                    <a:prstGeom prst="rect">
                      <a:avLst/>
                    </a:prstGeom>
                    <a:noFill/>
                    <a:ln>
                      <a:noFill/>
                    </a:ln>
                  </pic:spPr>
                </pic:pic>
              </a:graphicData>
            </a:graphic>
          </wp:inline>
        </w:drawing>
      </w:r>
      <w:bookmarkEnd w:id="104"/>
    </w:p>
    <w:p w14:paraId="7E19807C">
      <w:pPr>
        <w:pStyle w:val="30"/>
        <w:bidi w:val="0"/>
        <w:outlineLvl w:val="9"/>
        <w:rPr>
          <w:rFonts w:hint="default"/>
          <w:color w:val="auto"/>
          <w:lang w:val="en-US" w:eastAsia="zh-CN"/>
        </w:rPr>
      </w:pPr>
    </w:p>
    <w:sectPr>
      <w:pgSz w:w="11906" w:h="16838"/>
      <w:pgMar w:top="1701" w:right="1474" w:bottom="1701" w:left="1474"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7FE8EC5-652C-4EBE-927E-51A0BE33A5D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7CD4DA5-C039-42AD-86A7-75DCA2DBCBE5}"/>
  </w:font>
  <w:font w:name="方正仿宋_GB2312">
    <w:panose1 w:val="02000000000000000000"/>
    <w:charset w:val="86"/>
    <w:family w:val="auto"/>
    <w:pitch w:val="default"/>
    <w:sig w:usb0="A00002BF" w:usb1="184F6CFA" w:usb2="00000012" w:usb3="00000000" w:csb0="00040001" w:csb1="00000000"/>
    <w:embedRegular r:id="rId3" w:fontKey="{FDE01939-1393-40B8-A39C-47E97C9B5883}"/>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4" w:fontKey="{321B47F0-B111-4777-82F7-725D912CCFCF}"/>
  </w:font>
  <w:font w:name="方正楷体_GB2312">
    <w:panose1 w:val="02000000000000000000"/>
    <w:charset w:val="86"/>
    <w:family w:val="auto"/>
    <w:pitch w:val="default"/>
    <w:sig w:usb0="A00002BF" w:usb1="184F6CFA" w:usb2="00000012" w:usb3="00000000" w:csb0="00040001" w:csb1="00000000"/>
    <w:embedRegular r:id="rId5" w:fontKey="{365AC1BD-1A1E-4239-A92B-F3352C508A43}"/>
  </w:font>
  <w:font w:name="华文仿宋">
    <w:panose1 w:val="02010600040101010101"/>
    <w:charset w:val="86"/>
    <w:family w:val="auto"/>
    <w:pitch w:val="default"/>
    <w:sig w:usb0="00000287" w:usb1="080F0000" w:usb2="00000000" w:usb3="00000000" w:csb0="0004009F" w:csb1="DFD70000"/>
    <w:embedRegular r:id="rId6" w:fontKey="{C6064E63-A528-4D45-9ED5-5BF754AE4054}"/>
  </w:font>
  <w:font w:name="仿宋">
    <w:panose1 w:val="02010609060101010101"/>
    <w:charset w:val="86"/>
    <w:family w:val="auto"/>
    <w:pitch w:val="default"/>
    <w:sig w:usb0="800002BF" w:usb1="38CF7CFA" w:usb2="00000016" w:usb3="00000000" w:csb0="00040001" w:csb1="00000000"/>
    <w:embedRegular r:id="rId7" w:fontKey="{CFAA6AE3-615B-4A27-AA74-2784C33BE08F}"/>
  </w:font>
  <w:font w:name="Segoe UI Emoji">
    <w:panose1 w:val="020B0502040204020203"/>
    <w:charset w:val="00"/>
    <w:family w:val="auto"/>
    <w:pitch w:val="default"/>
    <w:sig w:usb0="00000001" w:usb1="02000000" w:usb2="08000000" w:usb3="00000000" w:csb0="00000001" w:csb1="00000000"/>
    <w:embedRegular r:id="rId8" w:fontKey="{205304C7-3F6F-4B6D-8BAF-C018BC6E5F73}"/>
  </w:font>
  <w:font w:name="WPSEMBED2">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36E38">
    <w:pPr>
      <w:tabs>
        <w:tab w:val="center" w:pos="4153"/>
        <w:tab w:val="right" w:pos="8306"/>
      </w:tabs>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C6FA7">
    <w:pPr>
      <w:framePr w:wrap="around" w:vAnchor="text" w:hAnchor="margin" w:xAlign="center" w:y="1"/>
      <w:tabs>
        <w:tab w:val="center" w:pos="4153"/>
        <w:tab w:val="right" w:pos="8306"/>
      </w:tabs>
    </w:pPr>
    <w:r>
      <w:fldChar w:fldCharType="begin"/>
    </w:r>
    <w:r>
      <w:instrText xml:space="preserve">PAGE  </w:instrText>
    </w:r>
    <w:r>
      <w:fldChar w:fldCharType="end"/>
    </w:r>
  </w:p>
  <w:p w14:paraId="16A48F3D">
    <w:pPr>
      <w:tabs>
        <w:tab w:val="center" w:pos="4153"/>
        <w:tab w:val="right" w:pos="8306"/>
      </w:tabs>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351D3">
    <w:pPr>
      <w:tabs>
        <w:tab w:val="center" w:pos="4153"/>
        <w:tab w:val="right" w:pos="8306"/>
      </w:tabs>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E0E11">
    <w:pPr>
      <w:tabs>
        <w:tab w:val="center" w:pos="4153"/>
        <w:tab w:val="right" w:pos="8306"/>
      </w:tabs>
      <w:ind w:right="360" w:firstLine="360"/>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7"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DB82FF">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05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1ceMz4QEAAMMDAAAOAAAA&#10;AAAAAAEAIAAAAB4BAABkcnMvZTJvRG9jLnhtbFBLBQYAAAAABgAGAFkBAABxBQAAAAA=&#10;">
              <v:fill on="f" focussize="0,0"/>
              <v:stroke on="f"/>
              <v:imagedata o:title=""/>
              <o:lock v:ext="edit" aspectratio="f"/>
              <v:textbox inset="0mm,0mm,0mm,0mm" style="mso-fit-shape-to-text:t;">
                <w:txbxContent>
                  <w:p w14:paraId="59DB82FF">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866CF">
    <w:pPr>
      <w:tabs>
        <w:tab w:val="center" w:pos="4153"/>
        <w:tab w:val="right" w:pos="8306"/>
      </w:tabs>
      <w:ind w:right="360" w:firstLine="36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1"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435685">
                          <w:pPr>
                            <w:pStyle w:val="12"/>
                          </w:pPr>
                          <w:r>
                            <w:fldChar w:fldCharType="begin"/>
                          </w:r>
                          <w:r>
                            <w:instrText xml:space="preserve"> PAGE  \* MERGEFORMAT </w:instrText>
                          </w:r>
                          <w:r>
                            <w:fldChar w:fldCharType="separate"/>
                          </w:r>
                          <w:r>
                            <w:t>16</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fmpQMwBAACe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3iJtwsKXHc4sgvP75ffv6+/PpG&#10;VtXrZdaoD1Bj6n3A5DS89QPmz35AZ6Y+qGjzF0kRjKPC56vCckhE5Efr1XpdYUhgbL4gPnt4HiKk&#10;d9Jbko2GRhxhUZafPkAaU+eUXM35O21MGaNxfzkQM3tY7n3sMVtp2A8Tob1vz8inx+k31OGyU2Le&#10;OxQ3L8psxNnYz8YxRH3oyiblehDeHBM2UXrLFUbYqTCOrbCbVizvxeN7yXr4rb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d+alAzAEAAJ4DAAAOAAAAAAAAAAEAIAAAAB4BAABkcnMvZTJv&#10;RG9jLnhtbFBLBQYAAAAABgAGAFkBAABcBQAAAAA=&#10;">
              <v:fill on="f" focussize="0,0"/>
              <v:stroke on="f"/>
              <v:imagedata o:title=""/>
              <o:lock v:ext="edit" aspectratio="f"/>
              <v:textbox inset="0mm,0mm,0mm,0mm" style="mso-fit-shape-to-text:t;">
                <w:txbxContent>
                  <w:p w14:paraId="51435685">
                    <w:pPr>
                      <w:pStyle w:val="12"/>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07F75">
    <w:pPr>
      <w:tabs>
        <w:tab w:val="center" w:pos="4153"/>
        <w:tab w:val="right" w:pos="8306"/>
      </w:tabs>
      <w:ind w:right="360" w:firstLine="360"/>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8"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D1FFBB">
                          <w:pPr>
                            <w:pStyle w:val="12"/>
                          </w:pPr>
                          <w:r>
                            <w:fldChar w:fldCharType="begin"/>
                          </w:r>
                          <w:r>
                            <w:instrText xml:space="preserve"> PAGE  \* MERGEFORMAT </w:instrText>
                          </w:r>
                          <w:r>
                            <w:fldChar w:fldCharType="separate"/>
                          </w:r>
                          <w:r>
                            <w:t>16</w:t>
                          </w:r>
                          <w:r>
                            <w:fldChar w:fldCharType="end"/>
                          </w:r>
                        </w:p>
                      </w:txbxContent>
                    </wps:txbx>
                    <wps:bodyPr vert="horz" wrap="none" lIns="0" tIns="0" rIns="0" bIns="0" anchor="t" anchorCtr="0" upright="0">
                      <a:spAutoFit/>
                    </wps:bodyPr>
                  </wps:wsp>
                </a:graphicData>
              </a:graphic>
            </wp:anchor>
          </w:drawing>
        </mc:Choice>
        <mc:Fallback>
          <w:pict>
            <v:shape id="文本框 205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BQHKKZ4QEAAMMDAAAOAAAA&#10;AAAAAAEAIAAAAB4BAABkcnMvZTJvRG9jLnhtbFBLBQYAAAAABgAGAFkBAABxBQAAAAA=&#10;">
              <v:fill on="f" focussize="0,0"/>
              <v:stroke on="f"/>
              <v:imagedata o:title=""/>
              <o:lock v:ext="edit" aspectratio="f"/>
              <v:textbox inset="0mm,0mm,0mm,0mm" style="mso-fit-shape-to-text:t;">
                <w:txbxContent>
                  <w:p w14:paraId="25D1FFBB">
                    <w:pPr>
                      <w:pStyle w:val="12"/>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35E3D">
    <w:pPr>
      <w:tabs>
        <w:tab w:val="center" w:pos="4153"/>
        <w:tab w:val="right" w:pos="8306"/>
      </w:tabs>
      <w:ind w:right="360" w:firstLine="360"/>
      <w:jc w:val="cente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9" name="文本框 20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43C4BA">
                          <w:pPr>
                            <w:pStyle w:val="12"/>
                          </w:pPr>
                          <w:r>
                            <w:fldChar w:fldCharType="begin"/>
                          </w:r>
                          <w:r>
                            <w:instrText xml:space="preserve"> PAGE  \* MERGEFORMAT </w:instrText>
                          </w:r>
                          <w:r>
                            <w:fldChar w:fldCharType="separate"/>
                          </w:r>
                          <w:r>
                            <w:t>107</w:t>
                          </w:r>
                          <w:r>
                            <w:fldChar w:fldCharType="end"/>
                          </w:r>
                        </w:p>
                      </w:txbxContent>
                    </wps:txbx>
                    <wps:bodyPr vert="horz" wrap="none" lIns="0" tIns="0" rIns="0" bIns="0" anchor="t" anchorCtr="0" upright="0">
                      <a:spAutoFit/>
                    </wps:bodyPr>
                  </wps:wsp>
                </a:graphicData>
              </a:graphic>
            </wp:anchor>
          </w:drawing>
        </mc:Choice>
        <mc:Fallback>
          <w:pict>
            <v:shape id="文本框 205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X5nUh4QEAAMMDAAAOAAAA&#10;AAAAAAEAIAAAAB4BAABkcnMvZTJvRG9jLnhtbFBLBQYAAAAABgAGAFkBAABxBQAAAAA=&#10;">
              <v:fill on="f" focussize="0,0"/>
              <v:stroke on="f"/>
              <v:imagedata o:title=""/>
              <o:lock v:ext="edit" aspectratio="f"/>
              <v:textbox inset="0mm,0mm,0mm,0mm" style="mso-fit-shape-to-text:t;">
                <w:txbxContent>
                  <w:p w14:paraId="0D43C4BA">
                    <w:pPr>
                      <w:pStyle w:val="12"/>
                    </w:pPr>
                    <w:r>
                      <w:fldChar w:fldCharType="begin"/>
                    </w:r>
                    <w:r>
                      <w:instrText xml:space="preserve"> PAGE  \* MERGEFORMAT </w:instrText>
                    </w:r>
                    <w:r>
                      <w:fldChar w:fldCharType="separate"/>
                    </w:r>
                    <w:r>
                      <w:t>107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B5611">
    <w:pPr>
      <w:spacing w:line="176" w:lineRule="auto"/>
      <w:ind w:left="443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0" name="文本框 20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33EAF4">
                          <w:pPr>
                            <w:pStyle w:val="12"/>
                          </w:pPr>
                          <w:r>
                            <w:fldChar w:fldCharType="begin"/>
                          </w:r>
                          <w:r>
                            <w:instrText xml:space="preserve"> PAGE  \* MERGEFORMAT </w:instrText>
                          </w:r>
                          <w:r>
                            <w:fldChar w:fldCharType="separate"/>
                          </w:r>
                          <w:r>
                            <w:t>153</w:t>
                          </w:r>
                          <w:r>
                            <w:fldChar w:fldCharType="end"/>
                          </w:r>
                        </w:p>
                      </w:txbxContent>
                    </wps:txbx>
                    <wps:bodyPr vert="horz" wrap="none" lIns="0" tIns="0" rIns="0" bIns="0" anchor="t" anchorCtr="0" upright="0">
                      <a:spAutoFit/>
                    </wps:bodyPr>
                  </wps:wsp>
                </a:graphicData>
              </a:graphic>
            </wp:anchor>
          </w:drawing>
        </mc:Choice>
        <mc:Fallback>
          <w:pict>
            <v:shape id="文本框 205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e2lx4QEAAMMDAAAOAAAA&#10;AAAAAAEAIAAAAB4BAABkcnMvZTJvRG9jLnhtbFBLBQYAAAAABgAGAFkBAABxBQAAAAA=&#10;">
              <v:fill on="f" focussize="0,0"/>
              <v:stroke on="f"/>
              <v:imagedata o:title=""/>
              <o:lock v:ext="edit" aspectratio="f"/>
              <v:textbox inset="0mm,0mm,0mm,0mm" style="mso-fit-shape-to-text:t;">
                <w:txbxContent>
                  <w:p w14:paraId="7033EAF4">
                    <w:pPr>
                      <w:pStyle w:val="12"/>
                    </w:pPr>
                    <w:r>
                      <w:fldChar w:fldCharType="begin"/>
                    </w:r>
                    <w:r>
                      <w:instrText xml:space="preserve"> PAGE  \* MERGEFORMAT </w:instrText>
                    </w:r>
                    <w:r>
                      <w:fldChar w:fldCharType="separate"/>
                    </w:r>
                    <w:r>
                      <w:t>153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E04F3">
    <w:pPr>
      <w:pBdr>
        <w:bottom w:val="none" w:color="auto" w:sz="0" w:space="1"/>
      </w:pBdr>
      <w:tabs>
        <w:tab w:val="center" w:pos="4153"/>
        <w:tab w:val="right"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25301">
    <w:pPr>
      <w:pStyle w:val="9"/>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yZTVhOGFhZGRjNmNhMzQxZmVlYTAyNjdlZDMyYjgifQ=="/>
  </w:docVars>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0BB8"/>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67E52"/>
    <w:rsid w:val="00867FFD"/>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4DE1"/>
    <w:rsid w:val="00D95896"/>
    <w:rsid w:val="00DB2983"/>
    <w:rsid w:val="00DC1257"/>
    <w:rsid w:val="00DC3DC0"/>
    <w:rsid w:val="00DC5B2B"/>
    <w:rsid w:val="00DD318D"/>
    <w:rsid w:val="00DF2E12"/>
    <w:rsid w:val="00DF390D"/>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2B19"/>
    <w:rsid w:val="00F9212D"/>
    <w:rsid w:val="00F965DA"/>
    <w:rsid w:val="00FA406A"/>
    <w:rsid w:val="00FB503A"/>
    <w:rsid w:val="00FB516C"/>
    <w:rsid w:val="00FD0236"/>
    <w:rsid w:val="00FD18F4"/>
    <w:rsid w:val="00FD54DB"/>
    <w:rsid w:val="00FD619F"/>
    <w:rsid w:val="01290F7E"/>
    <w:rsid w:val="01322769"/>
    <w:rsid w:val="015D1E09"/>
    <w:rsid w:val="018053AC"/>
    <w:rsid w:val="018620BC"/>
    <w:rsid w:val="0194458F"/>
    <w:rsid w:val="019A3B52"/>
    <w:rsid w:val="01A44959"/>
    <w:rsid w:val="01D4523A"/>
    <w:rsid w:val="02163E9F"/>
    <w:rsid w:val="02184C85"/>
    <w:rsid w:val="02697903"/>
    <w:rsid w:val="02A741EF"/>
    <w:rsid w:val="02DA6C7E"/>
    <w:rsid w:val="02E50F4A"/>
    <w:rsid w:val="02F96569"/>
    <w:rsid w:val="02FB0176"/>
    <w:rsid w:val="02FC45A7"/>
    <w:rsid w:val="030F6F1D"/>
    <w:rsid w:val="031E62CB"/>
    <w:rsid w:val="033755DF"/>
    <w:rsid w:val="037D572F"/>
    <w:rsid w:val="03D251BA"/>
    <w:rsid w:val="03EA7B21"/>
    <w:rsid w:val="03F82FC0"/>
    <w:rsid w:val="03F871D6"/>
    <w:rsid w:val="04140A3D"/>
    <w:rsid w:val="042048E8"/>
    <w:rsid w:val="042A1550"/>
    <w:rsid w:val="044D2F85"/>
    <w:rsid w:val="04643A45"/>
    <w:rsid w:val="04850275"/>
    <w:rsid w:val="04C05DD9"/>
    <w:rsid w:val="052E4D8C"/>
    <w:rsid w:val="05344A90"/>
    <w:rsid w:val="054039A8"/>
    <w:rsid w:val="056A3A4A"/>
    <w:rsid w:val="05784002"/>
    <w:rsid w:val="0583250B"/>
    <w:rsid w:val="05F83EAE"/>
    <w:rsid w:val="06112117"/>
    <w:rsid w:val="063E7D85"/>
    <w:rsid w:val="064E1F37"/>
    <w:rsid w:val="06567547"/>
    <w:rsid w:val="06716FC0"/>
    <w:rsid w:val="06BC5EB1"/>
    <w:rsid w:val="06E16452"/>
    <w:rsid w:val="06EF31BF"/>
    <w:rsid w:val="070E3A60"/>
    <w:rsid w:val="07293586"/>
    <w:rsid w:val="07295285"/>
    <w:rsid w:val="07636392"/>
    <w:rsid w:val="076E3F95"/>
    <w:rsid w:val="07770C56"/>
    <w:rsid w:val="078441FF"/>
    <w:rsid w:val="07994889"/>
    <w:rsid w:val="081E231A"/>
    <w:rsid w:val="08726BF4"/>
    <w:rsid w:val="087D26C1"/>
    <w:rsid w:val="08DB70FB"/>
    <w:rsid w:val="090221EB"/>
    <w:rsid w:val="092217DD"/>
    <w:rsid w:val="093A7294"/>
    <w:rsid w:val="094E014B"/>
    <w:rsid w:val="09510DC4"/>
    <w:rsid w:val="09674FE6"/>
    <w:rsid w:val="09741370"/>
    <w:rsid w:val="09CA2BCC"/>
    <w:rsid w:val="09CC13A3"/>
    <w:rsid w:val="09F93B0B"/>
    <w:rsid w:val="0A263993"/>
    <w:rsid w:val="0A2D3AC2"/>
    <w:rsid w:val="0A613C50"/>
    <w:rsid w:val="0AA755DF"/>
    <w:rsid w:val="0AD53D7C"/>
    <w:rsid w:val="0AE6643C"/>
    <w:rsid w:val="0B0141C3"/>
    <w:rsid w:val="0B120D44"/>
    <w:rsid w:val="0B62022D"/>
    <w:rsid w:val="0B7368FB"/>
    <w:rsid w:val="0BC74D57"/>
    <w:rsid w:val="0BD27BF6"/>
    <w:rsid w:val="0BDD7C8A"/>
    <w:rsid w:val="0BF56298"/>
    <w:rsid w:val="0C0D7AE6"/>
    <w:rsid w:val="0C191D25"/>
    <w:rsid w:val="0C2F74BF"/>
    <w:rsid w:val="0C346B5F"/>
    <w:rsid w:val="0C3B3C7D"/>
    <w:rsid w:val="0CAB2EAE"/>
    <w:rsid w:val="0CF02344"/>
    <w:rsid w:val="0D131A73"/>
    <w:rsid w:val="0D2B6C84"/>
    <w:rsid w:val="0D337606"/>
    <w:rsid w:val="0D5A25F6"/>
    <w:rsid w:val="0D621C7D"/>
    <w:rsid w:val="0DD3520B"/>
    <w:rsid w:val="0DF447F8"/>
    <w:rsid w:val="0E1D181C"/>
    <w:rsid w:val="0E461339"/>
    <w:rsid w:val="0E73034D"/>
    <w:rsid w:val="0E96765D"/>
    <w:rsid w:val="0EA10147"/>
    <w:rsid w:val="0EA12320"/>
    <w:rsid w:val="0ECC12D1"/>
    <w:rsid w:val="0EDE48A1"/>
    <w:rsid w:val="0EFF0A11"/>
    <w:rsid w:val="0F13775A"/>
    <w:rsid w:val="0F2446CE"/>
    <w:rsid w:val="0F5F45FE"/>
    <w:rsid w:val="0F7C3C77"/>
    <w:rsid w:val="0F917E25"/>
    <w:rsid w:val="0F9A112B"/>
    <w:rsid w:val="0F9D0EBF"/>
    <w:rsid w:val="0FAE081D"/>
    <w:rsid w:val="1019235F"/>
    <w:rsid w:val="102B64CB"/>
    <w:rsid w:val="103F6C17"/>
    <w:rsid w:val="106D2F64"/>
    <w:rsid w:val="109926A3"/>
    <w:rsid w:val="10B63710"/>
    <w:rsid w:val="10B918F8"/>
    <w:rsid w:val="10DB1C9F"/>
    <w:rsid w:val="10F10820"/>
    <w:rsid w:val="111C2F7A"/>
    <w:rsid w:val="112E5CA9"/>
    <w:rsid w:val="116457F1"/>
    <w:rsid w:val="11665CA1"/>
    <w:rsid w:val="11B63597"/>
    <w:rsid w:val="11B865FE"/>
    <w:rsid w:val="11EE4FF3"/>
    <w:rsid w:val="123D5579"/>
    <w:rsid w:val="12B07746"/>
    <w:rsid w:val="12BE0FEC"/>
    <w:rsid w:val="12C32F26"/>
    <w:rsid w:val="12DA3760"/>
    <w:rsid w:val="13043059"/>
    <w:rsid w:val="131214CB"/>
    <w:rsid w:val="13141499"/>
    <w:rsid w:val="13427DB4"/>
    <w:rsid w:val="1345591E"/>
    <w:rsid w:val="134F141D"/>
    <w:rsid w:val="13531204"/>
    <w:rsid w:val="13827110"/>
    <w:rsid w:val="13951726"/>
    <w:rsid w:val="139A2351"/>
    <w:rsid w:val="13EB044B"/>
    <w:rsid w:val="13F07D65"/>
    <w:rsid w:val="14347589"/>
    <w:rsid w:val="14396509"/>
    <w:rsid w:val="144578B8"/>
    <w:rsid w:val="14574AE4"/>
    <w:rsid w:val="14CA1097"/>
    <w:rsid w:val="14DD2C3C"/>
    <w:rsid w:val="14F75E9B"/>
    <w:rsid w:val="153148F2"/>
    <w:rsid w:val="153764D9"/>
    <w:rsid w:val="15684994"/>
    <w:rsid w:val="159E7B1A"/>
    <w:rsid w:val="16087E1D"/>
    <w:rsid w:val="167E55A7"/>
    <w:rsid w:val="16AF0E7C"/>
    <w:rsid w:val="16F7741B"/>
    <w:rsid w:val="171406D5"/>
    <w:rsid w:val="172F463D"/>
    <w:rsid w:val="17394A28"/>
    <w:rsid w:val="17701D14"/>
    <w:rsid w:val="17735226"/>
    <w:rsid w:val="17A417A4"/>
    <w:rsid w:val="17D411F6"/>
    <w:rsid w:val="17D81D69"/>
    <w:rsid w:val="17FD666C"/>
    <w:rsid w:val="185D457C"/>
    <w:rsid w:val="189F624C"/>
    <w:rsid w:val="18A350F6"/>
    <w:rsid w:val="18BD142C"/>
    <w:rsid w:val="18DA68F2"/>
    <w:rsid w:val="195C53DD"/>
    <w:rsid w:val="198B3B37"/>
    <w:rsid w:val="19E93619"/>
    <w:rsid w:val="1A1459A8"/>
    <w:rsid w:val="1A1C66C0"/>
    <w:rsid w:val="1A3E5313"/>
    <w:rsid w:val="1A42393B"/>
    <w:rsid w:val="1A5E2203"/>
    <w:rsid w:val="1A6413BA"/>
    <w:rsid w:val="1A9F789A"/>
    <w:rsid w:val="1AAD45DE"/>
    <w:rsid w:val="1B046F80"/>
    <w:rsid w:val="1B122762"/>
    <w:rsid w:val="1B2D4EBC"/>
    <w:rsid w:val="1B3267B5"/>
    <w:rsid w:val="1B40161D"/>
    <w:rsid w:val="1B441859"/>
    <w:rsid w:val="1B5B65FA"/>
    <w:rsid w:val="1B6606B1"/>
    <w:rsid w:val="1B671FEA"/>
    <w:rsid w:val="1B866036"/>
    <w:rsid w:val="1BCF0D5B"/>
    <w:rsid w:val="1BEC2FB3"/>
    <w:rsid w:val="1C1D2DE3"/>
    <w:rsid w:val="1C27710B"/>
    <w:rsid w:val="1C3E6B70"/>
    <w:rsid w:val="1C5E7925"/>
    <w:rsid w:val="1C6C6997"/>
    <w:rsid w:val="1C861F4B"/>
    <w:rsid w:val="1CFD070F"/>
    <w:rsid w:val="1D3F5364"/>
    <w:rsid w:val="1D457387"/>
    <w:rsid w:val="1D5F6196"/>
    <w:rsid w:val="1D6132A5"/>
    <w:rsid w:val="1D8E56D5"/>
    <w:rsid w:val="1DF8679C"/>
    <w:rsid w:val="1E0438CC"/>
    <w:rsid w:val="1E0740D4"/>
    <w:rsid w:val="1E69341B"/>
    <w:rsid w:val="1E7A43DA"/>
    <w:rsid w:val="1E990EF4"/>
    <w:rsid w:val="1EA8053D"/>
    <w:rsid w:val="1F6132DC"/>
    <w:rsid w:val="1FA10302"/>
    <w:rsid w:val="1FAD5C0F"/>
    <w:rsid w:val="1FD46E59"/>
    <w:rsid w:val="1FE7539E"/>
    <w:rsid w:val="201F799D"/>
    <w:rsid w:val="202773F9"/>
    <w:rsid w:val="202D3B9A"/>
    <w:rsid w:val="204B07E7"/>
    <w:rsid w:val="20671BE0"/>
    <w:rsid w:val="20841298"/>
    <w:rsid w:val="20963CB8"/>
    <w:rsid w:val="20A81A1B"/>
    <w:rsid w:val="20AC4ABE"/>
    <w:rsid w:val="20B07FB6"/>
    <w:rsid w:val="20B61CEB"/>
    <w:rsid w:val="20B646FB"/>
    <w:rsid w:val="20C87685"/>
    <w:rsid w:val="20E64474"/>
    <w:rsid w:val="213B74B1"/>
    <w:rsid w:val="21551D2C"/>
    <w:rsid w:val="21596C18"/>
    <w:rsid w:val="215A2310"/>
    <w:rsid w:val="2191228D"/>
    <w:rsid w:val="21DE318A"/>
    <w:rsid w:val="21EF5B80"/>
    <w:rsid w:val="2236087F"/>
    <w:rsid w:val="22576990"/>
    <w:rsid w:val="22576CAC"/>
    <w:rsid w:val="227C6712"/>
    <w:rsid w:val="228F4CC9"/>
    <w:rsid w:val="22D9079A"/>
    <w:rsid w:val="22D93B65"/>
    <w:rsid w:val="22DD18A7"/>
    <w:rsid w:val="22EA5D72"/>
    <w:rsid w:val="22F47480"/>
    <w:rsid w:val="235F2C17"/>
    <w:rsid w:val="237829D7"/>
    <w:rsid w:val="237B6BA4"/>
    <w:rsid w:val="23893A65"/>
    <w:rsid w:val="23DE1C48"/>
    <w:rsid w:val="23DF51AB"/>
    <w:rsid w:val="23E07E45"/>
    <w:rsid w:val="23E32EED"/>
    <w:rsid w:val="23FE1AD5"/>
    <w:rsid w:val="240210CD"/>
    <w:rsid w:val="245179A7"/>
    <w:rsid w:val="24531C16"/>
    <w:rsid w:val="247A37EA"/>
    <w:rsid w:val="24927561"/>
    <w:rsid w:val="24B434A2"/>
    <w:rsid w:val="24BF09F7"/>
    <w:rsid w:val="24C50845"/>
    <w:rsid w:val="24C803A4"/>
    <w:rsid w:val="24D814A5"/>
    <w:rsid w:val="252C6FF6"/>
    <w:rsid w:val="252D53FE"/>
    <w:rsid w:val="2551594B"/>
    <w:rsid w:val="25847246"/>
    <w:rsid w:val="258B7398"/>
    <w:rsid w:val="25A26260"/>
    <w:rsid w:val="25E55C47"/>
    <w:rsid w:val="25EC2D81"/>
    <w:rsid w:val="25F04E27"/>
    <w:rsid w:val="26082272"/>
    <w:rsid w:val="26445799"/>
    <w:rsid w:val="264458DF"/>
    <w:rsid w:val="265D3C36"/>
    <w:rsid w:val="26ED66A2"/>
    <w:rsid w:val="271E2264"/>
    <w:rsid w:val="277057A2"/>
    <w:rsid w:val="27AF5057"/>
    <w:rsid w:val="27FF5E1C"/>
    <w:rsid w:val="28491F2D"/>
    <w:rsid w:val="284D4E05"/>
    <w:rsid w:val="287D6D7E"/>
    <w:rsid w:val="28861B45"/>
    <w:rsid w:val="28E026ED"/>
    <w:rsid w:val="29206EB8"/>
    <w:rsid w:val="29595666"/>
    <w:rsid w:val="29874881"/>
    <w:rsid w:val="29942251"/>
    <w:rsid w:val="29A21154"/>
    <w:rsid w:val="29A93703"/>
    <w:rsid w:val="29E325E0"/>
    <w:rsid w:val="29F95349"/>
    <w:rsid w:val="2A043BBD"/>
    <w:rsid w:val="2A1E2567"/>
    <w:rsid w:val="2A452503"/>
    <w:rsid w:val="2A950CB9"/>
    <w:rsid w:val="2A967A3C"/>
    <w:rsid w:val="2AB42096"/>
    <w:rsid w:val="2ACA0963"/>
    <w:rsid w:val="2ACA38C6"/>
    <w:rsid w:val="2AE7231A"/>
    <w:rsid w:val="2B0F3A07"/>
    <w:rsid w:val="2B1D2BBF"/>
    <w:rsid w:val="2B482518"/>
    <w:rsid w:val="2B4D4859"/>
    <w:rsid w:val="2B932B4A"/>
    <w:rsid w:val="2BA936A8"/>
    <w:rsid w:val="2BFD0F27"/>
    <w:rsid w:val="2C256FAB"/>
    <w:rsid w:val="2C2D3139"/>
    <w:rsid w:val="2C315A5A"/>
    <w:rsid w:val="2C4B1C25"/>
    <w:rsid w:val="2C542665"/>
    <w:rsid w:val="2C5646F4"/>
    <w:rsid w:val="2C8E3C12"/>
    <w:rsid w:val="2CD07D87"/>
    <w:rsid w:val="2D3C3AD3"/>
    <w:rsid w:val="2D4E0C94"/>
    <w:rsid w:val="2D5503F3"/>
    <w:rsid w:val="2D9E19E4"/>
    <w:rsid w:val="2D9E56F5"/>
    <w:rsid w:val="2DA33ED8"/>
    <w:rsid w:val="2DCD054A"/>
    <w:rsid w:val="2DE366F1"/>
    <w:rsid w:val="2E2016DB"/>
    <w:rsid w:val="2E667F96"/>
    <w:rsid w:val="2E8226AB"/>
    <w:rsid w:val="2EDD77F3"/>
    <w:rsid w:val="2EEB151D"/>
    <w:rsid w:val="2F1A178D"/>
    <w:rsid w:val="2F332AC8"/>
    <w:rsid w:val="2F971705"/>
    <w:rsid w:val="2F9B0F02"/>
    <w:rsid w:val="2FD065E6"/>
    <w:rsid w:val="2FD96870"/>
    <w:rsid w:val="30226B4B"/>
    <w:rsid w:val="303D2268"/>
    <w:rsid w:val="303D56E5"/>
    <w:rsid w:val="304F76D1"/>
    <w:rsid w:val="30580BC9"/>
    <w:rsid w:val="30634F75"/>
    <w:rsid w:val="30C145B6"/>
    <w:rsid w:val="30C31167"/>
    <w:rsid w:val="30C7305D"/>
    <w:rsid w:val="311E2ED7"/>
    <w:rsid w:val="31405E39"/>
    <w:rsid w:val="31540F86"/>
    <w:rsid w:val="315619EE"/>
    <w:rsid w:val="315C449C"/>
    <w:rsid w:val="317653A0"/>
    <w:rsid w:val="317E11B5"/>
    <w:rsid w:val="31B82709"/>
    <w:rsid w:val="31C845BB"/>
    <w:rsid w:val="31D05482"/>
    <w:rsid w:val="32244DFC"/>
    <w:rsid w:val="323F5312"/>
    <w:rsid w:val="32400B34"/>
    <w:rsid w:val="32412973"/>
    <w:rsid w:val="325035D5"/>
    <w:rsid w:val="32566E81"/>
    <w:rsid w:val="326670D9"/>
    <w:rsid w:val="329448A6"/>
    <w:rsid w:val="329A50BF"/>
    <w:rsid w:val="329E6876"/>
    <w:rsid w:val="32AE57A2"/>
    <w:rsid w:val="32E16842"/>
    <w:rsid w:val="333015F2"/>
    <w:rsid w:val="334B6320"/>
    <w:rsid w:val="33677D4D"/>
    <w:rsid w:val="3370183B"/>
    <w:rsid w:val="33C502D8"/>
    <w:rsid w:val="33CB6CCB"/>
    <w:rsid w:val="33D47D4F"/>
    <w:rsid w:val="33D934D4"/>
    <w:rsid w:val="33DD4CD9"/>
    <w:rsid w:val="33FE2F6A"/>
    <w:rsid w:val="3402116D"/>
    <w:rsid w:val="34056568"/>
    <w:rsid w:val="340A3E38"/>
    <w:rsid w:val="340E07E5"/>
    <w:rsid w:val="34173357"/>
    <w:rsid w:val="34235BF7"/>
    <w:rsid w:val="345941D7"/>
    <w:rsid w:val="349618B6"/>
    <w:rsid w:val="352E4885"/>
    <w:rsid w:val="355E7462"/>
    <w:rsid w:val="35846234"/>
    <w:rsid w:val="358C5FA8"/>
    <w:rsid w:val="35B62EAC"/>
    <w:rsid w:val="35C15DF1"/>
    <w:rsid w:val="35FE5725"/>
    <w:rsid w:val="36074A7F"/>
    <w:rsid w:val="361E1B63"/>
    <w:rsid w:val="362D1DA6"/>
    <w:rsid w:val="36363BC7"/>
    <w:rsid w:val="366859E7"/>
    <w:rsid w:val="36923549"/>
    <w:rsid w:val="36AA57C0"/>
    <w:rsid w:val="36AF7718"/>
    <w:rsid w:val="36B75FBF"/>
    <w:rsid w:val="36BD0C45"/>
    <w:rsid w:val="370C4A9C"/>
    <w:rsid w:val="37271359"/>
    <w:rsid w:val="37307DA0"/>
    <w:rsid w:val="373139FF"/>
    <w:rsid w:val="37353608"/>
    <w:rsid w:val="37927067"/>
    <w:rsid w:val="37A33759"/>
    <w:rsid w:val="37C11F1E"/>
    <w:rsid w:val="37CD3840"/>
    <w:rsid w:val="37D41629"/>
    <w:rsid w:val="37E00298"/>
    <w:rsid w:val="383C4522"/>
    <w:rsid w:val="385839D6"/>
    <w:rsid w:val="38741F0E"/>
    <w:rsid w:val="38947FBD"/>
    <w:rsid w:val="38B302F9"/>
    <w:rsid w:val="38D4425E"/>
    <w:rsid w:val="38F12CD3"/>
    <w:rsid w:val="38F94775"/>
    <w:rsid w:val="391F00CC"/>
    <w:rsid w:val="39215FB4"/>
    <w:rsid w:val="39294390"/>
    <w:rsid w:val="392971ED"/>
    <w:rsid w:val="39325651"/>
    <w:rsid w:val="399C6A52"/>
    <w:rsid w:val="39CD5BD5"/>
    <w:rsid w:val="3A476BFD"/>
    <w:rsid w:val="3A6B3342"/>
    <w:rsid w:val="3A726921"/>
    <w:rsid w:val="3A783242"/>
    <w:rsid w:val="3A872856"/>
    <w:rsid w:val="3ABA717F"/>
    <w:rsid w:val="3AC70A1B"/>
    <w:rsid w:val="3AD26ABB"/>
    <w:rsid w:val="3AFF6407"/>
    <w:rsid w:val="3B0A2CE7"/>
    <w:rsid w:val="3B1A0A62"/>
    <w:rsid w:val="3B3763D1"/>
    <w:rsid w:val="3B962728"/>
    <w:rsid w:val="3C2E7E54"/>
    <w:rsid w:val="3C2F6E1E"/>
    <w:rsid w:val="3C4F64BA"/>
    <w:rsid w:val="3CC316B6"/>
    <w:rsid w:val="3CCF65F3"/>
    <w:rsid w:val="3CDA245A"/>
    <w:rsid w:val="3CEE0ECF"/>
    <w:rsid w:val="3D093329"/>
    <w:rsid w:val="3D143113"/>
    <w:rsid w:val="3D1E06B7"/>
    <w:rsid w:val="3E0E6961"/>
    <w:rsid w:val="3E8911A8"/>
    <w:rsid w:val="3E94330A"/>
    <w:rsid w:val="3EBC7066"/>
    <w:rsid w:val="3ECD05CA"/>
    <w:rsid w:val="3EDA0523"/>
    <w:rsid w:val="3EDE5226"/>
    <w:rsid w:val="3F2F6EBF"/>
    <w:rsid w:val="3F8213B4"/>
    <w:rsid w:val="3FC76845"/>
    <w:rsid w:val="3FD57736"/>
    <w:rsid w:val="40071619"/>
    <w:rsid w:val="401A6E91"/>
    <w:rsid w:val="401E30E4"/>
    <w:rsid w:val="406330F8"/>
    <w:rsid w:val="40692574"/>
    <w:rsid w:val="407A6407"/>
    <w:rsid w:val="40992DF2"/>
    <w:rsid w:val="40D76032"/>
    <w:rsid w:val="40E5275E"/>
    <w:rsid w:val="4118758B"/>
    <w:rsid w:val="414B7CBE"/>
    <w:rsid w:val="41596145"/>
    <w:rsid w:val="416926E5"/>
    <w:rsid w:val="41A53138"/>
    <w:rsid w:val="41D53C94"/>
    <w:rsid w:val="4200449D"/>
    <w:rsid w:val="4210609D"/>
    <w:rsid w:val="4233229F"/>
    <w:rsid w:val="42336996"/>
    <w:rsid w:val="423A3BCC"/>
    <w:rsid w:val="424E57D2"/>
    <w:rsid w:val="42744A67"/>
    <w:rsid w:val="42753AFF"/>
    <w:rsid w:val="4292190E"/>
    <w:rsid w:val="429D02B3"/>
    <w:rsid w:val="42AA5E6A"/>
    <w:rsid w:val="42B26C49"/>
    <w:rsid w:val="42E02542"/>
    <w:rsid w:val="43261F7C"/>
    <w:rsid w:val="432F7958"/>
    <w:rsid w:val="433A6FE6"/>
    <w:rsid w:val="4340181D"/>
    <w:rsid w:val="43480868"/>
    <w:rsid w:val="4350713C"/>
    <w:rsid w:val="436653E0"/>
    <w:rsid w:val="436B4218"/>
    <w:rsid w:val="4374245C"/>
    <w:rsid w:val="439A016A"/>
    <w:rsid w:val="43C4431A"/>
    <w:rsid w:val="43E32BEE"/>
    <w:rsid w:val="441D32B4"/>
    <w:rsid w:val="443C2A7C"/>
    <w:rsid w:val="44602A84"/>
    <w:rsid w:val="44804EF0"/>
    <w:rsid w:val="44B951CC"/>
    <w:rsid w:val="44CD14E0"/>
    <w:rsid w:val="44D13619"/>
    <w:rsid w:val="44E03674"/>
    <w:rsid w:val="44F20B0B"/>
    <w:rsid w:val="44FF653C"/>
    <w:rsid w:val="452E5F4C"/>
    <w:rsid w:val="453579B5"/>
    <w:rsid w:val="45612018"/>
    <w:rsid w:val="458946E9"/>
    <w:rsid w:val="459D696F"/>
    <w:rsid w:val="45A47C0E"/>
    <w:rsid w:val="45DF79E8"/>
    <w:rsid w:val="460568C1"/>
    <w:rsid w:val="46577FD6"/>
    <w:rsid w:val="466B4F84"/>
    <w:rsid w:val="46820231"/>
    <w:rsid w:val="468F079C"/>
    <w:rsid w:val="46A61E2C"/>
    <w:rsid w:val="46B53E1D"/>
    <w:rsid w:val="46D955A7"/>
    <w:rsid w:val="47133957"/>
    <w:rsid w:val="471825FE"/>
    <w:rsid w:val="47454704"/>
    <w:rsid w:val="477171F4"/>
    <w:rsid w:val="4777509C"/>
    <w:rsid w:val="479753C8"/>
    <w:rsid w:val="47A07E0C"/>
    <w:rsid w:val="47A71C09"/>
    <w:rsid w:val="48127FEB"/>
    <w:rsid w:val="482E25FC"/>
    <w:rsid w:val="4866760A"/>
    <w:rsid w:val="4870272E"/>
    <w:rsid w:val="488F2F06"/>
    <w:rsid w:val="48D95DC8"/>
    <w:rsid w:val="49501F1C"/>
    <w:rsid w:val="498C473C"/>
    <w:rsid w:val="49B02FC2"/>
    <w:rsid w:val="49CD36F0"/>
    <w:rsid w:val="49DC7715"/>
    <w:rsid w:val="49FB2932"/>
    <w:rsid w:val="4A014940"/>
    <w:rsid w:val="4A023139"/>
    <w:rsid w:val="4A0D41AE"/>
    <w:rsid w:val="4A1A408E"/>
    <w:rsid w:val="4A5260B9"/>
    <w:rsid w:val="4A6240A6"/>
    <w:rsid w:val="4A6D1F00"/>
    <w:rsid w:val="4A7B576F"/>
    <w:rsid w:val="4A9E4B3A"/>
    <w:rsid w:val="4AC21D25"/>
    <w:rsid w:val="4AF561A9"/>
    <w:rsid w:val="4B2E2169"/>
    <w:rsid w:val="4B492C62"/>
    <w:rsid w:val="4B5736F5"/>
    <w:rsid w:val="4B9D30D2"/>
    <w:rsid w:val="4C033D41"/>
    <w:rsid w:val="4C1D5CDB"/>
    <w:rsid w:val="4C2518F0"/>
    <w:rsid w:val="4C4A0649"/>
    <w:rsid w:val="4C573178"/>
    <w:rsid w:val="4C7E5ECA"/>
    <w:rsid w:val="4C876AA5"/>
    <w:rsid w:val="4CAC1808"/>
    <w:rsid w:val="4CDD4723"/>
    <w:rsid w:val="4D0E00FB"/>
    <w:rsid w:val="4D176606"/>
    <w:rsid w:val="4D2E0297"/>
    <w:rsid w:val="4D6D6F06"/>
    <w:rsid w:val="4DA07D54"/>
    <w:rsid w:val="4DAA6F89"/>
    <w:rsid w:val="4DAF3530"/>
    <w:rsid w:val="4DEC4FB0"/>
    <w:rsid w:val="4E075D8A"/>
    <w:rsid w:val="4E2D698F"/>
    <w:rsid w:val="4E4539BD"/>
    <w:rsid w:val="4E656129"/>
    <w:rsid w:val="4E8B0864"/>
    <w:rsid w:val="4E9277A3"/>
    <w:rsid w:val="4EA924CE"/>
    <w:rsid w:val="4EC00FAD"/>
    <w:rsid w:val="4EFD5288"/>
    <w:rsid w:val="4F261998"/>
    <w:rsid w:val="4F7F76BE"/>
    <w:rsid w:val="4F9843DC"/>
    <w:rsid w:val="4FA42C81"/>
    <w:rsid w:val="4FA63B31"/>
    <w:rsid w:val="4FC62A8C"/>
    <w:rsid w:val="4FE20F0D"/>
    <w:rsid w:val="4FE51552"/>
    <w:rsid w:val="50274F5B"/>
    <w:rsid w:val="50375B56"/>
    <w:rsid w:val="50504C4B"/>
    <w:rsid w:val="508126D0"/>
    <w:rsid w:val="509C6E7C"/>
    <w:rsid w:val="50C24A6A"/>
    <w:rsid w:val="50D02C01"/>
    <w:rsid w:val="5154155A"/>
    <w:rsid w:val="5162104E"/>
    <w:rsid w:val="51FB0A18"/>
    <w:rsid w:val="520F50EE"/>
    <w:rsid w:val="523208A0"/>
    <w:rsid w:val="5268750B"/>
    <w:rsid w:val="527247C1"/>
    <w:rsid w:val="5315148A"/>
    <w:rsid w:val="533116A3"/>
    <w:rsid w:val="53311AB3"/>
    <w:rsid w:val="533D25FA"/>
    <w:rsid w:val="537D0D49"/>
    <w:rsid w:val="53A039CC"/>
    <w:rsid w:val="53A1505A"/>
    <w:rsid w:val="53B426EE"/>
    <w:rsid w:val="53F36F74"/>
    <w:rsid w:val="54063E08"/>
    <w:rsid w:val="543437E8"/>
    <w:rsid w:val="54346B7B"/>
    <w:rsid w:val="5435497A"/>
    <w:rsid w:val="547277F2"/>
    <w:rsid w:val="548117E3"/>
    <w:rsid w:val="54823169"/>
    <w:rsid w:val="549714CF"/>
    <w:rsid w:val="549C6556"/>
    <w:rsid w:val="54A56347"/>
    <w:rsid w:val="54CE4645"/>
    <w:rsid w:val="54F73313"/>
    <w:rsid w:val="54F80955"/>
    <w:rsid w:val="55067F3A"/>
    <w:rsid w:val="550C30BC"/>
    <w:rsid w:val="5526618C"/>
    <w:rsid w:val="555170A7"/>
    <w:rsid w:val="55727022"/>
    <w:rsid w:val="5587536D"/>
    <w:rsid w:val="5593464C"/>
    <w:rsid w:val="559B174B"/>
    <w:rsid w:val="55B160F8"/>
    <w:rsid w:val="55CE0CF4"/>
    <w:rsid w:val="55EB07FC"/>
    <w:rsid w:val="55FA184D"/>
    <w:rsid w:val="56833B9F"/>
    <w:rsid w:val="569A0D46"/>
    <w:rsid w:val="56A43BB5"/>
    <w:rsid w:val="56A47A0A"/>
    <w:rsid w:val="56B22A9C"/>
    <w:rsid w:val="56B57E6A"/>
    <w:rsid w:val="56C16FFE"/>
    <w:rsid w:val="56D36FB6"/>
    <w:rsid w:val="572B1EDA"/>
    <w:rsid w:val="573A7234"/>
    <w:rsid w:val="573E4215"/>
    <w:rsid w:val="57664C0A"/>
    <w:rsid w:val="577E025B"/>
    <w:rsid w:val="57B72A76"/>
    <w:rsid w:val="57B8376D"/>
    <w:rsid w:val="57C3426C"/>
    <w:rsid w:val="57CD4D3F"/>
    <w:rsid w:val="57CE1F93"/>
    <w:rsid w:val="57DE484E"/>
    <w:rsid w:val="57E326D6"/>
    <w:rsid w:val="58174B5C"/>
    <w:rsid w:val="588743D1"/>
    <w:rsid w:val="5887701A"/>
    <w:rsid w:val="58BA3515"/>
    <w:rsid w:val="58E35421"/>
    <w:rsid w:val="59030A18"/>
    <w:rsid w:val="59091DA7"/>
    <w:rsid w:val="59183C8D"/>
    <w:rsid w:val="59347E15"/>
    <w:rsid w:val="59351CF1"/>
    <w:rsid w:val="59965D30"/>
    <w:rsid w:val="59C0439F"/>
    <w:rsid w:val="59C95635"/>
    <w:rsid w:val="59CB08E4"/>
    <w:rsid w:val="59EC3BA2"/>
    <w:rsid w:val="59ED7884"/>
    <w:rsid w:val="5A201A9E"/>
    <w:rsid w:val="5A296CDD"/>
    <w:rsid w:val="5A5A5E83"/>
    <w:rsid w:val="5A82520F"/>
    <w:rsid w:val="5A8C07FB"/>
    <w:rsid w:val="5A9578FF"/>
    <w:rsid w:val="5ABE2233"/>
    <w:rsid w:val="5ADB41DE"/>
    <w:rsid w:val="5AE824B9"/>
    <w:rsid w:val="5B180446"/>
    <w:rsid w:val="5B596B2F"/>
    <w:rsid w:val="5B5C3FBB"/>
    <w:rsid w:val="5B5E287E"/>
    <w:rsid w:val="5BA4541D"/>
    <w:rsid w:val="5BDF5D95"/>
    <w:rsid w:val="5BFE7528"/>
    <w:rsid w:val="5C545A2F"/>
    <w:rsid w:val="5C68135C"/>
    <w:rsid w:val="5C732359"/>
    <w:rsid w:val="5C97561B"/>
    <w:rsid w:val="5CA0231D"/>
    <w:rsid w:val="5CA16EC6"/>
    <w:rsid w:val="5CA77EF2"/>
    <w:rsid w:val="5CB304EA"/>
    <w:rsid w:val="5D342320"/>
    <w:rsid w:val="5D3D58FB"/>
    <w:rsid w:val="5D6456E7"/>
    <w:rsid w:val="5D8D2FA6"/>
    <w:rsid w:val="5DA945DA"/>
    <w:rsid w:val="5DBC5656"/>
    <w:rsid w:val="5DFD2379"/>
    <w:rsid w:val="5E1229F9"/>
    <w:rsid w:val="5E207BCE"/>
    <w:rsid w:val="5E2467F1"/>
    <w:rsid w:val="5E6C4FEF"/>
    <w:rsid w:val="5E8117C9"/>
    <w:rsid w:val="5EB7007F"/>
    <w:rsid w:val="5EBB1E68"/>
    <w:rsid w:val="5EBF1885"/>
    <w:rsid w:val="5ED6774F"/>
    <w:rsid w:val="5EF57055"/>
    <w:rsid w:val="5EF776BC"/>
    <w:rsid w:val="5F064BBF"/>
    <w:rsid w:val="5F1A2B43"/>
    <w:rsid w:val="5F260774"/>
    <w:rsid w:val="5F3202A9"/>
    <w:rsid w:val="5F4C7FB8"/>
    <w:rsid w:val="5F5350D7"/>
    <w:rsid w:val="5F5C5FB8"/>
    <w:rsid w:val="5F8E0A77"/>
    <w:rsid w:val="5F9C5EC6"/>
    <w:rsid w:val="5FB837BB"/>
    <w:rsid w:val="5FC94A95"/>
    <w:rsid w:val="60163727"/>
    <w:rsid w:val="6061152B"/>
    <w:rsid w:val="606A7795"/>
    <w:rsid w:val="607F4F23"/>
    <w:rsid w:val="608F41B1"/>
    <w:rsid w:val="60BC1583"/>
    <w:rsid w:val="60CC405A"/>
    <w:rsid w:val="611539DF"/>
    <w:rsid w:val="611A43B1"/>
    <w:rsid w:val="61716757"/>
    <w:rsid w:val="617C1CB0"/>
    <w:rsid w:val="61A3723C"/>
    <w:rsid w:val="61E215D8"/>
    <w:rsid w:val="621B3775"/>
    <w:rsid w:val="621E2D67"/>
    <w:rsid w:val="62201DB9"/>
    <w:rsid w:val="62347E94"/>
    <w:rsid w:val="62364782"/>
    <w:rsid w:val="62386207"/>
    <w:rsid w:val="62454A99"/>
    <w:rsid w:val="625008DB"/>
    <w:rsid w:val="627209BD"/>
    <w:rsid w:val="628726BA"/>
    <w:rsid w:val="62E177C7"/>
    <w:rsid w:val="62E25ACB"/>
    <w:rsid w:val="636E627F"/>
    <w:rsid w:val="6394356A"/>
    <w:rsid w:val="639934A6"/>
    <w:rsid w:val="63B91903"/>
    <w:rsid w:val="63C61B2C"/>
    <w:rsid w:val="63D40BE9"/>
    <w:rsid w:val="63E902B0"/>
    <w:rsid w:val="63F20007"/>
    <w:rsid w:val="63FA510E"/>
    <w:rsid w:val="640C55D8"/>
    <w:rsid w:val="64102431"/>
    <w:rsid w:val="6445282D"/>
    <w:rsid w:val="6456295B"/>
    <w:rsid w:val="647A694B"/>
    <w:rsid w:val="64A5243A"/>
    <w:rsid w:val="64B90B25"/>
    <w:rsid w:val="64EB0FD9"/>
    <w:rsid w:val="64F531DE"/>
    <w:rsid w:val="65373578"/>
    <w:rsid w:val="65542AF8"/>
    <w:rsid w:val="65816666"/>
    <w:rsid w:val="65CF4CC6"/>
    <w:rsid w:val="65E26649"/>
    <w:rsid w:val="65E51314"/>
    <w:rsid w:val="65F71905"/>
    <w:rsid w:val="65FD19A4"/>
    <w:rsid w:val="66050FA4"/>
    <w:rsid w:val="660B53B0"/>
    <w:rsid w:val="662F770B"/>
    <w:rsid w:val="66B43C9A"/>
    <w:rsid w:val="67042D1C"/>
    <w:rsid w:val="671F124A"/>
    <w:rsid w:val="673E3563"/>
    <w:rsid w:val="675D123C"/>
    <w:rsid w:val="677A33C6"/>
    <w:rsid w:val="67927C90"/>
    <w:rsid w:val="67FC6BAD"/>
    <w:rsid w:val="681D5CF0"/>
    <w:rsid w:val="681F6961"/>
    <w:rsid w:val="683531FE"/>
    <w:rsid w:val="685D1CC6"/>
    <w:rsid w:val="68610A2F"/>
    <w:rsid w:val="6863170B"/>
    <w:rsid w:val="68805514"/>
    <w:rsid w:val="688651C2"/>
    <w:rsid w:val="688B16D3"/>
    <w:rsid w:val="68F42334"/>
    <w:rsid w:val="69004F74"/>
    <w:rsid w:val="691579EA"/>
    <w:rsid w:val="69301E2A"/>
    <w:rsid w:val="69316E2F"/>
    <w:rsid w:val="694E2071"/>
    <w:rsid w:val="696741AA"/>
    <w:rsid w:val="69766163"/>
    <w:rsid w:val="697A3B33"/>
    <w:rsid w:val="69902037"/>
    <w:rsid w:val="69D44760"/>
    <w:rsid w:val="69DB04C6"/>
    <w:rsid w:val="69DB189F"/>
    <w:rsid w:val="6A1B7274"/>
    <w:rsid w:val="6A3A7157"/>
    <w:rsid w:val="6A4D243B"/>
    <w:rsid w:val="6A520EC7"/>
    <w:rsid w:val="6A6248A6"/>
    <w:rsid w:val="6A9260A0"/>
    <w:rsid w:val="6AF87E20"/>
    <w:rsid w:val="6B297532"/>
    <w:rsid w:val="6B322639"/>
    <w:rsid w:val="6B357E22"/>
    <w:rsid w:val="6B7045F0"/>
    <w:rsid w:val="6C636C38"/>
    <w:rsid w:val="6CD97F13"/>
    <w:rsid w:val="6D036DE1"/>
    <w:rsid w:val="6D0A2431"/>
    <w:rsid w:val="6D19050E"/>
    <w:rsid w:val="6D243676"/>
    <w:rsid w:val="6D4466E4"/>
    <w:rsid w:val="6DB34098"/>
    <w:rsid w:val="6DB545B6"/>
    <w:rsid w:val="6DBA5A46"/>
    <w:rsid w:val="6DE02FB4"/>
    <w:rsid w:val="6DF42BCE"/>
    <w:rsid w:val="6E041063"/>
    <w:rsid w:val="6E0E1190"/>
    <w:rsid w:val="6E1C0341"/>
    <w:rsid w:val="6E212186"/>
    <w:rsid w:val="6E514CED"/>
    <w:rsid w:val="6E557B10"/>
    <w:rsid w:val="6E573888"/>
    <w:rsid w:val="6E5805C6"/>
    <w:rsid w:val="6E6829CA"/>
    <w:rsid w:val="6E7645CA"/>
    <w:rsid w:val="6E8018C0"/>
    <w:rsid w:val="6E93082B"/>
    <w:rsid w:val="6EAE593E"/>
    <w:rsid w:val="6EB563D5"/>
    <w:rsid w:val="6ED92677"/>
    <w:rsid w:val="6EEA77CB"/>
    <w:rsid w:val="6EED1AF7"/>
    <w:rsid w:val="6F225983"/>
    <w:rsid w:val="6F3C7A58"/>
    <w:rsid w:val="6F4B3B49"/>
    <w:rsid w:val="6F643989"/>
    <w:rsid w:val="6F6A57DA"/>
    <w:rsid w:val="6F8473B0"/>
    <w:rsid w:val="6F9C1E2D"/>
    <w:rsid w:val="6FC82564"/>
    <w:rsid w:val="6FD7239B"/>
    <w:rsid w:val="6FDD7FCF"/>
    <w:rsid w:val="6FE211DA"/>
    <w:rsid w:val="6FEA24DA"/>
    <w:rsid w:val="6FFC5590"/>
    <w:rsid w:val="703869BF"/>
    <w:rsid w:val="7055735C"/>
    <w:rsid w:val="706D1DD0"/>
    <w:rsid w:val="70856B87"/>
    <w:rsid w:val="70D429B5"/>
    <w:rsid w:val="70D527EE"/>
    <w:rsid w:val="70EC5DDE"/>
    <w:rsid w:val="70F01A72"/>
    <w:rsid w:val="70F775DE"/>
    <w:rsid w:val="71522013"/>
    <w:rsid w:val="715B5300"/>
    <w:rsid w:val="718F76DE"/>
    <w:rsid w:val="719C10B9"/>
    <w:rsid w:val="71A05546"/>
    <w:rsid w:val="71A97DB6"/>
    <w:rsid w:val="71BE5882"/>
    <w:rsid w:val="71D27F8A"/>
    <w:rsid w:val="72047744"/>
    <w:rsid w:val="723F26E7"/>
    <w:rsid w:val="724A3704"/>
    <w:rsid w:val="72553024"/>
    <w:rsid w:val="72640322"/>
    <w:rsid w:val="7273785D"/>
    <w:rsid w:val="729839CF"/>
    <w:rsid w:val="72A70B35"/>
    <w:rsid w:val="72AC56EC"/>
    <w:rsid w:val="73122968"/>
    <w:rsid w:val="731F5D5E"/>
    <w:rsid w:val="7333592F"/>
    <w:rsid w:val="7377478A"/>
    <w:rsid w:val="73C51AD5"/>
    <w:rsid w:val="73D2750D"/>
    <w:rsid w:val="740B407E"/>
    <w:rsid w:val="741E793C"/>
    <w:rsid w:val="7426005E"/>
    <w:rsid w:val="74296997"/>
    <w:rsid w:val="745E3944"/>
    <w:rsid w:val="74655091"/>
    <w:rsid w:val="74823B06"/>
    <w:rsid w:val="749C0FAE"/>
    <w:rsid w:val="74E64EDB"/>
    <w:rsid w:val="752D1CFC"/>
    <w:rsid w:val="75BE37DF"/>
    <w:rsid w:val="75DF5F11"/>
    <w:rsid w:val="761402B1"/>
    <w:rsid w:val="76307A2C"/>
    <w:rsid w:val="7635099D"/>
    <w:rsid w:val="7639113B"/>
    <w:rsid w:val="76426BCC"/>
    <w:rsid w:val="76432944"/>
    <w:rsid w:val="770E4D00"/>
    <w:rsid w:val="772A44A0"/>
    <w:rsid w:val="77435070"/>
    <w:rsid w:val="776907BD"/>
    <w:rsid w:val="77756B2D"/>
    <w:rsid w:val="77762421"/>
    <w:rsid w:val="77B56B1F"/>
    <w:rsid w:val="77DE73F9"/>
    <w:rsid w:val="77E17734"/>
    <w:rsid w:val="77F74411"/>
    <w:rsid w:val="7803238B"/>
    <w:rsid w:val="780F09F4"/>
    <w:rsid w:val="781B5927"/>
    <w:rsid w:val="7823296D"/>
    <w:rsid w:val="78316F7A"/>
    <w:rsid w:val="785901FD"/>
    <w:rsid w:val="7859462C"/>
    <w:rsid w:val="7859585F"/>
    <w:rsid w:val="78731DB2"/>
    <w:rsid w:val="78A90480"/>
    <w:rsid w:val="78DB3308"/>
    <w:rsid w:val="78DE3082"/>
    <w:rsid w:val="790B6163"/>
    <w:rsid w:val="795A247F"/>
    <w:rsid w:val="79871AD6"/>
    <w:rsid w:val="79D266C1"/>
    <w:rsid w:val="7A0F1DF2"/>
    <w:rsid w:val="7A162166"/>
    <w:rsid w:val="7A2A1039"/>
    <w:rsid w:val="7A2B7977"/>
    <w:rsid w:val="7A2C3C66"/>
    <w:rsid w:val="7A364017"/>
    <w:rsid w:val="7A4A1526"/>
    <w:rsid w:val="7A70182E"/>
    <w:rsid w:val="7A731CCA"/>
    <w:rsid w:val="7A8265E1"/>
    <w:rsid w:val="7A835A05"/>
    <w:rsid w:val="7A8772A3"/>
    <w:rsid w:val="7AD12DE6"/>
    <w:rsid w:val="7ADE6B0C"/>
    <w:rsid w:val="7AE80322"/>
    <w:rsid w:val="7B686D42"/>
    <w:rsid w:val="7B726E36"/>
    <w:rsid w:val="7B841746"/>
    <w:rsid w:val="7B8F0120"/>
    <w:rsid w:val="7BC97785"/>
    <w:rsid w:val="7C025299"/>
    <w:rsid w:val="7C1A70CE"/>
    <w:rsid w:val="7C6C5AC7"/>
    <w:rsid w:val="7CA44918"/>
    <w:rsid w:val="7CC6544B"/>
    <w:rsid w:val="7CCC6031"/>
    <w:rsid w:val="7CE87CF7"/>
    <w:rsid w:val="7CFE4DCA"/>
    <w:rsid w:val="7D0239FF"/>
    <w:rsid w:val="7D5E40CD"/>
    <w:rsid w:val="7D603DDC"/>
    <w:rsid w:val="7DA35C0F"/>
    <w:rsid w:val="7DCC15DF"/>
    <w:rsid w:val="7DCD56F2"/>
    <w:rsid w:val="7DF54524"/>
    <w:rsid w:val="7E2261A4"/>
    <w:rsid w:val="7E2F3FFF"/>
    <w:rsid w:val="7E364C61"/>
    <w:rsid w:val="7E5203F9"/>
    <w:rsid w:val="7E944BC0"/>
    <w:rsid w:val="7EF85256"/>
    <w:rsid w:val="7F001CE7"/>
    <w:rsid w:val="7F0D6DD3"/>
    <w:rsid w:val="7F736048"/>
    <w:rsid w:val="7F7D0F46"/>
    <w:rsid w:val="7FAE329F"/>
    <w:rsid w:val="7FBE0EE6"/>
    <w:rsid w:val="7FE1217F"/>
    <w:rsid w:val="7FE47E50"/>
    <w:rsid w:val="7FED00B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semiHidden="0" w:name="heading 2" w:locked="1"/>
    <w:lsdException w:qFormat="1" w:uiPriority="0" w:semiHidden="0" w:name="heading 3" w:locked="1"/>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ocked="1"/>
    <w:lsdException w:qFormat="1" w:unhideWhenUsed="0" w:uiPriority="0" w:semiHidden="0" w:name="toc 2" w:locked="1"/>
    <w:lsdException w:qFormat="1"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0" w:semiHidden="0" w:name="Normal Indent" w:locked="1"/>
    <w:lsdException w:unhideWhenUsed="0" w:uiPriority="0" w:semiHidden="0" w:name="footnote text" w:locked="1"/>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qFormat="1" w:unhideWhenUsed="0" w:uiPriority="0" w:semiHidden="0" w:name="envelope return" w:locked="1"/>
    <w:lsdException w:unhideWhenUsed="0" w:uiPriority="0" w:semiHidden="0" w:name="footnote reference" w:locked="1"/>
    <w:lsdException w:unhideWhenUsed="0" w:uiPriority="0" w:semiHidden="0" w:name="annotation reference"/>
    <w:lsdException w:unhideWhenUsed="0" w:uiPriority="0" w:semiHidden="0" w:name="line number" w:locked="1"/>
    <w:lsdException w:qFormat="1" w:unhideWhenUsed="0" w:uiPriority="0" w:semiHidden="0" w:name="page number"/>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iPriority="99"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unhideWhenUsed="0" w:uiPriority="0" w:semiHidden="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nhideWhenUsed="0" w:uiPriority="0" w:semiHidden="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2"/>
    <w:next w:val="1"/>
    <w:unhideWhenUsed/>
    <w:qFormat/>
    <w:locked/>
    <w:uiPriority w:val="0"/>
    <w:pPr>
      <w:keepNext/>
      <w:keepLines/>
      <w:spacing w:beforeLines="0" w:beforeAutospacing="0" w:afterLines="0" w:afterAutospacing="0" w:line="360" w:lineRule="auto"/>
      <w:ind w:left="0" w:firstLine="0"/>
      <w:jc w:val="left"/>
      <w:outlineLvl w:val="1"/>
    </w:pPr>
    <w:rPr>
      <w:rFonts w:ascii="Times New Roman" w:hAnsi="Times New Roman" w:eastAsia="宋体"/>
      <w:sz w:val="28"/>
    </w:rPr>
  </w:style>
  <w:style w:type="paragraph" w:styleId="4">
    <w:name w:val="heading 3"/>
    <w:basedOn w:val="1"/>
    <w:next w:val="1"/>
    <w:unhideWhenUsed/>
    <w:qFormat/>
    <w:locked/>
    <w:uiPriority w:val="0"/>
    <w:pPr>
      <w:keepNext/>
      <w:keepLines/>
      <w:spacing w:beforeLines="0" w:beforeAutospacing="0" w:afterLines="0" w:afterAutospacing="0" w:line="360" w:lineRule="auto"/>
      <w:jc w:val="left"/>
      <w:outlineLvl w:val="2"/>
    </w:pPr>
    <w:rPr>
      <w:rFonts w:ascii="Times New Roman" w:hAnsi="Times New Roman" w:eastAsia="宋体"/>
      <w:b/>
      <w:sz w:val="24"/>
    </w:rPr>
  </w:style>
  <w:style w:type="paragraph" w:styleId="5">
    <w:name w:val="heading 4"/>
    <w:basedOn w:val="1"/>
    <w:next w:val="1"/>
    <w:link w:val="23"/>
    <w:unhideWhenUsed/>
    <w:qFormat/>
    <w:locked/>
    <w:uiPriority w:val="0"/>
    <w:pPr>
      <w:keepNext/>
      <w:keepLines/>
      <w:spacing w:before="280" w:beforeLines="0" w:beforeAutospacing="0" w:after="290" w:afterLines="0" w:afterAutospacing="0" w:line="240" w:lineRule="auto"/>
      <w:jc w:val="center"/>
      <w:outlineLvl w:val="3"/>
    </w:pPr>
    <w:rPr>
      <w:rFonts w:ascii="Times New Roman" w:hAnsi="Times New Roman" w:eastAsia="黑体"/>
      <w:sz w:val="30"/>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6">
    <w:name w:val="Normal Indent"/>
    <w:basedOn w:val="1"/>
    <w:next w:val="7"/>
    <w:unhideWhenUsed/>
    <w:qFormat/>
    <w:locked/>
    <w:uiPriority w:val="0"/>
    <w:pPr>
      <w:spacing w:line="360" w:lineRule="auto"/>
      <w:ind w:firstLine="420" w:firstLineChars="200"/>
    </w:pPr>
    <w:rPr>
      <w:kern w:val="0"/>
      <w:sz w:val="24"/>
      <w:szCs w:val="22"/>
    </w:rPr>
  </w:style>
  <w:style w:type="paragraph" w:styleId="7">
    <w:name w:val="envelope return"/>
    <w:basedOn w:val="1"/>
    <w:qFormat/>
    <w:locked/>
    <w:uiPriority w:val="0"/>
    <w:pPr>
      <w:snapToGrid w:val="0"/>
    </w:pPr>
    <w:rPr>
      <w:rFonts w:ascii="Arial" w:hAnsi="Arial"/>
    </w:rPr>
  </w:style>
  <w:style w:type="paragraph" w:styleId="8">
    <w:name w:val="annotation text"/>
    <w:basedOn w:val="1"/>
    <w:qFormat/>
    <w:uiPriority w:val="0"/>
    <w:pPr>
      <w:jc w:val="left"/>
    </w:pPr>
  </w:style>
  <w:style w:type="paragraph" w:styleId="9">
    <w:name w:val="Body Text"/>
    <w:basedOn w:val="1"/>
    <w:next w:val="1"/>
    <w:qFormat/>
    <w:uiPriority w:val="0"/>
    <w:pPr>
      <w:widowControl/>
      <w:snapToGrid w:val="0"/>
      <w:spacing w:before="60" w:after="160" w:line="259" w:lineRule="auto"/>
      <w:ind w:right="113"/>
    </w:pPr>
    <w:rPr>
      <w:kern w:val="0"/>
      <w:sz w:val="18"/>
      <w:szCs w:val="20"/>
    </w:rPr>
  </w:style>
  <w:style w:type="paragraph" w:styleId="10">
    <w:name w:val="toc 3"/>
    <w:basedOn w:val="1"/>
    <w:next w:val="1"/>
    <w:qFormat/>
    <w:locked/>
    <w:uiPriority w:val="0"/>
    <w:pPr>
      <w:ind w:left="840" w:leftChars="400"/>
    </w:pPr>
  </w:style>
  <w:style w:type="paragraph" w:styleId="11">
    <w:name w:val="Plain Text"/>
    <w:basedOn w:val="1"/>
    <w:qFormat/>
    <w:uiPriority w:val="0"/>
    <w:rPr>
      <w:rFonts w:ascii="宋体" w:hAnsi="Courier New" w:eastAsia="方正仿宋_GB2312"/>
      <w:sz w:val="24"/>
      <w:szCs w:val="20"/>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toc 1"/>
    <w:basedOn w:val="1"/>
    <w:next w:val="1"/>
    <w:qFormat/>
    <w:locked/>
    <w:uiPriority w:val="0"/>
  </w:style>
  <w:style w:type="paragraph" w:styleId="14">
    <w:name w:val="List"/>
    <w:basedOn w:val="1"/>
    <w:unhideWhenUsed/>
    <w:qFormat/>
    <w:locked/>
    <w:uiPriority w:val="99"/>
    <w:pPr>
      <w:ind w:left="200" w:hanging="200" w:hangingChars="200"/>
      <w:contextualSpacing/>
    </w:pPr>
  </w:style>
  <w:style w:type="paragraph" w:styleId="15">
    <w:name w:val="toc 2"/>
    <w:basedOn w:val="1"/>
    <w:next w:val="1"/>
    <w:qFormat/>
    <w:locked/>
    <w:uiPriority w:val="0"/>
    <w:pPr>
      <w:ind w:left="420" w:leftChars="200"/>
    </w:pPr>
  </w:style>
  <w:style w:type="paragraph" w:styleId="1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8">
    <w:name w:val="Table Grid"/>
    <w:basedOn w:val="17"/>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locked/>
    <w:uiPriority w:val="0"/>
    <w:rPr>
      <w:b/>
    </w:rPr>
  </w:style>
  <w:style w:type="character" w:styleId="21">
    <w:name w:val="page number"/>
    <w:qFormat/>
    <w:uiPriority w:val="0"/>
  </w:style>
  <w:style w:type="paragraph" w:customStyle="1" w:styleId="22">
    <w:name w:val="正文(首行缩进)"/>
    <w:basedOn w:val="1"/>
    <w:qFormat/>
    <w:uiPriority w:val="0"/>
    <w:pPr>
      <w:adjustRightInd w:val="0"/>
      <w:snapToGrid w:val="0"/>
    </w:pPr>
    <w:rPr>
      <w:kern w:val="0"/>
      <w:szCs w:val="24"/>
    </w:rPr>
  </w:style>
  <w:style w:type="character" w:customStyle="1" w:styleId="23">
    <w:name w:val="标题 4 Char"/>
    <w:link w:val="5"/>
    <w:qFormat/>
    <w:uiPriority w:val="0"/>
    <w:rPr>
      <w:rFonts w:ascii="Times New Roman" w:hAnsi="Times New Roman" w:eastAsia="黑体"/>
      <w:sz w:val="30"/>
    </w:rPr>
  </w:style>
  <w:style w:type="paragraph" w:customStyle="1" w:styleId="24">
    <w:name w:val="屠彪标题"/>
    <w:basedOn w:val="1"/>
    <w:qFormat/>
    <w:uiPriority w:val="0"/>
    <w:pPr>
      <w:adjustRightInd w:val="0"/>
      <w:snapToGrid w:val="0"/>
      <w:spacing w:before="10" w:beforeLines="10" w:after="10" w:afterLines="10"/>
      <w:jc w:val="center"/>
    </w:pPr>
    <w:rPr>
      <w:rFonts w:ascii="Times New Roman" w:hAnsi="Times New Roman" w:eastAsia="宋体"/>
      <w:b/>
      <w:kern w:val="0"/>
      <w:sz w:val="24"/>
      <w:szCs w:val="20"/>
    </w:rPr>
  </w:style>
  <w:style w:type="paragraph" w:customStyle="1" w:styleId="25">
    <w:name w:val="正文内容"/>
    <w:basedOn w:val="1"/>
    <w:link w:val="27"/>
    <w:qFormat/>
    <w:uiPriority w:val="0"/>
    <w:pPr>
      <w:spacing w:line="360" w:lineRule="auto"/>
      <w:ind w:firstLine="720" w:firstLineChars="200"/>
    </w:pPr>
    <w:rPr>
      <w:rFonts w:ascii="Times New Roman" w:hAnsi="Times New Roman" w:eastAsia="宋体" w:cs="宋体"/>
      <w:sz w:val="24"/>
    </w:rPr>
  </w:style>
  <w:style w:type="character" w:customStyle="1" w:styleId="26">
    <w:name w:val="正文内容 Char"/>
    <w:link w:val="25"/>
    <w:qFormat/>
    <w:uiPriority w:val="0"/>
    <w:rPr>
      <w:rFonts w:ascii="Times New Roman" w:hAnsi="Times New Roman" w:eastAsia="宋体" w:cs="宋体"/>
      <w:sz w:val="24"/>
    </w:rPr>
  </w:style>
  <w:style w:type="character" w:customStyle="1" w:styleId="27">
    <w:name w:val="正文内容 Char1"/>
    <w:link w:val="25"/>
    <w:qFormat/>
    <w:uiPriority w:val="0"/>
    <w:rPr>
      <w:rFonts w:ascii="Times New Roman" w:hAnsi="Times New Roman" w:eastAsia="宋体" w:cs="宋体"/>
      <w:sz w:val="24"/>
    </w:rPr>
  </w:style>
  <w:style w:type="paragraph" w:customStyle="1" w:styleId="28">
    <w:name w:val="彪哥文本"/>
    <w:basedOn w:val="1"/>
    <w:next w:val="1"/>
    <w:link w:val="29"/>
    <w:qFormat/>
    <w:uiPriority w:val="0"/>
    <w:pPr>
      <w:adjustRightInd w:val="0"/>
      <w:snapToGrid w:val="0"/>
      <w:spacing w:before="10" w:beforeLines="10" w:after="10" w:afterLines="10" w:line="240" w:lineRule="auto"/>
      <w:jc w:val="center"/>
    </w:pPr>
    <w:rPr>
      <w:rFonts w:ascii="Times New Roman" w:hAnsi="Times New Roman" w:eastAsia="宋体"/>
      <w:kern w:val="0"/>
      <w:szCs w:val="20"/>
    </w:rPr>
  </w:style>
  <w:style w:type="character" w:customStyle="1" w:styleId="29">
    <w:name w:val="表格 Char"/>
    <w:link w:val="28"/>
    <w:qFormat/>
    <w:locked/>
    <w:uiPriority w:val="0"/>
    <w:rPr>
      <w:rFonts w:ascii="Times New Roman" w:hAnsi="Times New Roman" w:eastAsia="宋体"/>
      <w:sz w:val="21"/>
    </w:rPr>
  </w:style>
  <w:style w:type="paragraph" w:customStyle="1" w:styleId="30">
    <w:name w:val="福建标题"/>
    <w:basedOn w:val="1"/>
    <w:qFormat/>
    <w:uiPriority w:val="0"/>
    <w:pPr>
      <w:spacing w:line="240" w:lineRule="atLeast"/>
      <w:jc w:val="left"/>
    </w:pPr>
    <w:rPr>
      <w:rFonts w:ascii="Times New Roman" w:hAnsi="Times New Roman" w:eastAsia="宋体" w:cs="方正仿宋_GB2312"/>
      <w:b/>
      <w:sz w:val="28"/>
      <w:szCs w:val="36"/>
    </w:rPr>
  </w:style>
  <w:style w:type="table" w:customStyle="1" w:styleId="31">
    <w:name w:val="Table Normal"/>
    <w:unhideWhenUsed/>
    <w:qFormat/>
    <w:uiPriority w:val="0"/>
    <w:tblPr>
      <w:tblCellMar>
        <w:top w:w="0" w:type="dxa"/>
        <w:left w:w="0" w:type="dxa"/>
        <w:bottom w:w="0" w:type="dxa"/>
        <w:right w:w="0" w:type="dxa"/>
      </w:tblCellMar>
    </w:tblPr>
  </w:style>
  <w:style w:type="paragraph" w:customStyle="1" w:styleId="32">
    <w:name w:val="Table Text"/>
    <w:basedOn w:val="1"/>
    <w:semiHidden/>
    <w:qFormat/>
    <w:uiPriority w:val="0"/>
    <w:rPr>
      <w:rFonts w:ascii="宋体" w:hAnsi="宋体" w:eastAsia="宋体" w:cs="宋体"/>
      <w:sz w:val="20"/>
      <w:szCs w:val="20"/>
      <w:lang w:val="en-US" w:eastAsia="en-US" w:bidi="ar-SA"/>
    </w:rPr>
  </w:style>
  <w:style w:type="paragraph" w:customStyle="1" w:styleId="33">
    <w:name w:val="表格内容"/>
    <w:basedOn w:val="14"/>
    <w:next w:val="9"/>
    <w:qFormat/>
    <w:uiPriority w:val="0"/>
    <w:pPr>
      <w:widowControl/>
      <w:jc w:val="center"/>
    </w:pPr>
    <w:rPr>
      <w:rFonts w:ascii="Times New Roman" w:hAnsi="Times New Roman"/>
      <w:sz w:val="21"/>
    </w:rPr>
  </w:style>
  <w:style w:type="paragraph" w:customStyle="1" w:styleId="34">
    <w:name w:val="附件标题"/>
    <w:basedOn w:val="1"/>
    <w:qFormat/>
    <w:uiPriority w:val="0"/>
    <w:pPr>
      <w:spacing w:line="240" w:lineRule="atLeast"/>
      <w:ind w:firstLine="0" w:firstLineChars="0"/>
      <w:jc w:val="left"/>
    </w:pPr>
    <w:rPr>
      <w:rFonts w:ascii="Times New Roman" w:hAnsi="Times New Roman" w:eastAsia="宋体"/>
      <w:b/>
      <w:sz w:val="28"/>
      <w:szCs w:val="28"/>
    </w:rPr>
  </w:style>
  <w:style w:type="paragraph" w:customStyle="1" w:styleId="35">
    <w:name w:val="z正文"/>
    <w:basedOn w:val="1"/>
    <w:qFormat/>
    <w:uiPriority w:val="99"/>
    <w:pPr>
      <w:autoSpaceDE w:val="0"/>
      <w:autoSpaceDN w:val="0"/>
      <w:adjustRightInd w:val="0"/>
      <w:snapToGrid w:val="0"/>
      <w:spacing w:line="360" w:lineRule="auto"/>
      <w:ind w:firstLine="200"/>
      <w:textAlignment w:val="baseline"/>
    </w:pPr>
    <w:rPr>
      <w:color w:val="FF0000"/>
      <w:kern w:val="0"/>
      <w:sz w:val="24"/>
    </w:rPr>
  </w:style>
  <w:style w:type="paragraph" w:customStyle="1" w:styleId="36">
    <w:name w:val="5文章正文"/>
    <w:basedOn w:val="1"/>
    <w:qFormat/>
    <w:uiPriority w:val="0"/>
    <w:pPr>
      <w:spacing w:line="360" w:lineRule="auto"/>
      <w:ind w:firstLine="200" w:firstLineChars="200"/>
    </w:pPr>
    <w:rPr>
      <w:sz w:val="24"/>
    </w:rPr>
  </w:style>
  <w:style w:type="paragraph" w:customStyle="1" w:styleId="37">
    <w:name w:val="验收正文"/>
    <w:basedOn w:val="1"/>
    <w:qFormat/>
    <w:uiPriority w:val="0"/>
    <w:pPr>
      <w:spacing w:line="360" w:lineRule="auto"/>
      <w:ind w:firstLine="1044" w:firstLineChars="200"/>
      <w:jc w:val="both"/>
    </w:pPr>
    <w:rPr>
      <w:rFonts w:hint="default" w:ascii="Times New Roman" w:hAnsi="Times New Roman" w:eastAsia="宋体"/>
      <w:sz w:val="24"/>
    </w:rPr>
  </w:style>
  <w:style w:type="paragraph" w:customStyle="1" w:styleId="38">
    <w:name w:val="表格的字"/>
    <w:basedOn w:val="39"/>
    <w:next w:val="1"/>
    <w:qFormat/>
    <w:uiPriority w:val="0"/>
    <w:pPr>
      <w:jc w:val="center"/>
    </w:pPr>
    <w:rPr>
      <w:szCs w:val="21"/>
      <w:lang w:val="en-US" w:eastAsia="zh-CN" w:bidi="ar-SA"/>
    </w:rPr>
  </w:style>
  <w:style w:type="paragraph" w:customStyle="1" w:styleId="39">
    <w:name w:val="项目基本情况的字"/>
    <w:basedOn w:val="1"/>
    <w:qFormat/>
    <w:uiPriority w:val="0"/>
    <w:pPr>
      <w:jc w:val="center"/>
    </w:pPr>
    <w:rPr>
      <w:rFonts w:cs="宋体"/>
    </w:rPr>
  </w:style>
  <w:style w:type="paragraph" w:customStyle="1" w:styleId="40">
    <w:name w:val="表格固定文字"/>
    <w:basedOn w:val="1"/>
    <w:qFormat/>
    <w:uiPriority w:val="0"/>
    <w:pPr>
      <w:ind w:firstLine="0"/>
    </w:pPr>
    <w:rPr>
      <w:rFonts w:eastAsia="宋体"/>
      <w:sz w:val="21"/>
      <w:szCs w:val="24"/>
    </w:rPr>
  </w:style>
  <w:style w:type="paragraph" w:customStyle="1" w:styleId="41">
    <w:name w:val="表格标题"/>
    <w:next w:val="1"/>
    <w:qFormat/>
    <w:uiPriority w:val="0"/>
    <w:pPr>
      <w:spacing w:line="360" w:lineRule="auto"/>
      <w:jc w:val="center"/>
    </w:pPr>
    <w:rPr>
      <w:rFonts w:ascii="Calibri" w:hAnsi="Calibri" w:eastAsia="Times New Roman" w:cs="Times New Roman"/>
      <w:b/>
      <w:sz w:val="24"/>
      <w:szCs w:val="24"/>
      <w:lang w:val="en-US" w:eastAsia="zh-CN" w:bidi="ar-SA"/>
    </w:rPr>
  </w:style>
  <w:style w:type="table" w:customStyle="1" w:styleId="42">
    <w:name w:val="表格样式刘"/>
    <w:basedOn w:val="17"/>
    <w:qFormat/>
    <w:uiPriority w:val="99"/>
    <w:pPr>
      <w:jc w:val="center"/>
    </w:pPr>
    <w:tblPr>
      <w:tblBorders>
        <w:top w:val="single" w:color="auto" w:sz="12" w:space="0"/>
        <w:bottom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paragraph" w:customStyle="1" w:styleId="43">
    <w:name w:val="表正文"/>
    <w:basedOn w:val="1"/>
    <w:qFormat/>
    <w:uiPriority w:val="0"/>
    <w:pPr>
      <w:widowControl/>
      <w:spacing w:line="360" w:lineRule="auto"/>
      <w:ind w:firstLine="200" w:firstLineChars="200"/>
      <w:jc w:val="left"/>
    </w:pPr>
    <w:rPr>
      <w:sz w:val="24"/>
    </w:rPr>
  </w:style>
  <w:style w:type="paragraph" w:customStyle="1" w:styleId="44">
    <w:name w:val="Table Paragraph"/>
    <w:basedOn w:val="1"/>
    <w:qFormat/>
    <w:uiPriority w:val="1"/>
    <w:rPr>
      <w:rFonts w:ascii="宋体" w:hAnsi="宋体" w:eastAsia="宋体" w:cs="宋体"/>
      <w:lang w:val="zh-CN" w:eastAsia="zh-CN" w:bidi="zh-CN"/>
    </w:rPr>
  </w:style>
  <w:style w:type="paragraph" w:customStyle="1" w:styleId="45">
    <w:name w:val="三级标题（）"/>
    <w:basedOn w:val="1"/>
    <w:qFormat/>
    <w:uiPriority w:val="0"/>
    <w:pPr>
      <w:tabs>
        <w:tab w:val="left" w:pos="3840"/>
      </w:tabs>
      <w:spacing w:line="360" w:lineRule="auto"/>
      <w:outlineLvl w:val="2"/>
    </w:pPr>
    <w:rPr>
      <w:rFonts w:eastAsia="黑体"/>
      <w:sz w:val="28"/>
      <w:szCs w:val="30"/>
    </w:rPr>
  </w:style>
  <w:style w:type="paragraph" w:customStyle="1" w:styleId="46">
    <w:name w:val="正文（）"/>
    <w:basedOn w:val="1"/>
    <w:qFormat/>
    <w:uiPriority w:val="0"/>
    <w:pPr>
      <w:adjustRightInd w:val="0"/>
      <w:snapToGrid w:val="0"/>
      <w:spacing w:line="360" w:lineRule="auto"/>
      <w:ind w:firstLine="480" w:firstLineChars="200"/>
    </w:pPr>
    <w:rPr>
      <w:sz w:val="24"/>
      <w:szCs w:val="21"/>
    </w:rPr>
  </w:style>
  <w:style w:type="paragraph" w:customStyle="1" w:styleId="47">
    <w:name w:val="正文（小四）"/>
    <w:qFormat/>
    <w:uiPriority w:val="0"/>
    <w:pPr>
      <w:spacing w:line="360" w:lineRule="auto"/>
      <w:ind w:firstLine="200" w:firstLineChars="200"/>
      <w:jc w:val="both"/>
    </w:pPr>
    <w:rPr>
      <w:rFonts w:ascii="Times New Roman" w:hAnsi="Times New Roman" w:eastAsia="宋体" w:cs="Times New Roman"/>
      <w:bCs/>
      <w:color w:val="000000"/>
      <w:kern w:val="2"/>
      <w:sz w:val="24"/>
      <w:szCs w:val="32"/>
      <w:lang w:val="en-US" w:eastAsia="zh-CN" w:bidi="ar-SA"/>
    </w:rPr>
  </w:style>
  <w:style w:type="paragraph" w:customStyle="1" w:styleId="48">
    <w:name w:val="表头"/>
    <w:basedOn w:val="49"/>
    <w:next w:val="1"/>
    <w:qFormat/>
    <w:uiPriority w:val="0"/>
    <w:pPr>
      <w:spacing w:line="240" w:lineRule="auto"/>
      <w:ind w:right="0" w:firstLine="0" w:firstLineChars="0"/>
      <w:jc w:val="center"/>
    </w:pPr>
    <w:rPr>
      <w:rFonts w:ascii="Times New Roman" w:hAnsi="Times New Roman" w:eastAsia="宋体"/>
      <w:b/>
      <w:szCs w:val="22"/>
    </w:rPr>
  </w:style>
  <w:style w:type="paragraph" w:customStyle="1" w:styleId="49">
    <w:name w:val="正文格式"/>
    <w:basedOn w:val="50"/>
    <w:qFormat/>
    <w:uiPriority w:val="0"/>
    <w:pPr>
      <w:spacing w:line="360" w:lineRule="auto"/>
      <w:ind w:firstLine="200" w:firstLineChars="200"/>
    </w:pPr>
    <w:rPr>
      <w:sz w:val="24"/>
    </w:rPr>
  </w:style>
  <w:style w:type="paragraph" w:customStyle="1" w:styleId="50">
    <w:name w:val="lin正文"/>
    <w:basedOn w:val="9"/>
    <w:qFormat/>
    <w:uiPriority w:val="0"/>
    <w:pPr>
      <w:widowControl w:val="0"/>
      <w:spacing w:line="560" w:lineRule="exact"/>
      <w:ind w:firstLine="200" w:firstLineChars="200"/>
      <w:jc w:val="both"/>
    </w:pPr>
    <w:rPr>
      <w:rFonts w:ascii="Tahoma" w:hAnsi="Tahoma" w:eastAsia="宋体"/>
      <w:color w:val="000000"/>
      <w:spacing w:val="0"/>
      <w:szCs w:val="24"/>
    </w:rPr>
  </w:style>
  <w:style w:type="paragraph" w:customStyle="1" w:styleId="51">
    <w:name w:val="表格文本"/>
    <w:basedOn w:val="1"/>
    <w:next w:val="1"/>
    <w:qFormat/>
    <w:uiPriority w:val="0"/>
    <w:pPr>
      <w:adjustRightInd w:val="0"/>
      <w:snapToGrid w:val="0"/>
      <w:spacing w:line="240" w:lineRule="auto"/>
      <w:ind w:firstLine="0" w:firstLineChars="0"/>
      <w:jc w:val="center"/>
    </w:pPr>
    <w:rPr>
      <w:rFonts w:ascii="Times New Roman" w:hAnsi="Times New Roman" w:eastAsia="宋体"/>
      <w:color w:val="000000"/>
      <w:sz w:val="21"/>
      <w:szCs w:val="21"/>
      <w:highlight w:val="none"/>
    </w:rPr>
  </w:style>
  <w:style w:type="paragraph" w:customStyle="1" w:styleId="52">
    <w:name w:val="表格名称"/>
    <w:basedOn w:val="1"/>
    <w:qFormat/>
    <w:uiPriority w:val="0"/>
    <w:pPr>
      <w:spacing w:line="240" w:lineRule="auto"/>
      <w:ind w:firstLine="0" w:firstLineChars="0"/>
      <w:jc w:val="center"/>
    </w:pPr>
    <w:rPr>
      <w:rFonts w:ascii="Times New Roman" w:hAnsi="Times New Roman" w:eastAsia="宋体"/>
      <w:b/>
      <w:color w:val="auto"/>
      <w:sz w:val="21"/>
      <w:szCs w:val="21"/>
    </w:rPr>
  </w:style>
  <w:style w:type="paragraph" w:customStyle="1" w:styleId="53">
    <w:name w:val="常用"/>
    <w:basedOn w:val="1"/>
    <w:qFormat/>
    <w:uiPriority w:val="0"/>
    <w:pPr>
      <w:widowControl/>
      <w:spacing w:line="360" w:lineRule="auto"/>
      <w:ind w:firstLine="200" w:firstLineChars="200"/>
      <w:jc w:val="left"/>
    </w:pPr>
    <w:rPr>
      <w:rFonts w:ascii="宋体" w:hAnsi="宋体" w:eastAsia="宋体" w:cs="Times New Roman"/>
      <w:kern w:val="0"/>
      <w:szCs w:val="28"/>
    </w:rPr>
  </w:style>
  <w:style w:type="paragraph" w:customStyle="1" w:styleId="54">
    <w:name w:val="5文章(治)"/>
    <w:basedOn w:val="36"/>
    <w:qFormat/>
    <w:uiPriority w:val="0"/>
    <w:pPr>
      <w:widowControl w:val="0"/>
      <w:spacing w:line="360" w:lineRule="auto"/>
      <w:ind w:firstLine="200" w:firstLineChars="200"/>
      <w:jc w:val="both"/>
    </w:pPr>
    <w:rPr>
      <w:rFonts w:ascii="Times New Roman" w:hAnsi="Times New Roman" w:eastAsia="宋体" w:cs="Times New Roman"/>
      <w:kern w:val="2"/>
      <w:sz w:val="24"/>
      <w:szCs w:val="20"/>
      <w:lang w:val="en-US" w:eastAsia="zh-CN" w:bidi="ar-SA"/>
    </w:rPr>
  </w:style>
  <w:style w:type="paragraph" w:customStyle="1" w:styleId="55">
    <w:name w:val="ZW"/>
    <w:basedOn w:val="56"/>
    <w:qFormat/>
    <w:uiPriority w:val="0"/>
    <w:pPr>
      <w:adjustRightInd w:val="0"/>
      <w:snapToGrid w:val="0"/>
      <w:ind w:left="0" w:firstLine="200" w:firstLineChars="200"/>
      <w:jc w:val="both"/>
    </w:pPr>
    <w:rPr>
      <w:rFonts w:ascii="Times New Roman" w:hAnsi="Times New Roman" w:eastAsia="仿宋_GB2312"/>
      <w:kern w:val="0"/>
      <w:sz w:val="28"/>
      <w:szCs w:val="24"/>
    </w:rPr>
  </w:style>
  <w:style w:type="paragraph" w:customStyle="1" w:styleId="56">
    <w:name w:val="正本"/>
    <w:basedOn w:val="1"/>
    <w:qFormat/>
    <w:uiPriority w:val="0"/>
    <w:pPr>
      <w:spacing w:line="360" w:lineRule="auto"/>
      <w:ind w:left="198"/>
      <w:jc w:val="left"/>
    </w:pPr>
    <w:rPr>
      <w:rFonts w:ascii="宋体" w:hAnsi="宋体"/>
      <w:sz w:val="24"/>
      <w:szCs w:val="20"/>
    </w:rPr>
  </w:style>
  <w:style w:type="paragraph" w:customStyle="1" w:styleId="57">
    <w:name w:val="文"/>
    <w:qFormat/>
    <w:uiPriority w:val="0"/>
    <w:pPr>
      <w:spacing w:line="360" w:lineRule="auto"/>
      <w:ind w:firstLine="200" w:firstLineChars="200"/>
      <w:jc w:val="both"/>
    </w:pPr>
    <w:rPr>
      <w:rFonts w:ascii="Times New Roman" w:hAnsi="Times New Roman" w:eastAsia="宋体" w:cs="Times New Roman"/>
      <w:bCs/>
      <w:sz w:val="24"/>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2" Type="http://schemas.openxmlformats.org/officeDocument/2006/relationships/fontTable" Target="fontTable.xml"/><Relationship Id="rId61" Type="http://schemas.openxmlformats.org/officeDocument/2006/relationships/customXml" Target="../customXml/item2.xml"/><Relationship Id="rId60" Type="http://schemas.openxmlformats.org/officeDocument/2006/relationships/customXml" Target="../customXml/item1.xml"/><Relationship Id="rId6" Type="http://schemas.openxmlformats.org/officeDocument/2006/relationships/footer" Target="footer3.xml"/><Relationship Id="rId59" Type="http://schemas.openxmlformats.org/officeDocument/2006/relationships/image" Target="media/image46.jpeg"/><Relationship Id="rId58" Type="http://schemas.openxmlformats.org/officeDocument/2006/relationships/image" Target="media/image45.jpeg"/><Relationship Id="rId57" Type="http://schemas.openxmlformats.org/officeDocument/2006/relationships/image" Target="media/image44.jpeg"/><Relationship Id="rId56" Type="http://schemas.openxmlformats.org/officeDocument/2006/relationships/image" Target="media/image43.png"/><Relationship Id="rId55" Type="http://schemas.openxmlformats.org/officeDocument/2006/relationships/image" Target="media/image42.jpeg"/><Relationship Id="rId54" Type="http://schemas.openxmlformats.org/officeDocument/2006/relationships/image" Target="media/image41.png"/><Relationship Id="rId53" Type="http://schemas.openxmlformats.org/officeDocument/2006/relationships/image" Target="media/image40.png"/><Relationship Id="rId52" Type="http://schemas.openxmlformats.org/officeDocument/2006/relationships/image" Target="media/image39.png"/><Relationship Id="rId51" Type="http://schemas.openxmlformats.org/officeDocument/2006/relationships/image" Target="media/image38.png"/><Relationship Id="rId50" Type="http://schemas.openxmlformats.org/officeDocument/2006/relationships/image" Target="media/image37.emf"/><Relationship Id="rId5" Type="http://schemas.openxmlformats.org/officeDocument/2006/relationships/footer" Target="footer2.xml"/><Relationship Id="rId49" Type="http://schemas.openxmlformats.org/officeDocument/2006/relationships/image" Target="media/image36.png"/><Relationship Id="rId48" Type="http://schemas.openxmlformats.org/officeDocument/2006/relationships/image" Target="media/image35.emf"/><Relationship Id="rId47" Type="http://schemas.openxmlformats.org/officeDocument/2006/relationships/image" Target="media/image34.emf"/><Relationship Id="rId46" Type="http://schemas.openxmlformats.org/officeDocument/2006/relationships/image" Target="media/image33.emf"/><Relationship Id="rId45" Type="http://schemas.openxmlformats.org/officeDocument/2006/relationships/image" Target="media/image32.emf"/><Relationship Id="rId44" Type="http://schemas.openxmlformats.org/officeDocument/2006/relationships/image" Target="media/image31.emf"/><Relationship Id="rId43" Type="http://schemas.openxmlformats.org/officeDocument/2006/relationships/image" Target="media/image30.emf"/><Relationship Id="rId42" Type="http://schemas.openxmlformats.org/officeDocument/2006/relationships/image" Target="media/image29.emf"/><Relationship Id="rId41" Type="http://schemas.openxmlformats.org/officeDocument/2006/relationships/image" Target="media/image28.emf"/><Relationship Id="rId40" Type="http://schemas.openxmlformats.org/officeDocument/2006/relationships/image" Target="media/image27.emf"/><Relationship Id="rId4" Type="http://schemas.openxmlformats.org/officeDocument/2006/relationships/footer" Target="footer1.xml"/><Relationship Id="rId39" Type="http://schemas.openxmlformats.org/officeDocument/2006/relationships/image" Target="media/image26.png"/><Relationship Id="rId38" Type="http://schemas.openxmlformats.org/officeDocument/2006/relationships/image" Target="media/image25.png"/><Relationship Id="rId37" Type="http://schemas.openxmlformats.org/officeDocument/2006/relationships/image" Target="media/image24.png"/><Relationship Id="rId36" Type="http://schemas.openxmlformats.org/officeDocument/2006/relationships/image" Target="media/image23.png"/><Relationship Id="rId35" Type="http://schemas.openxmlformats.org/officeDocument/2006/relationships/image" Target="media/image22.png"/><Relationship Id="rId34" Type="http://schemas.openxmlformats.org/officeDocument/2006/relationships/image" Target="media/image21.png"/><Relationship Id="rId33" Type="http://schemas.openxmlformats.org/officeDocument/2006/relationships/image" Target="media/image20.png"/><Relationship Id="rId32" Type="http://schemas.openxmlformats.org/officeDocument/2006/relationships/image" Target="media/image19.png"/><Relationship Id="rId31" Type="http://schemas.openxmlformats.org/officeDocument/2006/relationships/image" Target="media/image18.png"/><Relationship Id="rId30" Type="http://schemas.openxmlformats.org/officeDocument/2006/relationships/image" Target="media/image17.png"/><Relationship Id="rId3" Type="http://schemas.openxmlformats.org/officeDocument/2006/relationships/header" Target="header1.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jpeg"/><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image" Target="media/image6.jpeg"/><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jpeg"/><Relationship Id="rId15" Type="http://schemas.openxmlformats.org/officeDocument/2006/relationships/image" Target="media/image2.jpe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header" Target="header2.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eb48305a-60e8-49a1-ac16-e445696b7d9c</errorID>
      <errorWord>*</errorWord>
      <group>L1_Punc</group>
      <groupName>标点问题</groupName>
      <ability>L2_Punc_CN</ability>
      <abilityName>标点符号检查</abilityName>
      <candidateList/>
      <explain/>
      <paraID>27D7BBCA</paraID>
      <start>0</start>
      <end>1</end>
      <status>unmodified</status>
      <modifiedWord/>
      <trackRevisions>false</trackRevisions>
    </reviewItem>
    <reviewItem>
      <errorID>c119b5f8-43e1-4fca-ad6e-594c3a87666b</errorID>
      <errorWord>*</errorWord>
      <group>L1_Punc</group>
      <groupName>标点问题</groupName>
      <ability>L2_Punc_CN</ability>
      <abilityName>标点符号检查</abilityName>
      <candidateList/>
      <explain/>
      <paraID>4B317E83</paraID>
      <start>0</start>
      <end>1</end>
      <status>unmodified</status>
      <modifiedWord/>
      <trackRevisions>false</trackRevisions>
    </reviewItem>
    <reviewItem>
      <errorID>d84f757d-1118-43df-8c04-e5bfb7240024</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2699B842</paraID>
      <start>4</start>
      <end>5</end>
      <status>unmodified</status>
      <modifiedWord/>
      <trackRevisions>false</trackRevisions>
    </reviewItem>
    <reviewItem>
      <errorID>e8582857-6dd2-406a-a650-8df41de9876a</errorID>
      <errorWord>《福州市生物医药和机电产业园区地块用地性质和产业规划调整环境影响补充报告》</errorWord>
      <group>L1_Official</group>
      <groupName>公文问题</groupName>
      <ability>L2_Official</ability>
      <abilityName>公文问题</abilityName>
      <candidateList/>
      <explain>公文文件引用格式不规范</explain>
      <paraID>13FB9F85</paraID>
      <start>10</start>
      <end>47</end>
      <status>unmodified</status>
      <modifiedWord/>
      <trackRevisions>false</trackRevisions>
    </reviewItem>
    <reviewItem>
      <errorID>1b1db582-dae8-423a-a1cc-3c74fa60f227</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3D269CE6</paraID>
      <start>92</start>
      <end>93</end>
      <status>unmodified</status>
      <modifiedWord/>
      <trackRevisions>false</trackRevisions>
    </reviewItem>
    <reviewItem>
      <errorID>5284238d-4608-40e0-926f-2f72e5976e10</errorID>
      <errorWord>窗厦</errorWord>
      <group>L1_Word</group>
      <groupName>字词问题</groupName>
      <ability>L2_Typo</ability>
      <abilityName>字词错误</abilityName>
      <candidateList>
        <item>广厦</item>
      </candidateList>
      <explain/>
      <paraID>72F67760</paraID>
      <start>14</start>
      <end>16</end>
      <status>unmodified</status>
      <modifiedWord/>
      <trackRevisions>false</trackRevisions>
    </reviewItem>
    <reviewItem>
      <errorID>2c2fb7c2-9aa6-4bc2-a669-1db195f32230</errorID>
      <errorWord>上线</errorWord>
      <group>L1_Word</group>
      <groupName>字词问题</groupName>
      <ability>L2_Typo</ability>
      <abilityName>字词错误</abilityName>
      <candidateList>
        <item>上限</item>
      </candidateList>
      <explain>存在发音相同字词的误用。</explain>
      <paraID>3526526B</paraID>
      <start>7</start>
      <end>9</end>
      <status>unmodified</status>
      <modifiedWord/>
      <trackRevisions>false</trackRevisions>
    </reviewItem>
    <reviewItem>
      <errorID>996d0422-33f0-4334-ad1f-94ae4a22b68d</errorID>
      <errorWord>上线</errorWord>
      <group>L1_Word</group>
      <groupName>字词问题</groupName>
      <ability>L2_Typo</ability>
      <abilityName>字词错误</abilityName>
      <candidateList>
        <item>上限</item>
      </candidateList>
      <explain/>
      <paraID> F4903B9</paraID>
      <start>115</start>
      <end>117</end>
      <status>unmodified</status>
      <modifiedWord/>
      <trackRevisions>false</trackRevisions>
    </reviewItem>
    <reviewItem>
      <errorID>b96bf451-6296-4683-8efe-fbef84366816</errorID>
      <errorWord>《关于促进我省氟化工产业绿色高效发展的若干意见》</errorWord>
      <group>L1_Official</group>
      <groupName>公文问题</groupName>
      <ability>L2_Official</ability>
      <abilityName>公文问题</abilityName>
      <candidateList/>
      <explain>公文文件引用格式不规范</explain>
      <paraID>7FC6DF04</paraID>
      <start>13</start>
      <end>37</end>
      <status>unmodified</status>
      <modifiedWord/>
      <trackRevisions>false</trackRevisions>
    </reviewItem>
    <reviewItem>
      <errorID>a8ad81b8-52b4-4139-b34b-e7ba3e6c2341</errorID>
      <errorWord>《福州市人民政府办公厅关于印发〈福州市生态环境分区管控方案（2023年更新）〉的通知》</errorWord>
      <group>L1_Official</group>
      <groupName>公文问题</groupName>
      <ability>L2_Official</ability>
      <abilityName>公文问题</abilityName>
      <candidateList/>
      <explain>公文文件引用格式不规范</explain>
      <paraID>30AC9691</paraID>
      <start>2</start>
      <end>45</end>
      <status>unmodified</status>
      <modifiedWord/>
      <trackRevisions>false</trackRevisions>
    </reviewItem>
    <reviewItem>
      <errorID>9a58f147-150e-4dbc-b1c5-9d83b202ce72</errorID>
      <errorWord>挥发性有机污染物治理</errorWord>
      <group>L1_Political</group>
      <groupName>政治性问题</groupName>
      <ability>L2_Unpolitical</ability>
      <abilityName>政治敏感错误</abilityName>
      <candidateList>
        <item>挥发性有机物治理</item>
      </candidateList>
      <explain/>
      <paraID>47C1BE98</paraID>
      <start>15</start>
      <end>25</end>
      <status>unmodified</status>
      <modifiedWord/>
      <trackRevisions>false</trackRevisions>
    </reviewItem>
    <reviewItem>
      <errorID>da7cc823-7e3d-4d28-93de-2648ee85e5e6</errorID>
      <errorWord>挥发性有机污染物治理</errorWord>
      <group>L1_Political</group>
      <groupName>政治性问题</groupName>
      <ability>L2_Unpolitical</ability>
      <abilityName>政治敏感错误</abilityName>
      <candidateList>
        <item>挥发性有机物治理</item>
      </candidateList>
      <explain/>
      <paraID> B81C9F4</paraID>
      <start>21</start>
      <end>31</end>
      <status>unmodified</status>
      <modifiedWord/>
      <trackRevisions>false</trackRevisions>
    </reviewItem>
    <reviewItem>
      <errorID>e331eb03-bafd-4683-8a98-db04ba071236</errorID>
      <errorWord>窗厦</errorWord>
      <group>L1_Word</group>
      <groupName>字词问题</groupName>
      <ability>L2_Typo</ability>
      <abilityName>字词错误</abilityName>
      <candidateList>
        <item>广厦</item>
      </candidateList>
      <explain/>
      <paraID>5465DD5E</paraID>
      <start>25</start>
      <end>27</end>
      <status>unmodified</status>
      <modifiedWord/>
      <trackRevisions>false</trackRevisions>
    </reviewItem>
    <reviewItem>
      <errorID>dc9ef049-b15a-4e56-b01c-732fe3a9bd92</errorID>
      <errorWord>（</errorWord>
      <group>L1_Punc</group>
      <groupName>标点问题</groupName>
      <ability>L2_Punc_CN</ability>
      <abilityName>标点符号检查</abilityName>
      <candidateList/>
      <explain>同一形式括号套用。</explain>
      <paraID>7CAC877F</paraID>
      <start>10</start>
      <end>11</end>
      <status>unmodified</status>
      <modifiedWord/>
      <trackRevisions>false</trackRevisions>
    </reviewItem>
    <reviewItem>
      <errorID>ebd976d9-c4b2-4663-a494-6316e5c7436b</errorID>
      <errorWord>）</errorWord>
      <group>L1_Punc</group>
      <groupName>标点问题</groupName>
      <ability>L2_Punc_CN</ability>
      <abilityName>标点符号检查</abilityName>
      <candidateList/>
      <explain>同一形式括号套用。</explain>
      <paraID>7CAC877F</paraID>
      <start>12</start>
      <end>13</end>
      <status>unmodified</status>
      <modifiedWord/>
      <trackRevisions>false</trackRevisions>
    </reviewItem>
    <reviewItem>
      <errorID>1b23b87b-da3e-47b5-8e80-99a92a9ee6d1</errorID>
      <errorWord>（</errorWord>
      <group>L1_Punc</group>
      <groupName>标点问题</groupName>
      <ability>L2_Punc_CN</ability>
      <abilityName>标点符号检查</abilityName>
      <candidateList/>
      <explain>同一形式括号套用。</explain>
      <paraID>29924FA2</paraID>
      <start>123</start>
      <end>124</end>
      <status>unmodified</status>
      <modifiedWord/>
      <trackRevisions>false</trackRevisions>
    </reviewItem>
    <reviewItem>
      <errorID>6aa501ff-37b6-4dde-90d1-e48983816382</errorID>
      <errorWord>）</errorWord>
      <group>L1_Punc</group>
      <groupName>标点问题</groupName>
      <ability>L2_Punc_CN</ability>
      <abilityName>标点符号检查</abilityName>
      <candidateList/>
      <explain>同一形式括号套用。</explain>
      <paraID>29924FA2</paraID>
      <start>138</start>
      <end>139</end>
      <status>unmodified</status>
      <modifiedWord/>
      <trackRevisions>false</trackRevisions>
    </reviewItem>
    <reviewItem>
      <errorID>14418f1c-f8d2-4d67-93dd-db53a560116b</errorID>
      <errorWord>..</errorWord>
      <group>L1_Punc</group>
      <groupName>标点问题</groupName>
      <ability>L2_Punc_CN</ability>
      <abilityName>标点符号检查</abilityName>
      <candidateList>
        <item>.</item>
      </candidateList>
      <explain/>
      <paraID>7628D7B9</paraID>
      <start>8</start>
      <end>10</end>
      <status>unmodified</status>
      <modifiedWord/>
      <trackRevisions>false</trackRevisions>
    </reviewItem>
    <reviewItem>
      <errorID>e72c5f14-2b86-4ca6-b405-5cf16713ea6a</errorID>
      <errorWord>化学抛光</errorWord>
      <group>L1_Knowledge</group>
      <groupName>知识性问题</groupName>
      <ability>L2_Term</ability>
      <abilityName>专业术语</abilityName>
      <candidateList>
        <item>化学拋光</item>
      </candidateList>
      <explain/>
      <paraID>4E5E9831</paraID>
      <start>30</start>
      <end>34</end>
      <status>unmodified</status>
      <modifiedWord/>
      <trackRevisions>false</trackRevisions>
    </reviewItem>
    <reviewItem>
      <errorID>a69698fe-449a-4fee-a8a9-c98efad0ff38</errorID>
      <errorWord>《福建省环保厅关于印发福建省重点行业挥发性有机物排放控制要求（试行）的通知》</errorWord>
      <group>L1_Official</group>
      <groupName>公文问题</groupName>
      <ability>L2_Official</ability>
      <abilityName>公文问题</abilityName>
      <candidateList/>
      <explain>公文文件引用格式不规范</explain>
      <paraID> 3F96D83</paraID>
      <start>2</start>
      <end>40</end>
      <status>unmodified</status>
      <modifiedWord/>
      <trackRevisions>false</trackRevisions>
    </reviewItem>
    <reviewItem>
      <errorID>747811c1-b0c9-4098-96b4-da5aa85a350e</errorID>
      <errorWord>（</errorWord>
      <group>L1_Punc</group>
      <groupName>标点问题</groupName>
      <ability>L2_Punc_CN</ability>
      <abilityName>标点符号检查</abilityName>
      <candidateList/>
      <explain>同一形式括号套用。</explain>
      <paraID>5712CBA3</paraID>
      <start>50</start>
      <end>51</end>
      <status>unmodified</status>
      <modifiedWord/>
      <trackRevisions>false</trackRevisions>
    </reviewItem>
    <reviewItem>
      <errorID>3a74cde5-f223-4a91-802d-15d1e01c3fdf</errorID>
      <errorWord>）</errorWord>
      <group>L1_Punc</group>
      <groupName>标点问题</groupName>
      <ability>L2_Punc_CN</ability>
      <abilityName>标点符号检查</abilityName>
      <candidateList/>
      <explain>同一形式括号套用。</explain>
      <paraID>5712CBA3</paraID>
      <start>52</start>
      <end>53</end>
      <status>unmodified</status>
      <modifiedWord/>
      <trackRevisions>false</trackRevisions>
    </reviewItem>
    <reviewItem>
      <errorID>a76b3368-55ef-43bf-a2dc-0dc723521aba</errorID>
      <errorWord>（</errorWord>
      <group>L1_Punc</group>
      <groupName>标点问题</groupName>
      <ability>L2_Punc_CN</ability>
      <abilityName>标点符号检查</abilityName>
      <candidateList/>
      <explain>同一形式括号套用。</explain>
      <paraID>4C834373</paraID>
      <start>126</start>
      <end>127</end>
      <status>unmodified</status>
      <modifiedWord/>
      <trackRevisions>false</trackRevisions>
    </reviewItem>
    <reviewItem>
      <errorID>c72fa295-7cab-4f3f-a7dd-9eae0f7d1987</errorID>
      <errorWord>）</errorWord>
      <group>L1_Punc</group>
      <groupName>标点问题</groupName>
      <ability>L2_Punc_CN</ability>
      <abilityName>标点符号检查</abilityName>
      <candidateList/>
      <explain>同一形式括号套用。</explain>
      <paraID>4C834373</paraID>
      <start>131</start>
      <end>132</end>
      <status>unmodified</status>
      <modifiedWord/>
      <trackRevisions>false</trackRevisions>
    </reviewItem>
    <reviewItem>
      <errorID>88bef869-e60b-4d5d-8f64-638f2e0483a3</errorID>
      <errorWord>（</errorWord>
      <group>L1_Punc</group>
      <groupName>标点问题</groupName>
      <ability>L2_Punc_CN</ability>
      <abilityName>标点符号检查</abilityName>
      <candidateList/>
      <explain>同一形式括号套用。</explain>
      <paraID>4C834373</paraID>
      <start>178</start>
      <end>179</end>
      <status>unmodified</status>
      <modifiedWord/>
      <trackRevisions>false</trackRevisions>
    </reviewItem>
    <reviewItem>
      <errorID>3650d402-1406-4e80-b012-5579e99eda69</errorID>
      <errorWord>）</errorWord>
      <group>L1_Punc</group>
      <groupName>标点问题</groupName>
      <ability>L2_Punc_CN</ability>
      <abilityName>标点符号检查</abilityName>
      <candidateList/>
      <explain>同一形式括号套用。</explain>
      <paraID>4C834373</paraID>
      <start>183</start>
      <end>184</end>
      <status>unmodified</status>
      <modifiedWord/>
      <trackRevisions>false</trackRevisions>
    </reviewItem>
    <reviewItem>
      <errorID>7ea0b303-f324-4ad1-a7a4-d2738cac804d</errorID>
      <errorWord>实际情况做</errorWord>
      <group>L1_Word</group>
      <groupName>字词问题</groupName>
      <ability>L2_Typo</ability>
      <abilityName>字词错误</abilityName>
      <candidateList>
        <item>实际情况作</item>
      </candidateList>
      <explain/>
      <paraID>10DEDBC1</paraID>
      <start>23</start>
      <end>28</end>
      <status>unmodified</status>
      <modifiedWord/>
      <trackRevisions>false</trackRevisions>
    </reviewItem>
    <reviewItem>
      <errorID>caa5e900-55c5-49fc-916b-02ca518cb848</errorID>
      <errorWord>（</errorWord>
      <group>L1_Punc</group>
      <groupName>标点问题</groupName>
      <ability>L2_Punc_CN</ability>
      <abilityName>标点符号检查</abilityName>
      <candidateList/>
      <explain>同一形式括号套用。</explain>
      <paraID>1F083814</paraID>
      <start>41</start>
      <end>42</end>
      <status>unmodified</status>
      <modifiedWord/>
      <trackRevisions>false</trackRevisions>
    </reviewItem>
    <reviewItem>
      <errorID>68960c1c-df95-4706-bdcb-1e8e293aecf9</errorID>
      <errorWord>）</errorWord>
      <group>L1_Punc</group>
      <groupName>标点问题</groupName>
      <ability>L2_Punc_CN</ability>
      <abilityName>标点符号检查</abilityName>
      <candidateList/>
      <explain>同一形式括号套用。</explain>
      <paraID>1F083814</paraID>
      <start>48</start>
      <end>49</end>
      <status>unmodified</status>
      <modifiedWord/>
      <trackRevisions>false</trackRevisions>
    </reviewItem>
    <reviewItem>
      <errorID>eb5ce6d0-9f09-4dac-af10-d2368aa542a0</errorID>
      <errorWord>（</errorWord>
      <group>L1_Punc</group>
      <groupName>标点问题</groupName>
      <ability>L2_Punc_CN</ability>
      <abilityName>标点符号检查</abilityName>
      <candidateList/>
      <explain>同一形式括号套用。</explain>
      <paraID>4D1F3A64</paraID>
      <start>48</start>
      <end>49</end>
      <status>unmodified</status>
      <modifiedWord/>
      <trackRevisions>false</trackRevisions>
    </reviewItem>
    <reviewItem>
      <errorID>c6e2e602-8d18-480f-9f17-fdfd4cea3646</errorID>
      <errorWord>）</errorWord>
      <group>L1_Punc</group>
      <groupName>标点问题</groupName>
      <ability>L2_Punc_CN</ability>
      <abilityName>标点符号检查</abilityName>
      <candidateList/>
      <explain>同一形式括号套用。</explain>
      <paraID>4D1F3A64</paraID>
      <start>52</start>
      <end>53</end>
      <status>unmodified</status>
      <modifiedWord/>
      <trackRevisions>false</trackRevisions>
    </reviewItem>
    <reviewItem>
      <errorID>f274d18b-5b29-4ac9-b038-1adb24675671</errorID>
      <errorWord>（</errorWord>
      <group>L1_Punc</group>
      <groupName>标点问题</groupName>
      <ability>L2_Punc_CN</ability>
      <abilityName>标点符号检查</abilityName>
      <candidateList/>
      <explain>同一形式括号套用。</explain>
      <paraID>1B6D6018</paraID>
      <start>43</start>
      <end>44</end>
      <status>unmodified</status>
      <modifiedWord/>
      <trackRevisions>false</trackRevisions>
    </reviewItem>
    <reviewItem>
      <errorID>0047305e-4081-457c-b59e-4522251d6a90</errorID>
      <errorWord>）</errorWord>
      <group>L1_Punc</group>
      <groupName>标点问题</groupName>
      <ability>L2_Punc_CN</ability>
      <abilityName>标点符号检查</abilityName>
      <candidateList/>
      <explain>同一形式括号套用。</explain>
      <paraID>1B6D6018</paraID>
      <start>89</start>
      <end>90</end>
      <status>unmodified</status>
      <modifiedWord/>
      <trackRevisions>false</trackRevisions>
    </reviewItem>
    <reviewItem>
      <errorID>b3bbc4d6-f359-499b-ab84-323c6bcd9d45</errorID>
      <errorWord>（</errorWord>
      <group>L1_Punc</group>
      <groupName>标点问题</groupName>
      <ability>L2_Punc_CN</ability>
      <abilityName>标点符号检查</abilityName>
      <candidateList/>
      <explain>同一形式括号套用。</explain>
      <paraID>5F233032</paraID>
      <start>30</start>
      <end>31</end>
      <status>unmodified</status>
      <modifiedWord/>
      <trackRevisions>false</trackRevisions>
    </reviewItem>
    <reviewItem>
      <errorID>afad55d8-1e33-4c26-a101-9295e194f5c8</errorID>
      <errorWord>）</errorWord>
      <group>L1_Punc</group>
      <groupName>标点问题</groupName>
      <ability>L2_Punc_CN</ability>
      <abilityName>标点符号检查</abilityName>
      <candidateList/>
      <explain>同一形式括号套用。</explain>
      <paraID>5F233032</paraID>
      <start>76</start>
      <end>77</end>
      <status>unmodified</status>
      <modifiedWord/>
      <trackRevisions>false</trackRevisions>
    </reviewItem>
    <reviewItem>
      <errorID>8a65a46e-284a-4b5a-8aaa-0820a4d13132</errorID>
      <errorWord>（</errorWord>
      <group>L1_Punc</group>
      <groupName>标点问题</groupName>
      <ability>L2_Punc_CN</ability>
      <abilityName>标点符号检查</abilityName>
      <candidateList/>
      <explain>同一形式括号套用。</explain>
      <paraID>5F233032</paraID>
      <start>97</start>
      <end>98</end>
      <status>unmodified</status>
      <modifiedWord/>
      <trackRevisions>false</trackRevisions>
    </reviewItem>
    <reviewItem>
      <errorID>6159a59d-1a5f-4504-bc3a-853b33cd445b</errorID>
      <errorWord>）</errorWord>
      <group>L1_Punc</group>
      <groupName>标点问题</groupName>
      <ability>L2_Punc_CN</ability>
      <abilityName>标点符号检查</abilityName>
      <candidateList/>
      <explain>同一形式括号套用。</explain>
      <paraID>5F233032</paraID>
      <start>112</start>
      <end>113</end>
      <status>unmodified</status>
      <modifiedWord/>
      <trackRevisions>false</trackRevisions>
    </reviewItem>
    <reviewItem>
      <errorID>6fe8cfca-fc1b-4590-b7b5-d5523ebdbe60</errorID>
      <errorWord>（</errorWord>
      <group>L1_Punc</group>
      <groupName>标点问题</groupName>
      <ability>L2_Punc_CN</ability>
      <abilityName>标点符号检查</abilityName>
      <candidateList/>
      <explain>同一形式括号套用。</explain>
      <paraID>5F233032</paraID>
      <start>118</start>
      <end>119</end>
      <status>unmodified</status>
      <modifiedWord/>
      <trackRevisions>false</trackRevisions>
    </reviewItem>
    <reviewItem>
      <errorID>5286a9ee-0ce5-4989-ad61-fd06c3b82877</errorID>
      <errorWord>）</errorWord>
      <group>L1_Punc</group>
      <groupName>标点问题</groupName>
      <ability>L2_Punc_CN</ability>
      <abilityName>标点符号检查</abilityName>
      <candidateList/>
      <explain>同一形式括号套用。</explain>
      <paraID>5F233032</paraID>
      <start>131</start>
      <end>132</end>
      <status>unmodified</status>
      <modifiedWord/>
      <trackRevisions>false</trackRevisions>
    </reviewItem>
    <reviewItem>
      <errorID>8dd0a34d-d5cc-4a6c-a173-89e8d8befe96</errorID>
      <errorWord>《关于印发〈固定污染源排污登记工作指南（试行）〉的通知》</errorWord>
      <group>L1_Official</group>
      <groupName>公文问题</groupName>
      <ability>L2_Official</ability>
      <abilityName>公文问题</abilityName>
      <candidateList/>
      <explain>公文文件引用格式不规范</explain>
      <paraID>5C2AD072</paraID>
      <start>209</start>
      <end>237</end>
      <status>unmodified</status>
      <modifiedWord/>
      <trackRevisions>false</trackRevisions>
    </reviewItem>
    <reviewItem>
      <errorID>d95e40d8-40e9-4cbb-8634-396fe62510cb</errorID>
      <errorWord>化学抛光</errorWord>
      <group>L1_Knowledge</group>
      <groupName>知识性问题</groupName>
      <ability>L2_Term</ability>
      <abilityName>专业术语</abilityName>
      <candidateList>
        <item>化学拋光</item>
      </candidateList>
      <explain/>
      <paraID> B6F7A3E</paraID>
      <start>30</start>
      <end>34</end>
      <status>unmodified</status>
      <modifiedWord/>
      <trackRevisions>false</trackRevisions>
    </reviewItem>
    <reviewItem>
      <errorID>b4585786-0e73-4ea2-b82e-8b59e20f2e5a</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394B476E</paraID>
      <start>3</start>
      <end>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d72fe3-638b-4448-8a6a-6ca497265e7e}">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107</Pages>
  <Words>63</Words>
  <Characters>66</Characters>
  <Lines>13</Lines>
  <Paragraphs>3</Paragraphs>
  <TotalTime>24</TotalTime>
  <ScaleCrop>false</ScaleCrop>
  <LinksUpToDate>false</LinksUpToDate>
  <CharactersWithSpaces>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Gooday</cp:lastModifiedBy>
  <cp:lastPrinted>2020-12-29T02:43:00Z</cp:lastPrinted>
  <dcterms:modified xsi:type="dcterms:W3CDTF">2026-08-12T02:27:58Z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5994E1569B664DF19C2B8EC51E4EC962_13</vt:lpwstr>
  </property>
  <property fmtid="{D5CDD505-2E9C-101B-9397-08002B2CF9AE}" pid="4" name="KSOTemplateDocerSaveRecord">
    <vt:lpwstr>eyJoZGlkIjoiZjdjYmE2OWUyYzkyNDcwZmUwOWVkM2M4NWIyM2NmYWIiLCJ1c2VySWQiOiIxNjkwMjAwNDMyIn0=</vt:lpwstr>
  </property>
</Properties>
</file>